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Регламент обработки документов</w:t>
      </w:r>
    </w:p>
    <w:p>
      <w:r>
        <w:t>Документ описывает требования к двум продуктовым линиям и порядок их проверки.</w:t>
      </w:r>
    </w:p>
    <w:p>
      <w:pPr>
        <w:pStyle w:val="Heading2"/>
      </w:pPr>
      <w:r>
        <w:t>Линия Альфа</w:t>
      </w:r>
    </w:p>
    <w:p>
      <w:r>
        <w:t>Линия Альфа обслуживает корпоративных клиентов.</w:t>
      </w:r>
    </w:p>
    <w:p>
      <w:pPr>
        <w:pStyle w:val="Heading3"/>
      </w:pPr>
      <w:r>
        <w:t>Целевые показатели Альфы</w:t>
      </w:r>
    </w:p>
    <w:p>
      <w:r>
        <w:t>Целевое значение: 42 единицы в сутки при полной загрузке.</w:t>
      </w:r>
    </w:p>
    <w:p>
      <w:pPr>
        <w:pStyle w:val="Heading3"/>
      </w:pPr>
      <w:r>
        <w:t>Ограничения Альфы</w:t>
      </w:r>
    </w:p>
    <w:p>
      <w:r>
        <w:t>Максимальная задержка обработки составляет 15 минут.</w:t>
      </w:r>
    </w:p>
    <w:p>
      <w:pPr>
        <w:pStyle w:val="Heading2"/>
      </w:pPr>
      <w:r>
        <w:t>Линия Бета</w:t>
      </w:r>
    </w:p>
    <w:p>
      <w:r>
        <w:t>Линия Бета обслуживает розничных клиентов.</w:t>
      </w:r>
    </w:p>
    <w:p>
      <w:pPr>
        <w:pStyle w:val="Heading3"/>
      </w:pPr>
      <w:r>
        <w:t>Целевые показатели Беты</w:t>
      </w:r>
    </w:p>
    <w:p>
      <w:r>
        <w:t>Целевое значение: 77 единиц в сутки при полной загрузке.</w:t>
      </w:r>
    </w:p>
    <w:p>
      <w:pPr>
        <w:pStyle w:val="Heading3"/>
      </w:pPr>
      <w:r>
        <w:t>Ограничения Беты</w:t>
      </w:r>
    </w:p>
    <w:p>
      <w:r>
        <w:t>Максимальная задержка обработки составляет 30 минут.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