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с шаблонными блоками</w:t>
      </w:r>
    </w:p>
    <w:p>
      <w:r>
        <w:t>Вводный абзац вне контрола описывает предмет и ссылается на приложение.</w:t>
      </w:r>
    </w:p>
    <w:sdt>
      <w:sdtPr>
        <w:alias w:val="Блок приложения"/>
        <w:tag w:val="attachment-block"/>
        <w:id w:val="101"/>
        <w:picture/>
      </w:sdtPr>
      <w:sdtContent>
        <w:p>
          <w:r>
            <w:t>Внутриконтрольная подпись: контрольная сумма приложения равна 512 единицам.</w:t>
          </w:r>
        </w:p>
        <w:p>
          <w:r>
            <w:drawing>
              <wp:inline xmlns:a="http://schemas.openxmlformats.org/drawingml/2006/main" xmlns:pic="http://schemas.openxmlformats.org/drawingml/2006/picture">
                <wp:extent cx="1080000" cy="108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108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Заключительный абзац вне контрола фиксирует ответственных за приложение.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