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структуры документа</w:t>
      </w:r>
    </w:p>
    <w:p>
      <w:pPr>
        <w:pStyle w:val="Heading2"/>
      </w:pPr>
      <w:r>
        <w:t>Нумерованные и вложенные списки</w:t>
      </w:r>
    </w:p>
    <w:p>
      <w:pPr>
        <w:pStyle w:val="ListNumber"/>
        <w:numPr>
          <w:ilvl w:val="0"/>
          <w:numId w:val="10"/>
        </w:numPr>
      </w:pPr>
      <w:r>
        <w:t>Первый обязательный шаг</w:t>
      </w:r>
    </w:p>
    <w:p>
      <w:pPr>
        <w:pStyle w:val="ListNumber2"/>
        <w:numPr>
          <w:ilvl w:val="1"/>
          <w:numId w:val="10"/>
        </w:numPr>
      </w:pPr>
      <w:r>
        <w:t>Вложенный шаг А</w:t>
      </w:r>
    </w:p>
    <w:p>
      <w:pPr>
        <w:pStyle w:val="ListNumber2"/>
        <w:numPr>
          <w:ilvl w:val="1"/>
          <w:numId w:val="10"/>
        </w:numPr>
      </w:pPr>
      <w:r>
        <w:t>Вложенный шаг Б</w:t>
      </w:r>
    </w:p>
    <w:p>
      <w:pPr>
        <w:pStyle w:val="ListNumber"/>
        <w:numPr>
          <w:ilvl w:val="0"/>
          <w:numId w:val="10"/>
        </w:numPr>
      </w:pPr>
      <w:r>
        <w:t>Второй обязательный шаг</w:t>
      </w:r>
    </w:p>
    <w:p>
      <w:pPr>
        <w:pStyle w:val="Heading2"/>
      </w:pPr>
      <w:r>
        <w:t>Таблица с объединёнными ячейками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vAlign w:val="center"/>
          </w:tcPr>
          <w:p>
            <w:r>
              <w:t>Сводные показатели</w:t>
            </w:r>
          </w:p>
        </w:tc>
      </w:tr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Единица</w:t>
            </w:r>
          </w:p>
        </w:tc>
      </w:tr>
      <w:tr>
        <w:tc>
          <w:tcPr>
            <w:tcW w:type="dxa" w:w="2880"/>
          </w:tcPr>
          <w:p>
            <w:r>
              <w:t>Точность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процентов</w:t>
            </w:r>
          </w:p>
        </w:tc>
      </w:tr>
    </w:tbl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