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Мы меняем поставщика подшипников не потому, что дешевле, а потому что срывы срока стоят дороже скидки. Новый везёт из Челябинска, и это решение приняли на смене, а не в кабинете.</w:t>
      </w:r>
    </w:p>
  </w:body>
</w:document>
</file>