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381. </w:t>
      </w:r>
    </w:p>
    <w:p>
      <w:pPr>
        <w:pStyle w:val="Normal"/>
        <w:spacing w:lineRule="auto" w:line="259" w:before="0" w:after="1"/>
        <w:ind w:left="23" w:right="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5"/>
        <w:ind w:left="21" w:right="74" w:hanging="10"/>
        <w:jc w:val="center"/>
        <w:rPr>
          <w:i/>
          <w:i/>
        </w:rPr>
      </w:pPr>
      <w:r>
        <w:rPr>
          <w:i/>
        </w:rPr>
        <w:t>&lt;9—12 июня 1818 г. Москва&gt;</w:t>
      </w:r>
    </w:p>
    <w:p>
      <w:pPr>
        <w:pStyle w:val="Normal"/>
        <w:ind w:left="15" w:right="24" w:firstLine="399"/>
        <w:rPr/>
      </w:pPr>
      <w:r>
        <w:rPr/>
        <w:t>Вот что мы положили. Батюшков остается в Москве до первого от тебя ответа, следственно, tout au plus</w:t>
      </w:r>
      <w:r>
        <w:rPr>
          <w:rStyle w:val="FootnoteAnchor"/>
          <w:vertAlign w:val="superscript"/>
        </w:rPr>
        <w:footnoteReference w:id="2"/>
      </w:r>
      <w:r>
        <w:rPr/>
        <w:t xml:space="preserve"> на две недели. Твой ответ должен решить, куда ему ехать, в Петербург или в Одессу</w:t>
      </w:r>
      <w:r>
        <w:rPr>
          <w:sz w:val="19"/>
          <w:vertAlign w:val="superscript"/>
        </w:rPr>
        <w:t>1</w:t>
      </w:r>
      <w:r>
        <w:rPr/>
        <w:t>. С его письмом ты являешься к Капо д’Истрии</w:t>
      </w:r>
      <w:r>
        <w:rPr>
          <w:sz w:val="19"/>
          <w:vertAlign w:val="superscript"/>
        </w:rPr>
        <w:t>2</w:t>
      </w:r>
      <w:r>
        <w:rPr/>
        <w:t xml:space="preserve">, сказываешь ему, что Батюшков, ехавший для поправления здоровья в южную Россию, для морских бань, которыми можно пользоваться только в июне месяце, решился, однако, в надежде на его (К&lt;апо&gt; д’И&lt;стрии&gt;) явное желание действовать для пользы его (Бат&lt;юшкова&gt;), пожертвовать двумя неделями драгоценного времени и что, следовательно, скорый и решительный ответ необходим. Капо д’Истрия не замедлит, а ты тотчас эстафету к Батюшкову в Москву. </w:t>
      </w:r>
      <w:r>
        <w:rPr>
          <w:i/>
        </w:rPr>
        <w:t>Моя мысль</w:t>
      </w:r>
      <w:r>
        <w:rPr/>
        <w:t xml:space="preserve">: отдать экземпляр Батюшкова сочинений Капо д’Истрии: они будут документом и его способностей в </w:t>
      </w:r>
      <w:r>
        <w:rPr>
          <w:i/>
        </w:rPr>
        <w:t>мирном</w:t>
      </w:r>
      <w:r>
        <w:rPr/>
        <w:t xml:space="preserve"> роде, не в одном военном. </w:t>
      </w:r>
      <w:r>
        <w:rPr>
          <w:i/>
        </w:rPr>
        <w:t>Моя исповедь</w:t>
      </w:r>
      <w:r>
        <w:rPr/>
        <w:t>: Тургенев лучший из людей! Письмо его к Батюшкову тронуло и обрадовало Жуковского, который обнимает его с новою благодарностью.</w:t>
      </w:r>
    </w:p>
    <w:p>
      <w:pPr>
        <w:pStyle w:val="Normal"/>
        <w:ind w:left="15" w:right="24" w:firstLine="399"/>
        <w:rPr/>
      </w:pPr>
      <w:r>
        <w:rPr>
          <w:i/>
        </w:rPr>
        <w:t>&lt;Рукою Батюшкова&gt;</w:t>
      </w:r>
      <w:r>
        <w:rPr/>
        <w:t xml:space="preserve">: Впрочем, если письмо многоречиво, а не красноречиво (что и нам кажется), то поправьте, перемените. Но оно дельно, это главное, </w:t>
      </w:r>
      <w:r>
        <w:rPr>
          <w:rStyle w:val="Style12"/>
        </w:rPr>
        <w:t>и из него можно составить записку</w:t>
      </w:r>
      <w:r>
        <w:rPr>
          <w:rStyle w:val="Style12"/>
          <w:vertAlign w:val="superscript"/>
        </w:rPr>
        <w:t>3</w:t>
      </w:r>
      <w:r>
        <w:rPr>
          <w:rStyle w:val="Style12"/>
        </w:rPr>
        <w:t xml:space="preserve">. Не знаю, останусь ли здесь до </w:t>
      </w:r>
      <w:r>
        <w:rPr>
          <w:rStyle w:val="Style12"/>
          <w:lang w:val="fr-FR" w:eastAsia="fr-FR" w:bidi="fr-FR"/>
        </w:rPr>
        <w:t xml:space="preserve">25. </w:t>
      </w:r>
      <w:r>
        <w:rPr>
          <w:rStyle w:val="Style12"/>
        </w:rPr>
        <w:t>Жуков</w:t>
        <w:softHyphen/>
        <w:t>ский решит.</w:t>
      </w:r>
    </w:p>
    <w:p>
      <w:pPr>
        <w:pStyle w:val="Normal"/>
        <w:ind w:left="15" w:right="24" w:firstLine="399"/>
        <w:rPr/>
      </w:pPr>
      <w:r>
        <w:rPr>
          <w:i/>
        </w:rPr>
        <w:t>&lt;Рукою Жуковского&gt;</w:t>
      </w:r>
      <w:r>
        <w:rPr/>
        <w:t xml:space="preserve">: Останется. </w:t>
      </w:r>
      <w:r>
        <w:rPr>
          <w:i/>
        </w:rPr>
        <w:t>Жуковский</w:t>
      </w:r>
      <w:r>
        <w:rPr/>
        <w:t>.</w:t>
      </w:r>
    </w:p>
    <w:p>
      <w:pPr>
        <w:pStyle w:val="Normal"/>
        <w:spacing w:before="0" w:after="5"/>
        <w:ind w:left="15" w:right="24" w:firstLine="399"/>
        <w:rPr/>
      </w:pPr>
      <w:r>
        <w:rPr>
          <w:i/>
        </w:rPr>
        <w:t>&lt;Рукою Батюшкова&gt;</w:t>
      </w:r>
      <w:r>
        <w:rPr/>
        <w:t>: На всякий случай ответ адресуйте к Дружинину</w:t>
      </w:r>
      <w:r>
        <w:rPr>
          <w:sz w:val="19"/>
          <w:vertAlign w:val="superscript"/>
        </w:rPr>
        <w:t>4</w:t>
      </w:r>
      <w:r>
        <w:rPr/>
        <w:t>.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702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Не больше чем (</w:t>
      </w:r>
      <w:r>
        <w:rPr>
          <w:i/>
        </w:rPr>
        <w:t>франц.</w:t>
      </w:r>
      <w:r>
        <w:rPr/>
        <w:t>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206</Words>
  <Characters>1157</Characters>
  <CharactersWithSpaces>1355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381. </dc:title>
</cp:coreProperties>
</file>