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398. </w:t>
      </w:r>
    </w:p>
    <w:p>
      <w:pPr>
        <w:pStyle w:val="Normal"/>
        <w:spacing w:lineRule="auto" w:line="259" w:before="0" w:after="1"/>
        <w:ind w:left="23" w:right="90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&lt;Ноябрь (около 24) 1818 г. Петербург&gt;</w:t>
      </w:r>
    </w:p>
    <w:p>
      <w:pPr>
        <w:pStyle w:val="Normal"/>
        <w:ind w:left="15" w:right="24" w:firstLine="399"/>
        <w:rPr/>
      </w:pPr>
      <w:r>
        <w:rPr/>
        <w:t xml:space="preserve">Милая Дуняша, что с Вами сделалось? Сколько времени не знаем мы ничего друг о друге. Не понимаю нашей лени. Моя лень, по крайней мере на эту пору, имеет какую-то тень причины; я отложил писать ко всем до окончания </w:t>
      </w:r>
    </w:p>
    <w:p>
      <w:pPr>
        <w:pStyle w:val="Normal"/>
        <w:ind w:left="23" w:right="24" w:hanging="8"/>
        <w:rPr/>
      </w:pPr>
      <w:r>
        <w:rPr/>
        <w:t xml:space="preserve">одной скучной работы, которая остановила у меня всё: и поэзию, и порядок, и которая одна теперь составляет, так сказать, мою жизнь, — смешно назвать эту работу, но оно так, и я до тех пор ничего не буду делать, ни о чем другом не буду заботиться, пока не кончу начатых давно своих </w:t>
      </w:r>
      <w:r>
        <w:rPr>
          <w:i/>
        </w:rPr>
        <w:t>грамматических таблиц</w:t>
      </w:r>
      <w:r>
        <w:rPr>
          <w:sz w:val="19"/>
          <w:vertAlign w:val="superscript"/>
        </w:rPr>
        <w:t>1</w:t>
      </w:r>
      <w:r>
        <w:rPr/>
        <w:t xml:space="preserve">, которые скоро кончатся — тогда гора свалится с плеч; я опять сделаюсь поэтом; </w:t>
      </w:r>
    </w:p>
    <w:p>
      <w:pPr>
        <w:pStyle w:val="Normal"/>
        <w:spacing w:before="0" w:after="235"/>
        <w:ind w:left="15" w:right="24" w:hanging="0"/>
        <w:rPr/>
      </w:pPr>
      <w:r>
        <w:rPr/>
        <w:t xml:space="preserve">опять начну к Вам писать порядочно. Теперь у меня лежит множество писем, ожидающих ответа, много планов в голове, ожидающих создания; Вы у меня в перспективе; вырвавшись из этих таблиц, как из клетки, скажу друзьям и поэзии: </w:t>
      </w:r>
      <w:r>
        <w:rPr>
          <w:i/>
        </w:rPr>
        <w:t>я ваш снова</w:t>
      </w:r>
      <w:r>
        <w:rPr/>
        <w:t>! До тех пор потерпите! Но Вы, милая, не имея грамматических таблиц, но имея мужа, детей, которых люблю, как можете молчать. Дивлюсь Вам с горем пополам. Дайте же о себе весточку. En attendant</w:t>
      </w:r>
      <w:r>
        <w:rPr>
          <w:rStyle w:val="FootnoteAnchor"/>
          <w:vertAlign w:val="superscript"/>
        </w:rPr>
        <w:footnoteReference w:id="2"/>
      </w:r>
      <w:r>
        <w:rPr/>
        <w:t xml:space="preserve"> вот Вам стихи, произведение минуты, </w:t>
      </w:r>
      <w:r>
        <w:rPr>
          <w:i/>
        </w:rPr>
        <w:t>мимопролетевшей</w:t>
      </w:r>
      <w:r>
        <w:rPr/>
        <w:t xml:space="preserve">, следовательно, Вам не дóлжно выводить из этой песни никаких заключений. Она написана для Вадковской, которая и лицом и голосом (когда поет) похожа на Анну Ивановну. Натурально, что с этим лицом и с этим голосом тесно связано прошлое. Но не думайте, чтобы настоящее было дурно: я им доволен. В моем теперешнем положении много жизни: и я нахожу его часто прекрасным, точно по мне. Одним словом, вообще не желаю перемены; и воспоминание, и прошедшее — не иное что, как сон, который следа не оставляет, который </w:t>
      </w:r>
      <w:r>
        <w:rPr>
          <w:i/>
        </w:rPr>
        <w:t>действует</w:t>
      </w:r>
      <w:r>
        <w:rPr/>
        <w:t xml:space="preserve"> только до тех пор, пока </w:t>
      </w:r>
      <w:r>
        <w:rPr>
          <w:i/>
        </w:rPr>
        <w:t>длится</w:t>
      </w:r>
      <w:r>
        <w:rPr/>
        <w:t xml:space="preserve"> — и этот сон редок; настоящее хорошо. После такого предисловия читайте смело:</w:t>
      </w:r>
    </w:p>
    <w:p>
      <w:pPr>
        <w:pStyle w:val="Normal"/>
        <w:spacing w:lineRule="auto" w:line="252" w:before="0" w:after="3"/>
        <w:ind w:left="2044" w:right="2213" w:hanging="2"/>
        <w:jc w:val="left"/>
        <w:rPr>
          <w:sz w:val="20"/>
        </w:rPr>
      </w:pPr>
      <w:r>
        <w:rPr>
          <w:sz w:val="20"/>
        </w:rPr>
        <w:t>Минувших дней очарованье!</w:t>
      </w:r>
    </w:p>
    <w:p>
      <w:pPr>
        <w:pStyle w:val="Normal"/>
        <w:spacing w:lineRule="auto" w:line="252" w:before="0" w:after="3"/>
        <w:ind w:left="2044" w:right="2213" w:hanging="2"/>
        <w:jc w:val="left"/>
        <w:rPr>
          <w:sz w:val="20"/>
        </w:rPr>
      </w:pPr>
      <w:r>
        <w:rPr>
          <w:sz w:val="20"/>
        </w:rPr>
        <w:t>Зачем опять воскресло ты?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Кто разбудил воспоминанье!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И замолчавшего мечты?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Шепнул душе привет бывалой!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Душе блеснул знакомый взор!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И зримо ей в минуту стало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Незримое с давнейших пор!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 xml:space="preserve">О милый гость, святое </w:t>
      </w:r>
      <w:r>
        <w:rPr>
          <w:i/>
          <w:iCs/>
          <w:sz w:val="20"/>
        </w:rPr>
        <w:t>Прежде</w:t>
      </w:r>
      <w:r>
        <w:rPr>
          <w:sz w:val="20"/>
        </w:rPr>
        <w:t>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Зачем в мою теснишься грудь?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 xml:space="preserve">Могу ль сказать: </w:t>
      </w:r>
      <w:r>
        <w:rPr>
          <w:i/>
          <w:iCs/>
          <w:sz w:val="20"/>
        </w:rPr>
        <w:t>живи</w:t>
      </w:r>
      <w:r>
        <w:rPr>
          <w:sz w:val="20"/>
        </w:rPr>
        <w:t>! Надежде?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Скажу ль тому, что было: будь!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Могу ль узреть во блеске новом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Мечты увядшей красоту?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Могу ль опять одеть покровом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Знакомой жизни наготу?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Зачем душа в тот край стремится,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Где были дни, каких уж нет?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Пустынный край не населится!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Не узрит он минувших лет!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Там есть один жилец безгласный,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Свидетель милой старины!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Там вместе с ним все дни прекрасны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  <w:t>В единый гроб положены!</w:t>
      </w:r>
    </w:p>
    <w:p>
      <w:pPr>
        <w:pStyle w:val="Normal"/>
        <w:spacing w:lineRule="auto" w:line="252" w:before="0" w:after="3"/>
        <w:ind w:left="2044" w:right="0" w:hanging="2"/>
        <w:jc w:val="left"/>
        <w:rPr>
          <w:sz w:val="20"/>
        </w:rPr>
      </w:pPr>
      <w:r>
        <w:rPr>
          <w:sz w:val="20"/>
        </w:rPr>
      </w:r>
    </w:p>
    <w:p>
      <w:pPr>
        <w:pStyle w:val="Normal"/>
        <w:ind w:left="15" w:right="24" w:firstLine="399"/>
        <w:rPr/>
      </w:pPr>
      <w:r>
        <w:rPr/>
        <w:t>Этот край — Чернь!</w:t>
      </w:r>
      <w:r>
        <w:rPr>
          <w:sz w:val="19"/>
          <w:vertAlign w:val="superscript"/>
        </w:rPr>
        <w:t>2</w:t>
      </w:r>
      <w:r>
        <w:rPr/>
        <w:t xml:space="preserve"> Но в Долбине есть жилец говорящий, красноречивый, милый, к которому много прекрасного спаслось и при котором оно живет, как в обетованном краю. Этому жильцу дай Бог долее пожить на этом свете, чтоб быть сторожем моего лучшего добра.</w:t>
      </w:r>
    </w:p>
    <w:p>
      <w:pPr>
        <w:pStyle w:val="Normal"/>
        <w:ind w:left="15" w:right="24" w:firstLine="399"/>
        <w:rPr/>
      </w:pPr>
      <w:r>
        <w:rPr/>
        <w:t>Но он был худой сторож моих книг</w:t>
      </w:r>
      <w:r>
        <w:rPr>
          <w:sz w:val="19"/>
          <w:vertAlign w:val="superscript"/>
        </w:rPr>
        <w:t>3</w:t>
      </w:r>
      <w:r>
        <w:rPr/>
        <w:t>. Так, матушка Авдотья Петровна! Уже более двух месяцев, как я перебрался на новую свою квартеру</w:t>
      </w:r>
      <w:r>
        <w:rPr>
          <w:sz w:val="19"/>
          <w:vertAlign w:val="superscript"/>
        </w:rPr>
        <w:t>4</w:t>
      </w:r>
      <w:r>
        <w:rPr/>
        <w:t xml:space="preserve"> и вынул из ящиков, Вами присланных, мои книги. Множество недостает. Я уверен, что целый ящик не прислан; но где он, не знаю. Вот реестр недостающего, то есть то, что я </w:t>
      </w:r>
      <w:r>
        <w:rPr>
          <w:i/>
        </w:rPr>
        <w:t>заметил</w:t>
      </w:r>
      <w:r>
        <w:rPr/>
        <w:t>; многих книг не помню</w:t>
      </w:r>
    </w:p>
    <w:tbl>
      <w:tblPr>
        <w:tblW w:w="6576" w:type="dxa"/>
        <w:jc w:val="left"/>
        <w:tblInd w:w="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8"/>
        <w:gridCol w:w="2888"/>
      </w:tblGrid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2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Carricaturen von Hogarth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5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4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9 тетрадей.</w:t>
            </w:r>
          </w:p>
        </w:tc>
      </w:tr>
      <w:tr>
        <w:trPr>
          <w:trHeight w:val="299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5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Erklärungen von Hogarth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6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3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2 — 7 </w:t>
            </w:r>
            <w:r>
              <w:rPr>
                <w:i/>
                <w:kern w:val="0"/>
                <w:sz w:val="20"/>
                <w:szCs w:val="22"/>
                <w:lang w:val="ru-RU" w:eastAsia="ru-RU" w:bidi="ar-SA"/>
              </w:rPr>
              <w:t>прислано.</w:t>
            </w:r>
          </w:p>
        </w:tc>
      </w:tr>
      <w:tr>
        <w:trPr>
          <w:trHeight w:val="298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6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Lessings Schriften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7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4" w:right="0" w:hanging="0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сам не знаю, сколько, но около 20.</w:t>
            </w:r>
          </w:p>
        </w:tc>
      </w:tr>
      <w:tr>
        <w:trPr>
          <w:trHeight w:val="298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Оeuvres de Louis XIV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8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2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7 — один прислан.</w:t>
            </w:r>
          </w:p>
        </w:tc>
      </w:tr>
      <w:tr>
        <w:trPr>
          <w:trHeight w:val="298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Théâtre des Grecs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9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4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9 — 4 у меня.</w:t>
            </w:r>
          </w:p>
        </w:tc>
      </w:tr>
      <w:tr>
        <w:trPr>
          <w:trHeight w:val="298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6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Répertoire du Théâtre français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10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3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20 — 3 у меня.</w:t>
            </w:r>
          </w:p>
        </w:tc>
      </w:tr>
      <w:tr>
        <w:trPr>
          <w:trHeight w:val="298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Théâtre de Senèque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11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1 — 1 прислан.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6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Fabellese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12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1 — 1 прислан.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Style14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000000"/>
                <w:spacing w:val="0"/>
                <w:w w:val="100"/>
                <w:sz w:val="19"/>
                <w:szCs w:val="19"/>
                <w:shd w:fill="auto" w:val="clear"/>
                <w:lang w:val="fr-FR" w:eastAsia="fr-FR" w:bidi="fr-FR"/>
              </w:rPr>
              <w:t>Bossuet Oraisons funèbres</w:t>
            </w:r>
            <w:r>
              <w:rPr>
                <w:color w:val="000000"/>
                <w:spacing w:val="0"/>
                <w:w w:val="100"/>
                <w:sz w:val="19"/>
                <w:szCs w:val="19"/>
                <w:shd w:fill="auto" w:val="clear"/>
                <w:vertAlign w:val="superscript"/>
                <w:lang w:val="fr-FR" w:eastAsia="fr-FR" w:bidi="fr-FR"/>
              </w:rPr>
              <w:t>13</w:t>
            </w:r>
          </w:p>
        </w:tc>
        <w:tc>
          <w:tcPr>
            <w:tcW w:w="2888" w:type="dxa"/>
            <w:tcBorders/>
          </w:tcPr>
          <w:p>
            <w:pPr>
              <w:pStyle w:val="Heading1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259" w:before="0" w:after="164"/>
              <w:ind w:left="10" w:right="97" w:hanging="10"/>
              <w:jc w:val="center"/>
              <w:rPr/>
            </w:pPr>
            <w:r>
              <w:rPr/>
              <w:t>2.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tabs>
                <w:tab w:val="clear" w:pos="709"/>
                <w:tab w:val="center" w:pos="3774" w:leader="none"/>
              </w:tabs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Heerens über den Verkehr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14</w:t>
            </w:r>
          </w:p>
        </w:tc>
        <w:tc>
          <w:tcPr>
            <w:tcW w:w="2888" w:type="dxa"/>
            <w:tcBorders/>
          </w:tcPr>
          <w:p>
            <w:pPr>
              <w:pStyle w:val="Heading1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259" w:before="0" w:after="164"/>
              <w:ind w:left="10" w:right="97" w:hanging="10"/>
              <w:jc w:val="center"/>
              <w:rPr/>
            </w:pPr>
            <w:r>
              <w:rPr/>
              <w:t>3.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8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Lettres athéniennes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15</w:t>
            </w:r>
          </w:p>
        </w:tc>
        <w:tc>
          <w:tcPr>
            <w:tcW w:w="2888" w:type="dxa"/>
            <w:tcBorders/>
          </w:tcPr>
          <w:p>
            <w:pPr>
              <w:pStyle w:val="Heading1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259" w:before="0" w:after="164"/>
              <w:ind w:left="10" w:right="97" w:hanging="10"/>
              <w:jc w:val="center"/>
              <w:rPr/>
            </w:pPr>
            <w:r>
              <w:rPr/>
              <w:t>3.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Tacite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16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3 — 2 присланы.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8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Hume History of England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17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3 — 2 присланы.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2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Gibbon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18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2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7 — 7 присланы.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8" w:right="0" w:hanging="0"/>
              <w:jc w:val="left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 w:val="20"/>
                <w:szCs w:val="22"/>
                <w:lang w:val="en-US" w:eastAsia="ru-RU" w:bidi="ar-SA"/>
              </w:rPr>
              <w:t>Roscoe Vie de Laurent Medicis</w:t>
            </w:r>
            <w:r>
              <w:rPr>
                <w:kern w:val="0"/>
                <w:sz w:val="18"/>
                <w:szCs w:val="22"/>
                <w:vertAlign w:val="superscript"/>
                <w:lang w:val="en-US" w:eastAsia="ru-RU" w:bidi="ar-SA"/>
              </w:rPr>
              <w:t>19</w:t>
            </w:r>
          </w:p>
        </w:tc>
        <w:tc>
          <w:tcPr>
            <w:tcW w:w="2888" w:type="dxa"/>
            <w:tcBorders/>
          </w:tcPr>
          <w:p>
            <w:pPr>
              <w:pStyle w:val="Heading1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259" w:before="0" w:after="164"/>
              <w:ind w:left="10" w:right="97" w:hanging="10"/>
              <w:jc w:val="center"/>
              <w:rPr/>
            </w:pPr>
            <w:r>
              <w:rPr/>
              <w:t>2.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2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Gillis History of Greece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20</w:t>
            </w:r>
          </w:p>
        </w:tc>
        <w:tc>
          <w:tcPr>
            <w:tcW w:w="2888" w:type="dxa"/>
            <w:tcBorders/>
          </w:tcPr>
          <w:p>
            <w:pPr>
              <w:pStyle w:val="Heading1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259" w:before="0" w:after="164"/>
              <w:ind w:left="10" w:right="97" w:hanging="10"/>
              <w:jc w:val="center"/>
              <w:rPr/>
            </w:pPr>
            <w:r>
              <w:rPr/>
              <w:t>5.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2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Gast History of Greece</w:t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>21</w:t>
            </w:r>
          </w:p>
        </w:tc>
        <w:tc>
          <w:tcPr>
            <w:tcW w:w="2888" w:type="dxa"/>
            <w:tcBorders/>
          </w:tcPr>
          <w:p>
            <w:pPr>
              <w:pStyle w:val="Heading1"/>
              <w:keepNext w:val="true"/>
              <w:keepLines/>
              <w:widowControl/>
              <w:numPr>
                <w:ilvl w:val="0"/>
                <w:numId w:val="0"/>
              </w:numPr>
              <w:bidi w:val="0"/>
              <w:spacing w:lineRule="auto" w:line="259" w:before="0" w:after="164"/>
              <w:ind w:left="10" w:right="97" w:hanging="10"/>
              <w:jc w:val="center"/>
              <w:rPr/>
            </w:pPr>
            <w:r>
              <w:rPr/>
              <w:t>2.</w:t>
            </w:r>
          </w:p>
        </w:tc>
      </w:tr>
      <w:tr>
        <w:trPr>
          <w:trHeight w:val="277" w:hRule="atLeast"/>
        </w:trPr>
        <w:tc>
          <w:tcPr>
            <w:tcW w:w="36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8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Hubler Allgemeinе Geschichte</w:t>
            </w:r>
            <w:r>
              <w:rPr>
                <w:rStyle w:val="FootnoteAnchor"/>
                <w:kern w:val="0"/>
                <w:sz w:val="20"/>
                <w:szCs w:val="22"/>
                <w:vertAlign w:val="superscript"/>
                <w:lang w:val="ru-RU" w:eastAsia="ru-RU" w:bidi="ar-SA"/>
              </w:rPr>
              <w:footnoteReference w:id="3"/>
            </w:r>
            <w:r>
              <w:rPr>
                <w:kern w:val="0"/>
                <w:sz w:val="18"/>
                <w:szCs w:val="22"/>
                <w:vertAlign w:val="superscript"/>
                <w:lang w:val="ru-RU" w:eastAsia="ru-RU" w:bidi="ar-SA"/>
              </w:rPr>
              <w:t xml:space="preserve"> 22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20"/>
                <w:szCs w:val="22"/>
                <w:lang w:val="ru-RU" w:eastAsia="ru-RU" w:bidi="ar-SA"/>
              </w:rPr>
            </w:pPr>
            <w:r>
              <w:rPr>
                <w:kern w:val="0"/>
                <w:sz w:val="20"/>
                <w:szCs w:val="22"/>
                <w:lang w:val="ru-RU" w:eastAsia="ru-RU" w:bidi="ar-SA"/>
              </w:rPr>
              <w:t>3 — 2 присланы.</w:t>
            </w:r>
          </w:p>
        </w:tc>
      </w:tr>
    </w:tbl>
    <w:p>
      <w:pPr>
        <w:pStyle w:val="Normal"/>
        <w:spacing w:lineRule="auto" w:line="252" w:before="0" w:after="297"/>
        <w:ind w:left="68" w:right="0" w:hanging="2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52" w:before="0" w:after="297"/>
        <w:ind w:left="68" w:right="0" w:hanging="2"/>
        <w:jc w:val="left"/>
        <w:rPr/>
      </w:pPr>
      <w:r>
        <w:rPr>
          <w:sz w:val="20"/>
        </w:rPr>
        <w:t>Несколько Атласов, д’Анвилев и новый, сколько их было, не помню</w:t>
      </w:r>
      <w:r>
        <w:rPr>
          <w:sz w:val="18"/>
          <w:vertAlign w:val="superscript"/>
        </w:rPr>
        <w:t>23</w:t>
      </w:r>
      <w:r>
        <w:rPr>
          <w:sz w:val="20"/>
        </w:rPr>
        <w:t>.</w:t>
      </w:r>
    </w:p>
    <w:p>
      <w:pPr>
        <w:pStyle w:val="Normal"/>
        <w:ind w:left="15" w:right="24" w:firstLine="399"/>
        <w:rPr/>
      </w:pPr>
      <w:r>
        <w:rPr/>
        <w:t>Поищите всё это и пришлите. О пересылке прошу Вас условиться с Букильоном</w:t>
      </w:r>
      <w:r>
        <w:rPr>
          <w:sz w:val="19"/>
          <w:vertAlign w:val="superscript"/>
        </w:rPr>
        <w:t>24</w:t>
      </w:r>
      <w:r>
        <w:rPr/>
        <w:t xml:space="preserve"> и послать зимним путем с лошадьми Плещеева. Когда кончу таблицы, буду писать много; напишите об этом и к Анете, о которой также ничего не знаю. Хорош я, и хороши мы.</w:t>
      </w:r>
    </w:p>
    <w:p>
      <w:pPr>
        <w:pStyle w:val="Normal"/>
        <w:spacing w:before="0" w:after="319"/>
        <w:ind w:left="15" w:right="24" w:firstLine="399"/>
        <w:rPr/>
      </w:pPr>
      <w:r>
        <w:rPr/>
        <w:t>Простите друзья, всех целую! Алексея, Петра, Ивана, Василия, Машу — Василья и Дуньку</w:t>
      </w:r>
      <w:r>
        <w:rPr>
          <w:sz w:val="19"/>
          <w:vertAlign w:val="superscript"/>
        </w:rPr>
        <w:t>25</w:t>
      </w:r>
      <w:r>
        <w:rPr/>
        <w:t>. Бог с вами. И немногие от таблиц примолкли</w:t>
      </w:r>
      <w:r>
        <w:rPr>
          <w:sz w:val="19"/>
          <w:vertAlign w:val="superscript"/>
        </w:rPr>
        <w:t>26</w:t>
      </w:r>
      <w:r>
        <w:rPr/>
        <w:t>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192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 ожидании, пока что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276"/>
        <w:ind w:left="12" w:right="37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Карикатуры Хогарта; Объяснения к Хогарту; Сочинения Лессинга; Записки Людовика XIV; Репертуар французского театра; Театр греков; Театр Сенеки; Избранные басни; Боссюэ Надгробные речи; Герен о путях сообщения; Афинские письма; Тацит; Юм История </w:t>
      </w:r>
    </w:p>
    <w:p>
      <w:pPr>
        <w:pStyle w:val="Footnotedescription"/>
        <w:spacing w:lineRule="auto" w:line="247"/>
        <w:ind w:left="13" w:right="28" w:hanging="13"/>
        <w:rPr/>
      </w:pPr>
      <w:r>
        <w:rPr/>
        <w:t>Англии; Гиббон; Роско Жизнь Лоренцо Медичи; Джиллис История Греции; Гаст История Греции; Хублер Всеобщая История (</w:t>
      </w:r>
      <w:r>
        <w:rPr>
          <w:i/>
        </w:rPr>
        <w:t>нем., 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723</Words>
  <Characters>3763</Characters>
  <CharactersWithSpaces>4433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398. </dc:title>
</cp:coreProperties>
</file>