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455. </w:t>
      </w:r>
    </w:p>
    <w:p>
      <w:pPr>
        <w:pStyle w:val="Normal"/>
        <w:spacing w:lineRule="auto" w:line="259" w:before="0" w:after="1"/>
        <w:ind w:left="23" w:right="97" w:hanging="10"/>
        <w:jc w:val="center"/>
        <w:rPr>
          <w:b/>
          <w:b/>
          <w:sz w:val="23"/>
        </w:rPr>
      </w:pPr>
      <w:r>
        <w:rPr>
          <w:b/>
          <w:sz w:val="23"/>
        </w:rPr>
        <w:t>А. А. Воейковой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&lt;Около 8/20 февраля 1821 г. Берлин&gt;</w:t>
      </w:r>
    </w:p>
    <w:p>
      <w:pPr>
        <w:pStyle w:val="Normal"/>
        <w:ind w:left="15" w:right="24" w:firstLine="399"/>
        <w:rPr/>
      </w:pPr>
      <w:r>
        <w:rPr/>
        <w:t xml:space="preserve">Мой добрый ангел Сашка, я получил ваше </w:t>
      </w:r>
      <w:r>
        <w:rPr>
          <w:i/>
        </w:rPr>
        <w:t xml:space="preserve">двойное </w:t>
      </w:r>
      <w:r>
        <w:rPr/>
        <w:t>письмо</w:t>
      </w:r>
      <w:r>
        <w:rPr>
          <w:sz w:val="19"/>
          <w:vertAlign w:val="superscript"/>
        </w:rPr>
        <w:t>1</w:t>
      </w:r>
      <w:r>
        <w:rPr/>
        <w:t xml:space="preserve"> и прочитал его с чувством, возвышающим сердце. Это возвышение есть всегдашнее действие твоего голоса, моя Сашка, ты сделана для того, чтобы пленять душу, способную чувствовать прекрасное. Пока буду не просто знать тебя, а знать тебя и чувствовать, до тех пор могу еще полагаться на себя. Это письмо, написанное вами вместе, говорит мне так много; в нем, несмотря на примесь горького, есть много утешительного и успокаивающего, какая разница в вашей судьбе и какое сходство в ваших сердцах. И как это письмо доказывает, что в здешней жизни всё к одному, </w:t>
      </w:r>
      <w:r>
        <w:rPr>
          <w:i/>
        </w:rPr>
        <w:t>всё для души</w:t>
      </w:r>
      <w:r>
        <w:rPr>
          <w:sz w:val="19"/>
          <w:vertAlign w:val="superscript"/>
        </w:rPr>
        <w:t>2</w:t>
      </w:r>
      <w:r>
        <w:rPr/>
        <w:t xml:space="preserve">. В Машиных строках чувствительно ее настоящее счастье, тихое, нероманическое, но украшенное, оживленное ее душою, которая редко сказывается, но в которой глубоко спрятано всё, что есть лучшего: наконец, она имела минуту в жизни, в которую могла сказать от полноты сердца: </w:t>
      </w:r>
      <w:r>
        <w:rPr>
          <w:i/>
        </w:rPr>
        <w:t>Il y a tant de bonheur à vivre dans ce monde</w:t>
      </w:r>
      <w:r>
        <w:rPr/>
        <w:t>!</w:t>
      </w:r>
      <w:r>
        <w:rPr>
          <w:rStyle w:val="FootnoteAnchor"/>
          <w:vertAlign w:val="superscript"/>
        </w:rPr>
        <w:footnoteReference w:id="2"/>
      </w:r>
      <w:r>
        <w:rPr/>
        <w:t xml:space="preserve"> Как много для меня поэзии в этом слове! Она говорит это </w:t>
      </w:r>
      <w:r>
        <w:rPr>
          <w:i/>
        </w:rPr>
        <w:t>мне</w:t>
      </w:r>
      <w:r>
        <w:rPr/>
        <w:t xml:space="preserve">, и говорит </w:t>
      </w:r>
      <w:r>
        <w:rPr>
          <w:i/>
        </w:rPr>
        <w:t>вместе с тобою</w:t>
      </w:r>
      <w:r>
        <w:rPr/>
        <w:t xml:space="preserve">. И читать после ее письма твое — какое новое совсем другого рода чувство, какая разница в вашей судьбе и, несмотря на то, какое сходство в действии. После всего, что было, вы сошлись вместе, и Маша говорит: мы </w:t>
      </w:r>
      <w:r>
        <w:rPr>
          <w:i/>
        </w:rPr>
        <w:t xml:space="preserve">обе </w:t>
      </w:r>
      <w:r>
        <w:rPr/>
        <w:t xml:space="preserve">блаженны, и ты повторяешь от полноты сердца: </w:t>
      </w:r>
      <w:r>
        <w:rPr>
          <w:i/>
        </w:rPr>
        <w:t>блаженны c’est le mot</w:t>
      </w:r>
      <w:r>
        <w:rPr/>
        <w:t>!</w:t>
      </w:r>
      <w:r>
        <w:rPr>
          <w:rStyle w:val="FootnoteAnchor"/>
          <w:vertAlign w:val="superscript"/>
        </w:rPr>
        <w:footnoteReference w:id="3"/>
      </w:r>
      <w:r>
        <w:rPr/>
        <w:t xml:space="preserve"> Можно сказать, что между этими двумя фразами есть бездна, и она вас не разделяет. Сашка, вот одна из тех минут в жизни, в которые можно ясно понять, для чего дана нам жизнь! Какой светлый фонарь!</w:t>
      </w:r>
      <w:r>
        <w:rPr>
          <w:sz w:val="19"/>
          <w:vertAlign w:val="superscript"/>
        </w:rPr>
        <w:t>3</w:t>
      </w:r>
      <w:r>
        <w:rPr/>
        <w:t xml:space="preserve"> Как я люблю тебя с этим словом </w:t>
      </w:r>
      <w:r>
        <w:rPr>
          <w:i/>
        </w:rPr>
        <w:t>мы блаженны</w:t>
      </w:r>
      <w:r>
        <w:rPr/>
        <w:t xml:space="preserve"> ввиду счастья, которое не </w:t>
      </w:r>
      <w:r>
        <w:rPr>
          <w:i/>
        </w:rPr>
        <w:t>твое</w:t>
      </w:r>
      <w:r>
        <w:rPr/>
        <w:t xml:space="preserve">, а </w:t>
      </w:r>
      <w:r>
        <w:rPr>
          <w:i/>
        </w:rPr>
        <w:t>наше</w:t>
      </w:r>
      <w:r>
        <w:rPr/>
        <w:t xml:space="preserve">, мой ангел, на что тебе </w:t>
      </w:r>
      <w:r>
        <w:rPr>
          <w:i/>
        </w:rPr>
        <w:t>забывать</w:t>
      </w:r>
      <w:r>
        <w:rPr/>
        <w:t xml:space="preserve">! Твоя судьба есть Божья благодатная буря; рад бы сказать ей </w:t>
      </w:r>
      <w:r>
        <w:rPr>
          <w:i/>
        </w:rPr>
        <w:t>оборотись в ясный день</w:t>
      </w:r>
      <w:r>
        <w:rPr/>
        <w:t>, но смотреть на нее иначе нельзя как на коленях, как с чувством высоким, зна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менующим присутствие Бога, скрытого за этою бурею.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>Et vous aussi vous avez monté la montagne de Cachemire</w:t>
      </w:r>
      <w:r>
        <w:rPr>
          <w:rStyle w:val="FootnoteAnchor"/>
          <w:color w:val="000000"/>
          <w:spacing w:val="0"/>
          <w:w w:val="100"/>
          <w:sz w:val="12"/>
          <w:szCs w:val="12"/>
          <w:shd w:fill="auto" w:val="clear"/>
          <w:vertAlign w:val="superscript"/>
          <w:lang w:val="fr-FR" w:eastAsia="fr-FR" w:bidi="fr-FR"/>
        </w:rPr>
        <w:footnoteReference w:id="4"/>
      </w:r>
      <w:r>
        <w:rPr>
          <w:color w:val="000000"/>
          <w:spacing w:val="0"/>
          <w:w w:val="100"/>
          <w:sz w:val="12"/>
          <w:szCs w:val="12"/>
          <w:shd w:fill="auto" w:val="clear"/>
          <w:vertAlign w:val="superscript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shd w:fill="auto" w:val="clear"/>
          <w:vertAlign w:val="superscript"/>
          <w:lang w:val="fr-FR" w:eastAsia="fr-FR" w:bidi="fr-FR"/>
        </w:rPr>
        <w:t>4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: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но знай, и пусть будет это твоим новым </w:t>
      </w:r>
      <w:r>
        <w:rPr/>
        <w:t>утешением, ты стоишь на этой горе не одна и не для одной себя</w:t>
      </w:r>
      <w:r>
        <w:rPr>
          <w:sz w:val="19"/>
          <w:vertAlign w:val="superscript"/>
        </w:rPr>
        <w:t>4</w:t>
      </w:r>
      <w:r>
        <w:rPr/>
        <w:t>. Знай, что ты имеешь именно твоею теперешнею жизнию благодетельное влияние и на нас. Я говорю здесь и о Тургеневе</w:t>
      </w:r>
      <w:r>
        <w:rPr>
          <w:vertAlign w:val="superscript"/>
        </w:rPr>
        <w:t>*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>Разве мало быть тебе для нас животворительницею</w:t>
      </w:r>
      <w:r>
        <w:rPr>
          <w:vertAlign w:val="superscript"/>
        </w:rPr>
        <w:t>*</w:t>
      </w:r>
      <w:r>
        <w:rPr>
          <w:rStyle w:val="FootnoteAnchor"/>
          <w:vertAlign w:val="superscript"/>
        </w:rPr>
        <w:footnoteReference w:id="5"/>
      </w:r>
      <w:r>
        <w:rPr/>
        <w:t xml:space="preserve"> — то, что </w:t>
      </w:r>
      <w:r>
        <w:rPr>
          <w:i/>
        </w:rPr>
        <w:t>ты теперь</w:t>
      </w:r>
      <w:r>
        <w:rPr/>
        <w:t xml:space="preserve"> есть для нас что-то </w:t>
      </w:r>
      <w:r>
        <w:rPr>
          <w:i/>
        </w:rPr>
        <w:t>ободрительное</w:t>
      </w:r>
      <w:r>
        <w:rPr/>
        <w:t xml:space="preserve">, священное. Надобно любить ту жизнь, в которой ты товарищ; но этого мало, надобно стоить товарищества. В своем письме ты говоришь только о Маше, ты описываешь ее так живо и верно, а о себе почти ни слова! но в этом я еще более вижу тебя, нежели Машу, тебя, свидетеля ее рая; ты смотришь на него из своей пустыни. </w:t>
      </w:r>
      <w:r>
        <w:rPr>
          <w:i/>
        </w:rPr>
        <w:t>Je suis si heureuse, si triste, si troublée, si calme</w:t>
      </w:r>
      <w:r>
        <w:rPr>
          <w:vertAlign w:val="superscript"/>
        </w:rPr>
        <w:t>*</w:t>
      </w:r>
      <w:r>
        <w:rPr>
          <w:rStyle w:val="FootnoteAnchor"/>
          <w:vertAlign w:val="superscript"/>
        </w:rPr>
        <w:footnoteReference w:id="6"/>
      </w:r>
      <w:r>
        <w:rPr>
          <w:rStyle w:val="FootnoteAnchor"/>
          <w:vertAlign w:val="superscript"/>
        </w:rPr>
        <w:footnoteReference w:id="7"/>
      </w:r>
      <w:r>
        <w:rPr/>
        <w:t xml:space="preserve">. Что можно сказать на эти слова, в которых всё, что есть лучшего в душе человеческой! Рад бы дать тебе всё возможное счастье, но как иногда позволить себе жалеть о тебе! ты стоишь счастья, но сколько прекрасного нашла ты именно на той дороге, по которой ведет тебя Провидение. И когда подумаешь, что ты имеешь </w:t>
      </w:r>
      <w:r>
        <w:rPr>
          <w:i/>
        </w:rPr>
        <w:t>веру</w:t>
      </w:r>
      <w:r>
        <w:rPr/>
        <w:t>, что твоя религия основана не на размышлениях, а извлечена непосредственно из твоей судьбы, тогда останешься в нерешимости: желать ли тебе &lt;</w:t>
      </w:r>
      <w:r>
        <w:rPr>
          <w:i/>
        </w:rPr>
        <w:t>чего</w:t>
      </w:r>
      <w:r>
        <w:rPr/>
        <w:t>&gt;</w:t>
      </w:r>
      <w:r>
        <w:rPr>
          <w:sz w:val="19"/>
          <w:vertAlign w:val="superscript"/>
        </w:rPr>
        <w:t>5</w:t>
      </w:r>
      <w:r>
        <w:rPr/>
        <w:t xml:space="preserve"> другого или нет; останешься с уверенностью только в том, что надобно любить тебя, стараться быть тебя достойным и что лучшее на сем свете не счастье, а добродетель!</w:t>
      </w:r>
    </w:p>
    <w:p>
      <w:pPr>
        <w:pStyle w:val="Normal"/>
        <w:spacing w:before="0" w:after="5"/>
        <w:ind w:left="15" w:right="24" w:firstLine="399"/>
        <w:rPr/>
      </w:pPr>
      <w:r>
        <w:rPr/>
        <w:t xml:space="preserve">Я здесь однажды шел по улице. На перекрестках, на углах домов обыкновенно приклеиваются объявления. Я остановился перед одним, вновь приклеенным. Около него было множество остатков от старых, уже сорванных объявлений, одни из этих остатков были еще свежи, другие уже позеленели от воздуха, а прочих и следа не было. Это был хаос без всякой формы и порядку. Однако было новое, но и то </w:t>
      </w:r>
      <w:r>
        <w:rPr>
          <w:i/>
        </w:rPr>
        <w:t>до завтра</w:t>
      </w:r>
      <w:r>
        <w:rPr/>
        <w:t xml:space="preserve">. Это жизнь наша. Здесь всё не иное что, как объявление для </w:t>
      </w:r>
      <w:r>
        <w:rPr>
          <w:i/>
        </w:rPr>
        <w:t>проходящего</w:t>
      </w:r>
      <w:r>
        <w:rPr/>
        <w:t xml:space="preserve">. Прочти, воспользуйся и не заботься о клочке бумаги, которого скоро и след исчезнет. Главное не то, чтобы, остановясь перед сим объявлением, сказать </w:t>
      </w:r>
      <w:r>
        <w:rPr>
          <w:i/>
        </w:rPr>
        <w:t>оно мое</w:t>
      </w:r>
      <w:r>
        <w:rPr/>
        <w:t xml:space="preserve">, а в том, чтобы прочитать и </w:t>
      </w:r>
      <w:r>
        <w:rPr>
          <w:i/>
        </w:rPr>
        <w:t>мимо идти</w:t>
      </w:r>
      <w:r>
        <w:rPr/>
        <w:t xml:space="preserve">. Всё для </w:t>
      </w:r>
      <w:r>
        <w:rPr>
          <w:i/>
        </w:rPr>
        <w:t>проходящего</w:t>
      </w:r>
      <w:r>
        <w:rPr/>
        <w:t xml:space="preserve">, </w:t>
      </w:r>
      <w:r>
        <w:rPr>
          <w:i/>
        </w:rPr>
        <w:t>всё для души</w:t>
      </w:r>
      <w:r>
        <w:rPr/>
        <w:t xml:space="preserve">. Хорошо, если умеешь </w:t>
      </w:r>
      <w:r>
        <w:rPr>
          <w:i/>
        </w:rPr>
        <w:t>читать</w:t>
      </w:r>
      <w:r>
        <w:rPr/>
        <w:t xml:space="preserve">, а умея, </w:t>
      </w:r>
      <w:r>
        <w:rPr>
          <w:i/>
        </w:rPr>
        <w:t>не лениться и воспользоваться читанным</w:t>
      </w:r>
      <w:r>
        <w:rPr/>
        <w:t>. Докончи сама сравнение.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273" w:leader="none"/>
        </w:tabs>
        <w:spacing w:before="0" w:after="31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Сколько счастья в этом мире! (</w:t>
      </w:r>
      <w:r>
        <w:rPr>
          <w:i/>
        </w:rPr>
        <w:t>франц.</w:t>
      </w:r>
      <w:r>
        <w:rPr/>
        <w:t>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785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Вот верное слово!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785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>
          <w:color w:val="000000"/>
          <w:spacing w:val="0"/>
          <w:w w:val="100"/>
          <w:sz w:val="12"/>
          <w:szCs w:val="12"/>
          <w:shd w:fill="auto" w:val="clear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И ты тоже поднялась на гору Кашмира (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франц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).</w:t>
      </w:r>
    </w:p>
  </w:footnote>
  <w:footnote w:id="5">
    <w:p>
      <w:pPr>
        <w:pStyle w:val="Footnotedescription"/>
        <w:tabs>
          <w:tab w:val="clear" w:pos="709"/>
          <w:tab w:val="center" w:pos="451" w:leader="none"/>
          <w:tab w:val="right" w:pos="7198" w:leader="none"/>
        </w:tabs>
        <w:spacing w:before="0" w:after="49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Далее следует приписка А. И. Тургенева, скопированная рукой Воейковой: </w:t>
        <w:br/>
        <w:t>«Многое может ли в свете горе сравниться с тем, что Ж&lt;уковский&gt; ошибся в этом случае. Благодетельное влияние!</w:t>
      </w:r>
      <w:r>
        <w:rPr>
          <w:i/>
        </w:rPr>
        <w:t xml:space="preserve"> Après ce que vous avez dit hier!</w:t>
      </w:r>
      <w:r>
        <w:rPr/>
        <w:t xml:space="preserve"> &lt;После того, что вы сказали вчера! (</w:t>
      </w:r>
      <w:r>
        <w:rPr>
          <w:i/>
        </w:rPr>
        <w:t>франц.</w:t>
      </w:r>
      <w:r>
        <w:rPr/>
        <w:t>)&gt;».</w:t>
      </w:r>
    </w:p>
  </w:footnote>
  <w:footnote w:id="6">
    <w:p>
      <w:pPr>
        <w:pStyle w:val="Footnotedescription"/>
        <w:spacing w:lineRule="auto" w:line="295"/>
        <w:ind w:left="25" w:right="28" w:firstLine="452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Далее скопирована приписка А. А. Воейковой: «Тургенев, сжальтесь надо мною, дайте мне жить!»</w:t>
      </w:r>
    </w:p>
  </w:footnote>
  <w:footnote w:id="7">
    <w:p>
      <w:pPr>
        <w:pStyle w:val="Footnotedescription"/>
        <w:spacing w:lineRule="auto" w:line="295"/>
        <w:ind w:left="25" w:right="28" w:firstLine="452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Я так счастлива, так печальна, так взволнована, так спокойна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762</Words>
  <Characters>3838</Characters>
  <CharactersWithSpaces>4597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455. </dc:title>
</cp:coreProperties>
</file>