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238. </w:t>
      </w:r>
    </w:p>
    <w:p>
      <w:pPr>
        <w:pStyle w:val="Normal"/>
        <w:spacing w:lineRule="auto" w:line="259" w:before="0" w:after="4"/>
        <w:ind w:left="99" w:right="156" w:hanging="10"/>
        <w:jc w:val="center"/>
        <w:rPr/>
      </w:pPr>
      <w:r>
        <w:rPr>
          <w:b/>
          <w:sz w:val="23"/>
        </w:rPr>
        <w:t>А</w:t>
      </w:r>
      <w:r>
        <w:rPr>
          <w:b/>
          <w:sz w:val="23"/>
          <w:lang w:val="en-US"/>
        </w:rPr>
        <w:t xml:space="preserve">. </w:t>
      </w:r>
      <w:r>
        <w:rPr>
          <w:b/>
          <w:sz w:val="23"/>
        </w:rPr>
        <w:t>И</w:t>
      </w:r>
      <w:r>
        <w:rPr>
          <w:b/>
          <w:sz w:val="23"/>
          <w:lang w:val="en-US"/>
        </w:rPr>
        <w:t xml:space="preserve">. </w:t>
      </w:r>
      <w:r>
        <w:rPr>
          <w:b/>
          <w:sz w:val="23"/>
        </w:rPr>
        <w:t>Тургеневу</w:t>
      </w:r>
    </w:p>
    <w:p>
      <w:pPr>
        <w:pStyle w:val="Normal"/>
        <w:spacing w:lineRule="auto" w:line="259" w:before="0" w:after="164"/>
        <w:ind w:left="78" w:right="116" w:hanging="10"/>
        <w:jc w:val="center"/>
        <w:rPr>
          <w:i/>
          <w:i/>
        </w:rPr>
      </w:pPr>
      <w:r>
        <w:rPr>
          <w:i/>
        </w:rPr>
        <w:t>4 августа &lt;1815 г. Дерпт&gt;</w:t>
      </w:r>
    </w:p>
    <w:p>
      <w:pPr>
        <w:pStyle w:val="Normal"/>
        <w:spacing w:lineRule="auto" w:line="247" w:before="0" w:after="162"/>
        <w:ind w:left="404" w:right="68" w:hanging="10"/>
        <w:jc w:val="right"/>
        <w:rPr>
          <w:sz w:val="20"/>
        </w:rPr>
      </w:pPr>
      <w:r>
        <w:rPr>
          <w:sz w:val="20"/>
        </w:rPr>
        <w:t>4 августа</w:t>
      </w:r>
    </w:p>
    <w:p>
      <w:pPr>
        <w:pStyle w:val="Normal"/>
        <w:ind w:left="15" w:right="16" w:firstLine="396"/>
        <w:rPr/>
      </w:pPr>
      <w:r>
        <w:rPr/>
        <w:t>Я получил от Анны Петровны Юшковой</w:t>
      </w:r>
      <w:r>
        <w:rPr>
          <w:sz w:val="19"/>
          <w:vertAlign w:val="superscript"/>
        </w:rPr>
        <w:t>1</w:t>
      </w:r>
      <w:r>
        <w:rPr/>
        <w:t xml:space="preserve"> письмо, в котором большие тебе благодарности за такое </w:t>
      </w:r>
      <w:r>
        <w:rPr>
          <w:i/>
        </w:rPr>
        <w:t>скорое, деятельное и внимательное</w:t>
      </w:r>
      <w:r>
        <w:rPr/>
        <w:t xml:space="preserve"> исполнение ее просьбы. Если бы ты сам получил эти благодарности, то, вероятно, поверил бы, </w:t>
      </w:r>
    </w:p>
    <w:p>
      <w:pPr>
        <w:pStyle w:val="Normal"/>
        <w:ind w:left="18" w:right="16" w:hanging="3"/>
        <w:rPr/>
      </w:pPr>
      <w:r>
        <w:rPr/>
        <w:t xml:space="preserve">что их стоишь. В самом деле, как ты хлопотал! Почти так же, как и о докторе Форе, который так восхищен тем, что еще по сию пору ничего не получил от </w:t>
      </w:r>
    </w:p>
    <w:p>
      <w:pPr>
        <w:pStyle w:val="Normal"/>
        <w:ind w:left="18" w:right="16" w:hanging="3"/>
        <w:rPr/>
      </w:pPr>
      <w:r>
        <w:rPr/>
        <w:t>Вязмитинова</w:t>
      </w:r>
      <w:r>
        <w:rPr>
          <w:sz w:val="19"/>
          <w:vertAlign w:val="superscript"/>
        </w:rPr>
        <w:t>2</w:t>
      </w:r>
      <w:r>
        <w:rPr/>
        <w:t>, что даже и не благодарит. В ответе своем Юшковой я тебя, однако, описал in naturalibus</w:t>
      </w:r>
      <w:r>
        <w:rPr>
          <w:rStyle w:val="FootnoteAnchor"/>
          <w:vertAlign w:val="superscript"/>
        </w:rPr>
        <w:footnoteReference w:id="2"/>
      </w:r>
      <w:r>
        <w:rPr/>
        <w:t xml:space="preserve"> и посылаю тебе твой портрет для того, чтобы ты мне сам сделал на него критические замечания. Письмо мое гласит так: </w:t>
      </w:r>
    </w:p>
    <w:p>
      <w:pPr>
        <w:pStyle w:val="Normal"/>
        <w:ind w:left="15" w:right="16" w:firstLine="381"/>
        <w:rPr/>
      </w:pPr>
      <w:r>
        <w:rPr/>
        <w:t>«Оставьте ваши scrupules</w:t>
      </w:r>
      <w:r>
        <w:rPr>
          <w:rStyle w:val="FootnoteAnchor"/>
          <w:vertAlign w:val="superscript"/>
        </w:rPr>
        <w:footnoteReference w:id="3"/>
      </w:r>
      <w:r>
        <w:rPr/>
        <w:t xml:space="preserve"> насчет Тургенева и не заботьтесь ни о формах благодарности, ни о самой благодарности. Вот человек, который одарен прямо высокою душою. Знаете ли, что мешает ему быть одним из первых людей? </w:t>
      </w:r>
      <w:r>
        <w:rPr>
          <w:i/>
        </w:rPr>
        <w:t>Толстота</w:t>
      </w:r>
      <w:r>
        <w:rPr/>
        <w:t xml:space="preserve">, которая заставляет его часто спать, вместо того чтобы действовать, и непроизвольная, но убийственная и для него почти непобедимая рассеянность, в которую бросили обстоятельства по службе. Прекрасная душа исчезает посреди этого вихря, и я даже не вижу способа помочь этому. Есть один способ; но, боюсь, если он его не воскресит, то убьет. Во время моего пребывания в Петербурге я провел с ним настоящим образом </w:t>
      </w:r>
      <w:r>
        <w:rPr>
          <w:i/>
        </w:rPr>
        <w:t>несколько часов</w:t>
      </w:r>
      <w:r>
        <w:rPr/>
        <w:t xml:space="preserve">, — но в эти часы я прямо был </w:t>
      </w:r>
      <w:r>
        <w:rPr>
          <w:i/>
        </w:rPr>
        <w:t>ему рад</w:t>
      </w:r>
      <w:r>
        <w:rPr/>
        <w:t xml:space="preserve">! Та же простая, превышающая всё, что вокруг нее, душа, какая была и во </w:t>
      </w:r>
      <w:r>
        <w:rPr>
          <w:i/>
        </w:rPr>
        <w:t>время оно</w:t>
      </w:r>
      <w:r>
        <w:rPr/>
        <w:t xml:space="preserve">. Он не имеет уважения к людям, потому что их знает и принужден возиться с ними в одном и том же навозе. Они почитают этот навоз приличною им отчизною, он же просто грязью. В нем две противности (от которых по большой части ему бывает плохо с самим собою); совершенное равнодушие к окружающему его, происходящее от того, что всё окружающее его </w:t>
      </w:r>
      <w:r>
        <w:rPr>
          <w:i/>
        </w:rPr>
        <w:t>не стоит</w:t>
      </w:r>
      <w:r>
        <w:rPr/>
        <w:t xml:space="preserve">, и невольная, но сильная (не душевная, а механическая) привязанность к этому ничтожному, произведение обстоятельств и врожденной беспечности. Он отдал себя, или, лучше сказать, кем-то отдан на волю потока, и несется в нем с грузом высоких чувств и мыслей, которые в нем радуют менее самого его, нежели его </w:t>
      </w:r>
      <w:r>
        <w:rPr>
          <w:i/>
        </w:rPr>
        <w:t>друзей</w:t>
      </w:r>
      <w:r>
        <w:rPr/>
        <w:t xml:space="preserve"> в те </w:t>
      </w:r>
      <w:r>
        <w:rPr>
          <w:i/>
        </w:rPr>
        <w:t>минуты</w:t>
      </w:r>
      <w:r>
        <w:rPr/>
        <w:t xml:space="preserve">, в которые удается им достичь до его чувств и мыслей. В эти минуты я всегда бывал с ним счастлив и поздравлял себя с именем его друга, потому что это есть великое достоинство. Особенная черта его: </w:t>
      </w:r>
      <w:r>
        <w:rPr>
          <w:i/>
        </w:rPr>
        <w:t>независимость</w:t>
      </w:r>
      <w:r>
        <w:rPr/>
        <w:t xml:space="preserve"> в образе мыслей и чувств ни от кого и ни от чего, и какая-то гордая </w:t>
      </w:r>
      <w:r>
        <w:rPr>
          <w:i/>
        </w:rPr>
        <w:t>беспечность</w:t>
      </w:r>
      <w:r>
        <w:rPr/>
        <w:t xml:space="preserve"> в открытии их перед другими, так что никакая осторожность, никакой, как говорят немцы, Menschenfurcht</w:t>
      </w:r>
      <w:r>
        <w:rPr>
          <w:rStyle w:val="FootnoteAnchor"/>
          <w:vertAlign w:val="superscript"/>
        </w:rPr>
        <w:footnoteReference w:id="4"/>
      </w:r>
      <w:r>
        <w:rPr/>
        <w:t xml:space="preserve">, его остановить не могут. </w:t>
      </w:r>
      <w:r>
        <w:rPr>
          <w:i/>
        </w:rPr>
        <w:t>Я знаю его совершенно</w:t>
      </w:r>
      <w:r>
        <w:rPr/>
        <w:t xml:space="preserve">. Но весьма немногим можно знать его; мелочному, или не близкому к нему, или только здравомыслящему человеку весьма легко иметь об нем самое обыкновенное или невыгодное мнение. Но он посреди невыгодных этих мнений и толков разгуливает свободно и беспечно и готов спать на острие тех ножей, которыми думают его изрезать. Он часто меня удивляет. Подумаешь, что он или дремлет, или не слушает, а вдруг скажет что-нибудь такое, что заключает в себе глубокую и справедливую мысль, точное вдохновение, но плод обдуманности и опыта. Мне всегда забавно видеть некоторых человеков, которые, не имея и не будучи способны иметь обо нем настоящее понятие, гуляют на его счет и, будучи безопасны под щитом его к ним невнимательности, судят его решительно, </w:t>
      </w:r>
    </w:p>
    <w:p>
      <w:pPr>
        <w:pStyle w:val="Normal"/>
        <w:ind w:left="18" w:right="16" w:hanging="3"/>
        <w:rPr/>
      </w:pPr>
      <w:r>
        <w:rPr/>
        <w:t xml:space="preserve">а его </w:t>
      </w:r>
      <w:r>
        <w:rPr>
          <w:i/>
        </w:rPr>
        <w:t>молчание</w:t>
      </w:r>
      <w:r>
        <w:rPr/>
        <w:t xml:space="preserve"> считают за признание, коего можно было бы справедливее принять за </w:t>
      </w:r>
      <w:r>
        <w:rPr>
          <w:i/>
        </w:rPr>
        <w:t>презрение</w:t>
      </w:r>
      <w:r>
        <w:rPr/>
        <w:t>, когда бы не было оно произведением самой простой беспечности насчет всего мелочного. Самолюбивому и мелочному человеку трудно его любить, потому что он слишком небрежет о формах и не щадит никакого самолюбия, менее от malignité</w:t>
      </w:r>
      <w:r>
        <w:rPr>
          <w:rStyle w:val="FootnoteAnchor"/>
          <w:vertAlign w:val="superscript"/>
        </w:rPr>
        <w:footnoteReference w:id="5"/>
      </w:r>
      <w:r>
        <w:rPr/>
        <w:t>, чем от беспечности. Много людей могут быть им недовольны, потому что множество на него требований, а он по беспечно-</w:t>
      </w:r>
    </w:p>
    <w:p>
      <w:pPr>
        <w:pStyle w:val="Normal"/>
        <w:ind w:left="18" w:right="16" w:hanging="3"/>
        <w:rPr/>
      </w:pPr>
      <w:r>
        <w:rPr/>
        <w:t xml:space="preserve">сти заботится только о том, что почитает важным, мелочное же забывает. Зато в важном случае никто так просто и бескорыстно не пожертвует </w:t>
      </w:r>
      <w:r>
        <w:rPr>
          <w:i/>
        </w:rPr>
        <w:t>собою</w:t>
      </w:r>
      <w:r>
        <w:rPr/>
        <w:t>, как он».</w:t>
      </w:r>
    </w:p>
    <w:p>
      <w:pPr>
        <w:pStyle w:val="Normal"/>
        <w:ind w:left="15" w:right="16" w:firstLine="402"/>
        <w:rPr/>
      </w:pPr>
      <w:r>
        <w:rPr/>
        <w:t>Видишь ли, что мне иногда бывает досуг говорить о тебе и что я так же о тебе иногда рассуждаю, как о плане своего «Владимира». Прочти это Софье Петровне</w:t>
      </w:r>
      <w:r>
        <w:rPr>
          <w:sz w:val="19"/>
          <w:vertAlign w:val="superscript"/>
        </w:rPr>
        <w:t>3</w:t>
      </w:r>
      <w:r>
        <w:rPr/>
        <w:t xml:space="preserve"> и сообщи мне ее мысли. Весьма будет мне весело, если мое о тебе понятие пройдет через ее сердце и в нем очистится. Теперь ты, верно, уже получил мое письмо. Вот дополнение к тому, что я писал к Уварову. Чтобы сделать для меня то, что мне надобно, вы должны иметь настоящее об нем понятие, то есть </w:t>
      </w:r>
    </w:p>
    <w:p>
      <w:pPr>
        <w:pStyle w:val="Normal"/>
        <w:ind w:left="18" w:right="16" w:hanging="3"/>
        <w:rPr/>
      </w:pPr>
      <w:r>
        <w:rPr/>
        <w:t>о том, что мне надобно. Боюсь</w:t>
      </w:r>
      <w:r>
        <w:rPr>
          <w:lang w:val="en-US"/>
        </w:rPr>
        <w:t xml:space="preserve"> </w:t>
      </w:r>
      <w:r>
        <w:rPr/>
        <w:t>я</w:t>
      </w:r>
      <w:r>
        <w:rPr>
          <w:lang w:val="en-US"/>
        </w:rPr>
        <w:t xml:space="preserve"> </w:t>
      </w:r>
      <w:r>
        <w:rPr/>
        <w:t>этих</w:t>
      </w:r>
      <w:r>
        <w:rPr>
          <w:lang w:val="en-US"/>
        </w:rPr>
        <w:t xml:space="preserve"> grands projets</w:t>
      </w:r>
      <w:r>
        <w:rPr>
          <w:rStyle w:val="FootnoteAnchor"/>
          <w:vertAlign w:val="superscript"/>
        </w:rPr>
        <w:footnoteReference w:id="6"/>
      </w:r>
      <w:r>
        <w:rPr>
          <w:sz w:val="19"/>
          <w:vertAlign w:val="superscript"/>
          <w:lang w:val="en-US"/>
        </w:rPr>
        <w:t>4</w:t>
      </w:r>
      <w:r>
        <w:rPr>
          <w:lang w:val="en-US"/>
        </w:rPr>
        <w:t xml:space="preserve">. </w:t>
      </w:r>
      <w:r>
        <w:rPr/>
        <w:t xml:space="preserve">Могут составить себе за меня какой-нибудь план моей жизни, да и убьют </w:t>
      </w:r>
      <w:r>
        <w:rPr>
          <w:i/>
        </w:rPr>
        <w:t>всё</w:t>
      </w:r>
      <w:r>
        <w:rPr/>
        <w:t>. Ты можешь обо мне переговорить и с Нелединским. Он в состоянии всё понять и всё объяснить государыне просто. Переговори с Уваровым и с ним и объясните всё между собою. Тебе, кажется, не нужно иметь от меня комментария на то, что мне надобно. Независимость, да и только! Способ писать, не заботясь о завтрашнем дне. Что, где и когда писать — мне на волю. Я не буду жильцом петербургским; но каждый год буду в Петербурге непременно. Вот главная мысль; остальное можешь придумать сам. Еще скажу одно. Мне бы хотелось в половине будущего года сделать путешествие в Киев и Крым</w:t>
      </w:r>
      <w:r>
        <w:rPr>
          <w:sz w:val="19"/>
          <w:vertAlign w:val="superscript"/>
        </w:rPr>
        <w:t>5</w:t>
      </w:r>
      <w:r>
        <w:rPr/>
        <w:t xml:space="preserve">. Это нужно для «Владимира». Первые полгода я употребил бы на приготовление; а последние — на путешествие. Но еще уговор, </w:t>
      </w:r>
    </w:p>
    <w:p>
      <w:pPr>
        <w:pStyle w:val="Normal"/>
        <w:ind w:left="18" w:right="16" w:hanging="3"/>
        <w:rPr/>
      </w:pPr>
      <w:r>
        <w:rPr/>
        <w:t xml:space="preserve">чтобы не давать чувствовать, что я пишу «Владимира», ищу покровительства для «Владимира»: если писать сделается для меня обязанностью непременною, </w:t>
      </w:r>
    </w:p>
    <w:p>
      <w:pPr>
        <w:pStyle w:val="Normal"/>
        <w:ind w:left="18" w:right="16" w:hanging="3"/>
        <w:rPr/>
      </w:pPr>
      <w:r>
        <w:rPr/>
        <w:t>то сказываю наперед, что написано ничего не будет. Отвечай на это письмо скорее. Когда мне надобно приехать?</w:t>
      </w:r>
    </w:p>
    <w:p>
      <w:pPr>
        <w:pStyle w:val="Normal"/>
        <w:spacing w:before="0" w:after="46"/>
        <w:ind w:left="15" w:right="16" w:firstLine="417"/>
        <w:rPr/>
      </w:pPr>
      <w:r>
        <w:rPr/>
        <w:t>Да если и на будущей почте ты ничего не напишешь мне о Форе, то я надуюсь не на шутку. Не посади меня в цепь мелочных людей, недовольных тобою за беспечность. Я не хочу принадлежать к этому классу. Прости. Обними за меня твоего несравненного Сергея и Николая</w:t>
      </w:r>
      <w:r>
        <w:rPr>
          <w:sz w:val="19"/>
          <w:vertAlign w:val="superscript"/>
        </w:rPr>
        <w:t>6</w:t>
      </w:r>
      <w:r>
        <w:rPr/>
        <w:t>. На свете много прекрасного и без счастья</w:t>
      </w:r>
      <w:r>
        <w:rPr>
          <w:sz w:val="19"/>
          <w:vertAlign w:val="superscript"/>
        </w:rPr>
        <w:t>7</w:t>
      </w:r>
      <w:r>
        <w:rPr/>
        <w:t>. Давеча поутру я нечаянно развернул Бутервека</w:t>
      </w:r>
      <w:r>
        <w:rPr>
          <w:sz w:val="19"/>
          <w:vertAlign w:val="superscript"/>
        </w:rPr>
        <w:t>8</w:t>
      </w:r>
      <w:r>
        <w:rPr/>
        <w:t xml:space="preserve"> и прочитал написанное на одной странице карандашом: Le bonheur consiste dans la vertu qui aime et dans la science qui éclaire</w:t>
      </w:r>
      <w:r>
        <w:rPr>
          <w:rStyle w:val="FootnoteAnchor"/>
          <w:vertAlign w:val="superscript"/>
        </w:rPr>
        <w:footnoteReference w:id="7"/>
      </w:r>
      <w:r>
        <w:rPr/>
        <w:t>. Это стало мне теперь понятнее. Душа добродетельная наслаждается, то есть любит с чистотою и бескорыстием; душа просвещенная судит себя и всё, что ее окружает; истина дает прочность наслаждению; великие мысли совершенствуют великие чувства, удерживают их на полете! Произведение всего этого есть счастье. Помнишь ли, чтó говорит Миллер: Lesen ist nichts; lesen und denken etwas; lesen, denken und fühlen die Vollkommenheit</w:t>
      </w:r>
      <w:r>
        <w:rPr>
          <w:rStyle w:val="FootnoteAnchor"/>
          <w:vertAlign w:val="superscript"/>
        </w:rPr>
        <w:footnoteReference w:id="8"/>
      </w:r>
      <w:r>
        <w:rPr>
          <w:sz w:val="19"/>
          <w:vertAlign w:val="superscript"/>
        </w:rPr>
        <w:t>9</w:t>
      </w:r>
      <w:r>
        <w:rPr/>
        <w:t>. На место lesen поставь leben</w:t>
      </w:r>
      <w:r>
        <w:rPr>
          <w:vertAlign w:val="superscript"/>
        </w:rPr>
        <w:t>****</w:t>
      </w:r>
      <w:r>
        <w:rPr/>
        <w:t xml:space="preserve"> и прощай.</w:t>
      </w:r>
    </w:p>
    <w:p>
      <w:pPr>
        <w:pStyle w:val="Normal"/>
        <w:spacing w:lineRule="auto" w:line="264" w:before="0" w:after="3"/>
        <w:ind w:left="10" w:right="68" w:hanging="10"/>
        <w:jc w:val="right"/>
        <w:rPr>
          <w:i/>
          <w:i/>
        </w:rPr>
      </w:pPr>
      <w:r>
        <w:rPr>
          <w:i/>
        </w:rPr>
        <w:t>Жуковский</w:t>
      </w:r>
    </w:p>
    <w:sectPr>
      <w:headerReference w:type="default" r:id="rId2"/>
      <w:footnotePr>
        <w:numFmt w:val="decimal"/>
      </w:footnotePr>
      <w:type w:val="nextPage"/>
      <w:pgSz w:w="7424" w:h="10656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550" w:leader="none"/>
          <w:tab w:val="center" w:pos="1413" w:leader="none"/>
        </w:tabs>
        <w:spacing w:before="0" w:after="52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В натуре (</w:t>
      </w:r>
      <w:r>
        <w:rPr>
          <w:i/>
        </w:rPr>
        <w:t>лат</w:t>
      </w:r>
      <w:r>
        <w:rPr/>
        <w:t>.).</w:t>
      </w:r>
    </w:p>
  </w:footnote>
  <w:footnote w:id="3">
    <w:p>
      <w:pPr>
        <w:pStyle w:val="Footnotedescription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Сомнения (</w:t>
      </w:r>
      <w:r>
        <w:rPr>
          <w:i/>
        </w:rPr>
        <w:t>франц</w:t>
      </w:r>
      <w:r>
        <w:rPr/>
        <w:t>.).</w:t>
      </w:r>
    </w:p>
  </w:footnote>
  <w:footnote w:id="4">
    <w:p>
      <w:pPr>
        <w:pStyle w:val="Footnotedescription"/>
        <w:tabs>
          <w:tab w:val="clear" w:pos="709"/>
          <w:tab w:val="center" w:pos="486" w:leader="none"/>
          <w:tab w:val="center" w:pos="1652" w:leader="none"/>
        </w:tabs>
        <w:spacing w:before="0" w:after="34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Человекобоязнь (</w:t>
      </w:r>
      <w:r>
        <w:rPr>
          <w:i/>
        </w:rPr>
        <w:t>нем</w:t>
      </w:r>
      <w:r>
        <w:rPr/>
        <w:t>.).</w:t>
      </w:r>
    </w:p>
  </w:footnote>
  <w:footnote w:id="5">
    <w:p>
      <w:pPr>
        <w:pStyle w:val="Footnotedescription"/>
        <w:tabs>
          <w:tab w:val="clear" w:pos="709"/>
          <w:tab w:val="center" w:pos="486" w:leader="none"/>
          <w:tab w:val="center" w:pos="1538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Злорадство (</w:t>
      </w:r>
      <w:r>
        <w:rPr>
          <w:i/>
        </w:rPr>
        <w:t>франц</w:t>
      </w:r>
      <w:r>
        <w:rPr/>
        <w:t>.).</w:t>
      </w:r>
    </w:p>
  </w:footnote>
  <w:footnote w:id="6">
    <w:p>
      <w:pPr>
        <w:pStyle w:val="Footnotedescription"/>
        <w:tabs>
          <w:tab w:val="clear" w:pos="709"/>
          <w:tab w:val="center" w:pos="550" w:leader="none"/>
          <w:tab w:val="center" w:pos="1757" w:leader="none"/>
        </w:tabs>
        <w:spacing w:before="0" w:after="34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Великие планы (</w:t>
      </w:r>
      <w:r>
        <w:rPr>
          <w:i/>
        </w:rPr>
        <w:t>франц</w:t>
      </w:r>
      <w:r>
        <w:rPr/>
        <w:t>.)</w:t>
      </w:r>
    </w:p>
  </w:footnote>
  <w:footnote w:id="7">
    <w:p>
      <w:pPr>
        <w:pStyle w:val="Footnotedescription"/>
        <w:tabs>
          <w:tab w:val="clear" w:pos="709"/>
          <w:tab w:val="center" w:pos="550" w:leader="none"/>
          <w:tab w:val="right" w:pos="7198" w:leader="none"/>
        </w:tabs>
        <w:spacing w:before="0" w:after="23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Счастье — это добродетель, которая любит и знание, которое просвещает (</w:t>
      </w:r>
      <w:r>
        <w:rPr>
          <w:i/>
        </w:rPr>
        <w:t>франц</w:t>
      </w:r>
      <w:r>
        <w:rPr/>
        <w:t>.).</w:t>
      </w:r>
    </w:p>
  </w:footnote>
  <w:footnote w:id="8">
    <w:p>
      <w:pPr>
        <w:pStyle w:val="Footnotedescription"/>
        <w:spacing w:lineRule="auto" w:line="276"/>
        <w:ind w:left="21" w:right="37" w:firstLine="455"/>
        <w:jc w:val="both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Чтение — ничто, чтение и размышление — нечто, чтение, размышление и чувствование — совершенство (</w:t>
      </w:r>
      <w:r>
        <w:rPr>
          <w:i/>
        </w:rPr>
        <w:t>нем</w:t>
      </w:r>
      <w:r>
        <w:rPr/>
        <w:t xml:space="preserve">.) </w:t>
      </w:r>
      <w:r>
        <w:rPr>
          <w:vertAlign w:val="superscript"/>
        </w:rPr>
        <w:t xml:space="preserve"> **** </w:t>
      </w:r>
      <w:r>
        <w:rPr/>
        <w:t>Жить (</w:t>
      </w:r>
      <w:r>
        <w:rPr>
          <w:i/>
        </w:rPr>
        <w:t>нем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20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1071</Words>
  <Characters>5597</Characters>
  <CharactersWithSpaces>6667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2022-12-09T23:28:20Z</dcterms:modified>
  <cp:revision>1</cp:revision>
  <dc:subject/>
  <dc:title>238. </dc:title>
</cp:coreProperties>
</file>