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Vitamin D and acute respiratory infections</w:t>
      </w:r>
    </w:p>
    <w:p>
      <w:pPr>
        <w:pStyle w:val="Heading2"/>
      </w:pPr>
      <w:r>
        <w:t>Overall effect</w:t>
      </w:r>
    </w:p>
    <w:p>
      <w:r>
        <w:t>An individual participant data meta-analysis found that vitamin D supplementation reduced the risk of acute respiratory tract infection [1, p. 1]. Across 10 933 participants, the adjusted odds ratio was 0.88 (95% CI 0.81 to 0.96) [1].</w:t>
      </w:r>
    </w:p>
    <w:p>
      <w:r>
        <w:t>The most recent update, however, combined 40 placebo-controlled trials and found that vitamin D did not significantly affect overall ARI risk (OR 0.94, 95% CI 0.88 to 1.00) [2, p. 5]. Large pragmatic trials were also null: a UK test-and-treat trial in 6200 people was not associated with protection against acute respiratory infection [3], and a trial of daily supplementation in older adults joined other recent null results [4].</w:t>
      </w:r>
    </w:p>
    <w:p>
      <w:pPr>
        <w:pStyle w:val="Heading2"/>
      </w:pPr>
      <w:r>
        <w:t>Dosing</w:t>
      </w:r>
    </w:p>
    <w:p>
      <w:r>
        <w:t>Earlier analyses suggested that daily or weekly regimens were protective (OR 0.81), whereas bolus doses were not (OR 0.97) [1, p. 1]. The 2025 update did not confirm this effect modification [2, p. 5].</w:t>
      </w:r>
    </w:p>
    <w:p>
      <w:r/>
      <w:r>
        <w:rPr>
          <w:b/>
        </w:rPr>
        <w:t>Dosing regimen and protection against ARI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Regimen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Interpretation</w:t>
            </w:r>
          </w:p>
        </w:tc>
      </w:tr>
      <w:tr>
        <w:tc>
          <w:tcPr>
            <w:tcW w:type="dxa" w:w="2160"/>
          </w:tcPr>
          <w:p>
            <w:r/>
            <w:r>
              <w:t>[1]</w:t>
            </w:r>
          </w:p>
        </w:tc>
        <w:tc>
          <w:tcPr>
            <w:tcW w:type="dxa" w:w="2160"/>
          </w:tcPr>
          <w:p>
            <w:r/>
            <w:r>
              <w:t>daily or weekly, no bolus</w:t>
            </w:r>
          </w:p>
        </w:tc>
        <w:tc>
          <w:tcPr>
            <w:tcW w:type="dxa" w:w="2160"/>
          </w:tcPr>
          <w:p>
            <w:r/>
            <w:r>
              <w:t>OR 0.81 (0.72–0.91)</w:t>
            </w:r>
          </w:p>
        </w:tc>
        <w:tc>
          <w:tcPr>
            <w:tcW w:type="dxa" w:w="2160"/>
          </w:tcPr>
          <w:p>
            <w:r/>
            <w:r>
              <w:t>protective</w:t>
            </w:r>
          </w:p>
        </w:tc>
      </w:tr>
      <w:tr>
        <w:tc>
          <w:tcPr>
            <w:tcW w:type="dxa" w:w="2160"/>
          </w:tcPr>
          <w:p>
            <w:r/>
            <w:r>
              <w:t>[1]</w:t>
            </w:r>
          </w:p>
        </w:tc>
        <w:tc>
          <w:tcPr>
            <w:tcW w:type="dxa" w:w="2160"/>
          </w:tcPr>
          <w:p>
            <w:r/>
            <w:r>
              <w:t>≥1 bolus dose</w:t>
            </w:r>
          </w:p>
        </w:tc>
        <w:tc>
          <w:tcPr>
            <w:tcW w:type="dxa" w:w="2160"/>
          </w:tcPr>
          <w:p>
            <w:r/>
            <w:r>
              <w:t>OR 0.97 (0.86–1.10)</w:t>
            </w:r>
          </w:p>
        </w:tc>
        <w:tc>
          <w:tcPr>
            <w:tcW w:type="dxa" w:w="2160"/>
          </w:tcPr>
          <w:p>
            <w:r/>
            <w:r>
              <w:t>no effect</w:t>
            </w:r>
          </w:p>
        </w:tc>
      </w:tr>
      <w:tr>
        <w:tc>
          <w:tcPr>
            <w:tcW w:type="dxa" w:w="2160"/>
          </w:tcPr>
          <w:p>
            <w:r/>
            <w:r>
              <w:t>[5]</w:t>
            </w:r>
          </w:p>
        </w:tc>
        <w:tc>
          <w:tcPr>
            <w:tcW w:type="dxa" w:w="2160"/>
          </w:tcPr>
          <w:p>
            <w:r/>
            <w:r>
              <w:t>once-daily vs bolus</w:t>
            </w:r>
          </w:p>
        </w:tc>
        <w:tc>
          <w:tcPr>
            <w:tcW w:type="dxa" w:w="2160"/>
          </w:tcPr>
          <w:p>
            <w:r/>
            <w:r>
              <w:t>OR 0.51 vs 0.86</w:t>
            </w:r>
          </w:p>
        </w:tc>
        <w:tc>
          <w:tcPr>
            <w:tcW w:type="dxa" w:w="2160"/>
          </w:tcPr>
          <w:p>
            <w:r/>
            <w:r>
              <w:t>daily larger effect</w:t>
            </w:r>
          </w:p>
        </w:tc>
      </w:tr>
    </w:tbl>
    <w:p>
      <w:r/>
      <w:r>
        <w:rPr>
          <w:i/>
        </w:rPr>
        <w:t>Effects as reported by each meta-analysis; not pooled.</w:t>
      </w:r>
      <w:r/>
    </w:p>
    <w:p>
      <w:pPr>
        <w:pStyle w:val="Heading2"/>
      </w:pPr>
      <w:r>
        <w:t>Evidence table</w:t>
      </w:r>
    </w:p>
    <w:p>
      <w:r/>
      <w:r>
        <w:rPr>
          <w:b/>
        </w:rPr>
        <w:t>Characteristics and results of included studies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Study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Design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Effect (95% CI)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Funding / COI</w:t>
            </w:r>
          </w:p>
        </w:tc>
      </w:tr>
      <w:tr>
        <w:tc>
          <w:tcPr>
            <w:tcW w:type="dxa" w:w="1728"/>
          </w:tcPr>
          <w:p>
            <w:r/>
            <w:r>
              <w:t>[1]</w:t>
            </w:r>
          </w:p>
        </w:tc>
        <w:tc>
          <w:tcPr>
            <w:tcW w:type="dxa" w:w="1728"/>
          </w:tcPr>
          <w:p>
            <w:r/>
            <w:r>
              <w:t>IPD meta-analysis of RCTs</w:t>
            </w:r>
          </w:p>
        </w:tc>
        <w:tc>
          <w:tcPr>
            <w:tcW w:type="dxa" w:w="1728"/>
          </w:tcPr>
          <w:p>
            <w:r/>
            <w:r>
              <w:t>10 933 participants</w:t>
            </w:r>
          </w:p>
        </w:tc>
        <w:tc>
          <w:tcPr>
            <w:tcW w:type="dxa" w:w="1728"/>
          </w:tcPr>
          <w:p>
            <w:r/>
            <w:r>
              <w:t>OR 0.88 (95% CI 0.81–0.96)</w:t>
            </w:r>
          </w:p>
        </w:tc>
        <w:tc>
          <w:tcPr>
            <w:tcW w:type="dxa" w:w="1728"/>
          </w:tcPr>
          <w:p>
            <w:r/>
            <w:r>
              <w:t>NIHR HTA programme</w:t>
            </w:r>
          </w:p>
        </w:tc>
      </w:tr>
      <w:tr>
        <w:tc>
          <w:tcPr>
            <w:tcW w:type="dxa" w:w="1728"/>
          </w:tcPr>
          <w:p>
            <w:r/>
            <w:r>
              <w:t>[5]</w:t>
            </w:r>
          </w:p>
        </w:tc>
        <w:tc>
          <w:tcPr>
            <w:tcW w:type="dxa" w:w="1728"/>
          </w:tcPr>
          <w:p>
            <w:r/>
            <w:r>
              <w:t>Meta-analysis of RCTs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>
              <w:t>OR 0.64 (95% CI 0.49–0.84)</w:t>
            </w:r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[3]</w:t>
            </w:r>
          </w:p>
        </w:tc>
        <w:tc>
          <w:tcPr>
            <w:tcW w:type="dxa" w:w="1728"/>
          </w:tcPr>
          <w:p>
            <w:r/>
            <w:r>
              <w:t>Phase 3 open-label RCT (test-and-treat)</w:t>
            </w:r>
          </w:p>
        </w:tc>
        <w:tc>
          <w:tcPr>
            <w:tcW w:type="dxa" w:w="1728"/>
          </w:tcPr>
          <w:p>
            <w:r/>
            <w:r>
              <w:t>6200</w:t>
            </w:r>
          </w:p>
        </w:tc>
        <w:tc>
          <w:tcPr>
            <w:tcW w:type="dxa" w:w="1728"/>
          </w:tcPr>
          <w:p>
            <w:r/>
            <w:r>
              <w:t>OR 1.26 (95% CI 0.96–1.66) lower dose; OR 1.09 (0.82–1.46) higher dose</w:t>
            </w:r>
          </w:p>
        </w:tc>
        <w:tc>
          <w:tcPr>
            <w:tcW w:type="dxa" w:w="1728"/>
          </w:tcPr>
          <w:p>
            <w:r/>
            <w:r>
              <w:t>Barts Charity, Pharma Nord, DSM Nutritional Products and others</w:t>
            </w:r>
          </w:p>
        </w:tc>
      </w:tr>
    </w:tbl>
    <w:p>
      <w:r/>
      <w:r>
        <w:rPr>
          <w:i/>
        </w:rPr>
        <w:t>Every non-empty cell is backed by a verbatim quote from the source (hover in HTML report).</w:t>
      </w:r>
      <w:r/>
    </w:p>
    <w:p>
      <w:pPr>
        <w:pStyle w:val="Heading2"/>
      </w:pPr>
      <w:r>
        <w:t>Bottom line</w:t>
      </w:r>
    </w:p>
    <w:p>
      <w:r>
        <w:t>The benefit, if any, appears small and is now uncertain; the certainty of evidence for an overall protective effect is moderate at best.</w:t>
      </w:r>
    </w:p>
    <w:p>
      <w:pPr>
        <w:pStyle w:val="Heading2"/>
      </w:pPr>
      <w:r>
        <w:t>References</w:t>
      </w:r>
    </w:p>
    <w:p>
      <w:pPr>
        <w:pStyle w:val="ListNumber"/>
      </w:pPr>
      <w:r>
        <w:t>Martineau AR, Jolliffe DA, Hooper RL, Greenberg L, Aloia JF, Bergman P, et al. Vitamin D supplementation to prevent acute respiratory tract infections: systematic review and meta-analysis of individual participant data. BMJ (Clinical research ed.). 2017;356:i6583. doi:10.1136/bmj.i6583.</w:t>
      </w:r>
    </w:p>
    <w:p>
      <w:pPr>
        <w:pStyle w:val="ListNumber"/>
      </w:pPr>
      <w:r>
        <w:t>Jolliffe DA, Camargo CA, Sluyter JD, Aglipay M, Aloia JF, Bergman P, et al. Vitamin D supplementation to prevent acute respiratory infections: systematic review and meta-analysis of stratified aggregate data. The lancet. Diabetes &amp; endocrinology. 2025;13(4):307-320. doi:10.1016/S2213-8587(24)00348-6.</w:t>
      </w:r>
    </w:p>
    <w:p>
      <w:pPr>
        <w:pStyle w:val="ListNumber"/>
      </w:pPr>
      <w:r>
        <w:t>Jolliffe DA, Holt H, Greenig M, Talaei M, Perdek N, Pfeffer P, et al. Effect of a test-and-treat approach to vitamin D supplementation on risk of all cause acute respiratory tract infection and covid-19: phase 3 randomised controlled trial (CORONAVIT). BMJ. 2022;378:e071230. doi:10.1136/bmj-2022-071230.</w:t>
      </w:r>
    </w:p>
    <w:p>
      <w:pPr>
        <w:pStyle w:val="ListNumber"/>
      </w:pPr>
      <w:r>
        <w:t>Camargo CA, Schaumberg DA, Friedenberg G, Dushkes R, Glynn RJ, Gold DR, et al. Effect of Daily Vitamin D Supplementation on Risk of Upper Respiratory Infection in Older Adults: A Randomized Controlled Trial. Clinical infectious diseases : an official publication of the Infectious Diseases Society of America. 2024;78(5):1162-1169. doi:10.1093/cid/ciad770.</w:t>
      </w:r>
    </w:p>
    <w:p>
      <w:pPr>
        <w:pStyle w:val="ListNumber"/>
      </w:pPr>
      <w:r>
        <w:t>Bergman P, Lindh ÅU, Björkhem‐Bergman L, Lindh JD. Vitamin D and Respiratory Tract Infections: A Systematic Review and Meta-Analysis of Randomized Controlled Trials. PLoS ONE. 2013;8(6):e65835. doi:10.1371/journal.pone.0065835.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