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8C1E"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CDA316F" w14:textId="77777777" w:rsidTr="25FC3610">
        <w:trPr>
          <w:trHeight w:val="2192"/>
        </w:trPr>
        <w:tc>
          <w:tcPr>
            <w:tcW w:w="0" w:type="auto"/>
          </w:tcPr>
          <w:p w14:paraId="721E4046"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0D94B46B"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79A72A84"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1507D3A6"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1D16F6D4"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684F365C" w14:textId="77777777" w:rsidR="002C4FB7" w:rsidRDefault="002C4FB7" w:rsidP="3D28A338">
      <w:pPr>
        <w:spacing w:after="0" w:line="360" w:lineRule="auto"/>
        <w:jc w:val="both"/>
        <w:rPr>
          <w:b/>
          <w:bCs/>
          <w:sz w:val="24"/>
          <w:szCs w:val="24"/>
        </w:rPr>
      </w:pPr>
    </w:p>
    <w:p w14:paraId="41E543F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5E7258B" w14:textId="77777777" w:rsidTr="3D28A338">
        <w:trPr>
          <w:trHeight w:val="440"/>
        </w:trPr>
        <w:tc>
          <w:tcPr>
            <w:tcW w:w="10076" w:type="dxa"/>
            <w:vAlign w:val="center"/>
          </w:tcPr>
          <w:p w14:paraId="136CF45C"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7AF6DD59" w14:textId="77777777" w:rsidTr="3D28A338">
        <w:trPr>
          <w:trHeight w:val="1639"/>
        </w:trPr>
        <w:tc>
          <w:tcPr>
            <w:tcW w:w="10076" w:type="dxa"/>
            <w:shd w:val="clear" w:color="auto" w:fill="DEEAF6" w:themeFill="accent1" w:themeFillTint="33"/>
            <w:vAlign w:val="center"/>
          </w:tcPr>
          <w:p w14:paraId="1F982136"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A3ED4AF" w14:textId="5E43E307" w:rsidR="00BB3B19" w:rsidRDefault="00000000">
            <w:pPr>
              <w:jc w:val="both"/>
              <w:rPr>
                <w:rFonts w:eastAsiaTheme="majorEastAsia"/>
                <w:sz w:val="24"/>
                <w:szCs w:val="24"/>
              </w:rPr>
            </w:pPr>
            <w:r>
              <w:rPr>
                <w:rFonts w:eastAsiaTheme="majorEastAsia"/>
                <w:sz w:val="24"/>
                <w:szCs w:val="24"/>
              </w:rPr>
              <w:t>Para la Fase 1 (semanas 1 a 4 de nuestra carta Gantt) sí logramos cumplir las actividades planificadas: completamos el levantamiento técnico formal con Walmart, el análisis del panorama competitivo y el documento de presentación de la idea de proyecto con su diagrama de casos de uso. Esto nos permitió entrar a la Fase 2 (Desarrollo Iterativo) con un alcance y una arquitectura modular ya validados por nuestro docente guía.</w:t>
            </w:r>
          </w:p>
          <w:p w14:paraId="4771FCAA" w14:textId="2B0D9273" w:rsidR="00BB3B19" w:rsidRDefault="00000000">
            <w:pPr>
              <w:jc w:val="both"/>
              <w:rPr>
                <w:rFonts w:eastAsiaTheme="majorEastAsia"/>
                <w:sz w:val="24"/>
                <w:szCs w:val="24"/>
              </w:rPr>
            </w:pPr>
            <w:r>
              <w:rPr>
                <w:rFonts w:eastAsiaTheme="majorEastAsia"/>
                <w:sz w:val="24"/>
                <w:szCs w:val="24"/>
              </w:rPr>
              <w:t>Dentro de la Fase 2, cumplimos el primer hito crítico del roadmap: construir y validar un baseline funcional antes de comprometernos con una arquitectura más compleja. Lo que facilitó este avance fue seguir estrictamente el principio de “baseline obligatorio”: en vez de partir directamente con un modelo de Deep Learning, primero probamos un enfoque de Visión Computacional clásica y recién después lo comparamos contra YOLOv8 Nano sobre imágenes reales de góndola. Lo que más dificultó el avance fue la falta de datos de entrenamiento propios de Walmart y la ausencia de una clase genérica “producto” en los modelos preentrenados disponibles, lo que nos obligó a invertir tiempo extra filtrando y validando manualmente qué detecciones eran relevantes para nuestro problema.</w:t>
            </w:r>
          </w:p>
        </w:tc>
      </w:tr>
    </w:tbl>
    <w:p w14:paraId="6B96862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FD8BB95" w14:textId="77777777" w:rsidTr="3D28A338">
        <w:trPr>
          <w:trHeight w:val="440"/>
        </w:trPr>
        <w:tc>
          <w:tcPr>
            <w:tcW w:w="10076" w:type="dxa"/>
            <w:vAlign w:val="center"/>
          </w:tcPr>
          <w:p w14:paraId="08A4A849"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277B4FA2" w14:textId="77777777" w:rsidTr="3D28A338">
        <w:trPr>
          <w:trHeight w:val="1639"/>
        </w:trPr>
        <w:tc>
          <w:tcPr>
            <w:tcW w:w="10076" w:type="dxa"/>
            <w:shd w:val="clear" w:color="auto" w:fill="DEEAF6" w:themeFill="accent1" w:themeFillTint="33"/>
            <w:vAlign w:val="center"/>
          </w:tcPr>
          <w:p w14:paraId="28A10C6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4565E459" w14:textId="77777777" w:rsidR="00BB3B19" w:rsidRDefault="00000000">
            <w:pPr>
              <w:jc w:val="both"/>
              <w:rPr>
                <w:rFonts w:eastAsiaTheme="majorEastAsia"/>
                <w:sz w:val="24"/>
                <w:szCs w:val="24"/>
              </w:rPr>
            </w:pPr>
            <w:r>
              <w:rPr>
                <w:rFonts w:eastAsiaTheme="majorEastAsia"/>
                <w:sz w:val="24"/>
                <w:szCs w:val="24"/>
              </w:rPr>
              <w:t>Frente a las dificultades técnicas hemos aplicado el modo debug que nos hemos propuesto como equipo: aislar el problema, formular una hipótesis, probarla con datos reales y recién ahí corregir. Por ejemplo, nuestra primera versión del enfoque clásico usaba un umbral de densidad de bordes fijo como referencia de “estante 100% lleno”; al probarlo contra imágenes reales detectamos que ese número era frágil y cambiaba según el tipo de producto, por lo que lo reemplazamos por una normalización relativa dentro de la misma imagen.</w:t>
            </w:r>
          </w:p>
          <w:p w14:paraId="70F5F9C1" w14:textId="77777777" w:rsidR="00BB3B19" w:rsidRDefault="00000000">
            <w:pPr>
              <w:jc w:val="both"/>
              <w:rPr>
                <w:rFonts w:eastAsiaTheme="majorEastAsia"/>
                <w:sz w:val="24"/>
                <w:szCs w:val="24"/>
              </w:rPr>
            </w:pPr>
            <w:r>
              <w:rPr>
                <w:rFonts w:eastAsiaTheme="majorEastAsia"/>
                <w:sz w:val="24"/>
                <w:szCs w:val="24"/>
              </w:rPr>
              <w:t xml:space="preserve">De la misma forma, al comparar el enfoque clásico con YOLOv8 Nano sobre fotografías reales descubrimos dos limitaciones concretas que no eran evidentes con imágenes sintéticas: el enfoque </w:t>
            </w:r>
            <w:r>
              <w:rPr>
                <w:rFonts w:eastAsiaTheme="majorEastAsia"/>
                <w:sz w:val="24"/>
                <w:szCs w:val="24"/>
              </w:rPr>
              <w:lastRenderedPageBreak/>
              <w:t>clásico no distingue un quiebre de stock real de un fondo de estantería perforado, y el modelo YOLO genera falsas alarmas con productos apilados o acostados (como un cajón de botellas en el piso). En vez de intentar resolver ambos problemas de inmediato, decidimos documentarlos como hallazgos concretos y convertirlos en preguntas específicas para la próxima reunión con el cliente, priorizando primero cerrar las definiciones ambiguas (como el significado exacto del umbral del 30%) antes de seguir iterando el modelo a ciegas.</w:t>
            </w:r>
          </w:p>
        </w:tc>
      </w:tr>
    </w:tbl>
    <w:p w14:paraId="40AAD0B2" w14:textId="77777777" w:rsidR="004F2A8B" w:rsidRDefault="004F2A8B" w:rsidP="3D28A338">
      <w:pPr>
        <w:spacing w:after="0" w:line="360" w:lineRule="auto"/>
        <w:jc w:val="both"/>
        <w:rPr>
          <w:color w:val="595959" w:themeColor="text1" w:themeTint="A6"/>
          <w:sz w:val="24"/>
          <w:szCs w:val="24"/>
          <w:lang w:eastAsia="ja-JP"/>
        </w:rPr>
      </w:pPr>
    </w:p>
    <w:p w14:paraId="74150425" w14:textId="77777777" w:rsidR="004F2A8B" w:rsidRDefault="004F2A8B" w:rsidP="3D28A338">
      <w:pPr>
        <w:spacing w:after="0" w:line="360" w:lineRule="auto"/>
        <w:jc w:val="both"/>
        <w:rPr>
          <w:b/>
          <w:bCs/>
          <w:sz w:val="24"/>
          <w:szCs w:val="24"/>
        </w:rPr>
      </w:pPr>
    </w:p>
    <w:p w14:paraId="654CE438" w14:textId="77777777" w:rsidR="004F2A8B" w:rsidRDefault="004F2A8B" w:rsidP="3D28A338">
      <w:pPr>
        <w:spacing w:after="0" w:line="360" w:lineRule="auto"/>
        <w:jc w:val="both"/>
        <w:rPr>
          <w:b/>
          <w:bCs/>
          <w:sz w:val="24"/>
          <w:szCs w:val="24"/>
        </w:rPr>
      </w:pPr>
    </w:p>
    <w:p w14:paraId="51DC1E05" w14:textId="77777777" w:rsidR="00B25651" w:rsidRDefault="00B25651" w:rsidP="3D28A338">
      <w:pPr>
        <w:spacing w:after="0" w:line="360" w:lineRule="auto"/>
        <w:jc w:val="both"/>
        <w:rPr>
          <w:b/>
          <w:bCs/>
          <w:sz w:val="24"/>
          <w:szCs w:val="24"/>
        </w:rPr>
      </w:pPr>
    </w:p>
    <w:p w14:paraId="04789251" w14:textId="77777777" w:rsidR="00B25651" w:rsidRDefault="00B25651" w:rsidP="3D28A338">
      <w:pPr>
        <w:spacing w:after="0" w:line="360" w:lineRule="auto"/>
        <w:jc w:val="both"/>
        <w:rPr>
          <w:b/>
          <w:bCs/>
          <w:sz w:val="24"/>
          <w:szCs w:val="24"/>
        </w:rPr>
      </w:pPr>
    </w:p>
    <w:p w14:paraId="2091E181" w14:textId="77777777" w:rsidR="004F2A8B" w:rsidRDefault="004F2A8B" w:rsidP="3D28A338">
      <w:pPr>
        <w:spacing w:after="0" w:line="360" w:lineRule="auto"/>
        <w:jc w:val="both"/>
        <w:rPr>
          <w:b/>
          <w:bCs/>
          <w:sz w:val="24"/>
          <w:szCs w:val="24"/>
        </w:rPr>
      </w:pPr>
    </w:p>
    <w:p w14:paraId="1784CE8F" w14:textId="77777777" w:rsidR="004F2A8B" w:rsidRDefault="004F2A8B" w:rsidP="3D28A338">
      <w:pPr>
        <w:spacing w:after="0" w:line="360" w:lineRule="auto"/>
        <w:jc w:val="both"/>
        <w:rPr>
          <w:b/>
          <w:bCs/>
          <w:sz w:val="24"/>
          <w:szCs w:val="24"/>
        </w:rPr>
      </w:pPr>
    </w:p>
    <w:p w14:paraId="5CF4FC5E" w14:textId="77777777" w:rsidR="008B2AC7" w:rsidRDefault="008B2AC7" w:rsidP="3D28A338">
      <w:pPr>
        <w:spacing w:after="0" w:line="360" w:lineRule="auto"/>
        <w:jc w:val="both"/>
        <w:rPr>
          <w:b/>
          <w:bCs/>
          <w:sz w:val="24"/>
          <w:szCs w:val="24"/>
        </w:rPr>
      </w:pPr>
    </w:p>
    <w:p w14:paraId="3D8299BC"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CC6E61C" w14:textId="77777777" w:rsidTr="3D28A338">
        <w:trPr>
          <w:trHeight w:val="440"/>
        </w:trPr>
        <w:tc>
          <w:tcPr>
            <w:tcW w:w="10076" w:type="dxa"/>
            <w:vAlign w:val="center"/>
          </w:tcPr>
          <w:p w14:paraId="5650973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06341B2B" w14:textId="77777777" w:rsidTr="3D28A338">
        <w:trPr>
          <w:trHeight w:val="1624"/>
        </w:trPr>
        <w:tc>
          <w:tcPr>
            <w:tcW w:w="10076" w:type="dxa"/>
            <w:shd w:val="clear" w:color="auto" w:fill="DEEAF6" w:themeFill="accent1" w:themeFillTint="33"/>
            <w:vAlign w:val="center"/>
          </w:tcPr>
          <w:p w14:paraId="2576B00B"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54C50D0" w14:textId="3E0154B3" w:rsidR="00BB3B19" w:rsidRDefault="00000000">
            <w:pPr>
              <w:jc w:val="both"/>
              <w:rPr>
                <w:rFonts w:eastAsiaTheme="majorEastAsia"/>
                <w:sz w:val="24"/>
                <w:szCs w:val="24"/>
              </w:rPr>
            </w:pPr>
            <w:r>
              <w:rPr>
                <w:rFonts w:eastAsiaTheme="majorEastAsia"/>
                <w:sz w:val="24"/>
                <w:szCs w:val="24"/>
              </w:rPr>
              <w:t>Como equipo evaluamos positivamente el trabajo realizado hasta ahora. Destacamos haber resistido la tentación de saltar directamente a una arquitectura compleja, y en cambio validar primero un baseline simple y reproducible, tal como lo exige la metodología que nos propusimos seguir. También destacamos que cada decisión de diseño</w:t>
            </w:r>
            <w:r w:rsidR="00FB0071">
              <w:rPr>
                <w:rFonts w:eastAsiaTheme="majorEastAsia"/>
                <w:sz w:val="24"/>
                <w:szCs w:val="24"/>
              </w:rPr>
              <w:t>. U</w:t>
            </w:r>
            <w:r>
              <w:rPr>
                <w:rFonts w:eastAsiaTheme="majorEastAsia"/>
                <w:sz w:val="24"/>
                <w:szCs w:val="24"/>
              </w:rPr>
              <w:t>mbrales, normalización, segmentación por niveles</w:t>
            </w:r>
            <w:r w:rsidR="00FB0071">
              <w:rPr>
                <w:rFonts w:eastAsiaTheme="majorEastAsia"/>
                <w:sz w:val="24"/>
                <w:szCs w:val="24"/>
              </w:rPr>
              <w:t xml:space="preserve">, </w:t>
            </w:r>
            <w:r>
              <w:rPr>
                <w:rFonts w:eastAsiaTheme="majorEastAsia"/>
                <w:sz w:val="24"/>
                <w:szCs w:val="24"/>
              </w:rPr>
              <w:t>quedó documentada como un supuesto de ingeniería explícito y no como una verdad asumida, lo que nos va a servir directamente para la defensa académica y para la conversación con Walmart.</w:t>
            </w:r>
          </w:p>
          <w:p w14:paraId="6BC52BF4" w14:textId="2F82651A" w:rsidR="00BB3B19" w:rsidRDefault="00000000">
            <w:pPr>
              <w:jc w:val="both"/>
              <w:rPr>
                <w:rFonts w:eastAsiaTheme="majorEastAsia"/>
                <w:sz w:val="24"/>
                <w:szCs w:val="24"/>
              </w:rPr>
            </w:pPr>
            <w:r>
              <w:rPr>
                <w:rFonts w:eastAsiaTheme="majorEastAsia"/>
                <w:sz w:val="24"/>
                <w:szCs w:val="24"/>
              </w:rPr>
              <w:t>Lo que podríamos mejorar es cerrar antes las ambigüedades que dependen del cliente, en particular la definición exacta del 30% de disponibilidad, que sigue abierta desde el levantamiento inicial. También nos falta avanzar en la curación de un dataset propio correctamente etiquetado y en automatizar nuestras pruebas, ya que hasta ahora la validación de cada script se ha hecho revisando manualmente las imágenes de salida en vez de con una suite de pruebas repetible.</w:t>
            </w:r>
          </w:p>
        </w:tc>
      </w:tr>
    </w:tbl>
    <w:p w14:paraId="1802E6EA" w14:textId="77777777" w:rsidR="004F2A8B" w:rsidRDefault="004F2A8B" w:rsidP="3D28A338">
      <w:pPr>
        <w:spacing w:after="0" w:line="360" w:lineRule="auto"/>
        <w:jc w:val="both"/>
        <w:rPr>
          <w:color w:val="595959" w:themeColor="text1" w:themeTint="A6"/>
          <w:sz w:val="24"/>
          <w:szCs w:val="24"/>
          <w:lang w:eastAsia="ja-JP"/>
        </w:rPr>
      </w:pPr>
    </w:p>
    <w:p w14:paraId="42614B84"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5136467" w14:textId="77777777" w:rsidTr="3D28A338">
        <w:trPr>
          <w:trHeight w:val="440"/>
        </w:trPr>
        <w:tc>
          <w:tcPr>
            <w:tcW w:w="10076" w:type="dxa"/>
            <w:vAlign w:val="center"/>
          </w:tcPr>
          <w:p w14:paraId="299ADCBF"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2E3B07FE" w14:textId="77777777" w:rsidTr="3D28A338">
        <w:trPr>
          <w:trHeight w:val="1639"/>
        </w:trPr>
        <w:tc>
          <w:tcPr>
            <w:tcW w:w="10076" w:type="dxa"/>
            <w:shd w:val="clear" w:color="auto" w:fill="DEEAF6" w:themeFill="accent1" w:themeFillTint="33"/>
            <w:vAlign w:val="center"/>
          </w:tcPr>
          <w:p w14:paraId="43FF952A"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3F0A4C9E" w14:textId="77777777" w:rsidR="00BB3B19" w:rsidRDefault="00000000">
            <w:pPr>
              <w:jc w:val="both"/>
              <w:rPr>
                <w:rFonts w:eastAsiaTheme="majorEastAsia"/>
                <w:sz w:val="24"/>
                <w:szCs w:val="24"/>
              </w:rPr>
            </w:pPr>
            <w:r>
              <w:rPr>
                <w:rFonts w:eastAsiaTheme="majorEastAsia"/>
                <w:sz w:val="24"/>
                <w:szCs w:val="24"/>
              </w:rPr>
              <w:t xml:space="preserve">Nos quedan algunas inquietudes técnicas que nos gustaría plantear tanto al cliente como a nuestro docente guía. Para José (Walmart) queremos preguntar: cómo se comportan realmente las cámaras de tienda frente a fondos de estantería perforados o con textura propia (que en nuestras pruebas generan falsos negativos), si los productos apilados o acostados en cajones deben considerarse dentro del alcance del sistema o quedar explícitamente fuera, y si el umbral del 30% fue definido pensando </w:t>
            </w:r>
            <w:r>
              <w:rPr>
                <w:rFonts w:eastAsiaTheme="majorEastAsia"/>
                <w:sz w:val="24"/>
                <w:szCs w:val="24"/>
              </w:rPr>
              <w:lastRenderedPageBreak/>
              <w:t>en área física ocupada o en percepción visual del pasillo, porque ambas métricas dan resultados distintos.</w:t>
            </w:r>
          </w:p>
          <w:p w14:paraId="092A1382" w14:textId="42B8144E" w:rsidR="00BB3B19" w:rsidRDefault="00000000">
            <w:pPr>
              <w:jc w:val="both"/>
              <w:rPr>
                <w:rFonts w:eastAsiaTheme="majorEastAsia"/>
                <w:sz w:val="24"/>
                <w:szCs w:val="24"/>
              </w:rPr>
            </w:pPr>
            <w:r>
              <w:rPr>
                <w:rFonts w:eastAsiaTheme="majorEastAsia"/>
                <w:sz w:val="24"/>
                <w:szCs w:val="24"/>
              </w:rPr>
              <w:t>Para nuestro docente guía, la inquietud principal es de priorización: ya que YOLOv8 Nano mostró mejor sensibilidad que el enfoque clásico para detectar el quiebre real pero también introdujo falsos positivos propios, nos gustaría orientación sobre cuánto tiempo de las próximas semanas conviene invertir en seguir comparando ambos enfoques en paralelo versus comprometernos definitivamente con uno solo para poder avanzar a la Solución Intermedia del roadmap.</w:t>
            </w:r>
          </w:p>
        </w:tc>
      </w:tr>
    </w:tbl>
    <w:p w14:paraId="29AE63BB" w14:textId="77777777" w:rsidR="004F2A8B" w:rsidRDefault="004F2A8B" w:rsidP="3D28A338">
      <w:pPr>
        <w:spacing w:after="0" w:line="360" w:lineRule="auto"/>
        <w:jc w:val="both"/>
        <w:rPr>
          <w:color w:val="595959" w:themeColor="text1" w:themeTint="A6"/>
          <w:sz w:val="24"/>
          <w:szCs w:val="24"/>
          <w:lang w:eastAsia="ja-JP"/>
        </w:rPr>
      </w:pPr>
    </w:p>
    <w:p w14:paraId="2234C93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7D27E20" w14:textId="77777777" w:rsidTr="3D28A338">
        <w:trPr>
          <w:trHeight w:val="440"/>
        </w:trPr>
        <w:tc>
          <w:tcPr>
            <w:tcW w:w="10076" w:type="dxa"/>
            <w:vAlign w:val="center"/>
          </w:tcPr>
          <w:p w14:paraId="5E17F302"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5FEAD76E" w14:textId="77777777" w:rsidTr="3D28A338">
        <w:trPr>
          <w:trHeight w:val="1639"/>
        </w:trPr>
        <w:tc>
          <w:tcPr>
            <w:tcW w:w="10076" w:type="dxa"/>
            <w:shd w:val="clear" w:color="auto" w:fill="DEEAF6" w:themeFill="accent1" w:themeFillTint="33"/>
            <w:vAlign w:val="center"/>
          </w:tcPr>
          <w:p w14:paraId="413D68C4"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46E43E" w14:textId="6069DC91" w:rsidR="00BB3B19" w:rsidRDefault="00000000" w:rsidP="0076568A">
            <w:pPr>
              <w:jc w:val="both"/>
              <w:rPr>
                <w:rFonts w:eastAsiaTheme="majorEastAsia"/>
                <w:sz w:val="24"/>
                <w:szCs w:val="24"/>
              </w:rPr>
            </w:pPr>
            <w:r>
              <w:rPr>
                <w:rFonts w:eastAsiaTheme="majorEastAsia"/>
                <w:sz w:val="24"/>
                <w:szCs w:val="24"/>
              </w:rPr>
              <w:t xml:space="preserve">Con el baseline ya validado, consideramos que corresponde ajustar </w:t>
            </w:r>
            <w:r w:rsidR="0076568A">
              <w:rPr>
                <w:rFonts w:eastAsiaTheme="majorEastAsia"/>
                <w:sz w:val="24"/>
                <w:szCs w:val="24"/>
              </w:rPr>
              <w:t>algunos plazos, más que las actividades completas</w:t>
            </w:r>
          </w:p>
          <w:p w14:paraId="48AF05B3" w14:textId="77777777" w:rsidR="004F2A8B" w:rsidRDefault="004F2A8B" w:rsidP="3D28A338">
            <w:pPr>
              <w:jc w:val="both"/>
              <w:rPr>
                <w:rFonts w:eastAsiaTheme="majorEastAsia"/>
                <w:color w:val="767171" w:themeColor="background2" w:themeShade="80"/>
                <w:sz w:val="24"/>
                <w:szCs w:val="24"/>
              </w:rPr>
            </w:pPr>
          </w:p>
          <w:p w14:paraId="7D7A826F" w14:textId="77777777" w:rsidR="004F2A8B" w:rsidRDefault="004F2A8B" w:rsidP="3D28A338">
            <w:pPr>
              <w:jc w:val="both"/>
              <w:rPr>
                <w:rFonts w:eastAsiaTheme="majorEastAsia"/>
                <w:color w:val="767171" w:themeColor="background2" w:themeShade="80"/>
                <w:sz w:val="24"/>
                <w:szCs w:val="24"/>
              </w:rPr>
            </w:pPr>
          </w:p>
        </w:tc>
      </w:tr>
    </w:tbl>
    <w:p w14:paraId="4F578195" w14:textId="77777777" w:rsidR="004F2A8B" w:rsidRDefault="004F2A8B" w:rsidP="3D28A338">
      <w:pPr>
        <w:spacing w:after="0" w:line="360" w:lineRule="auto"/>
        <w:jc w:val="both"/>
        <w:rPr>
          <w:color w:val="595959" w:themeColor="text1" w:themeTint="A6"/>
          <w:sz w:val="24"/>
          <w:szCs w:val="24"/>
          <w:lang w:eastAsia="ja-JP"/>
        </w:rPr>
      </w:pPr>
    </w:p>
    <w:p w14:paraId="6B131D2C"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ABFC51A" w14:textId="77777777" w:rsidTr="3D28A338">
        <w:trPr>
          <w:trHeight w:val="440"/>
        </w:trPr>
        <w:tc>
          <w:tcPr>
            <w:tcW w:w="10076" w:type="dxa"/>
            <w:vAlign w:val="center"/>
          </w:tcPr>
          <w:p w14:paraId="57531E57"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0448B439" w14:textId="77777777" w:rsidTr="3D28A338">
        <w:trPr>
          <w:trHeight w:val="1639"/>
        </w:trPr>
        <w:tc>
          <w:tcPr>
            <w:tcW w:w="10076" w:type="dxa"/>
            <w:shd w:val="clear" w:color="auto" w:fill="DEEAF6" w:themeFill="accent1" w:themeFillTint="33"/>
            <w:vAlign w:val="center"/>
          </w:tcPr>
          <w:p w14:paraId="19F93397"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83CE3BA" w14:textId="583F9232" w:rsidR="00BB3B19" w:rsidRDefault="00000000">
            <w:pPr>
              <w:jc w:val="both"/>
              <w:rPr>
                <w:rFonts w:eastAsiaTheme="majorEastAsia"/>
                <w:sz w:val="24"/>
                <w:szCs w:val="24"/>
              </w:rPr>
            </w:pPr>
            <w:r>
              <w:rPr>
                <w:rFonts w:eastAsiaTheme="majorEastAsia"/>
                <w:sz w:val="24"/>
                <w:szCs w:val="24"/>
              </w:rPr>
              <w:t>Evaluamos positivamente el trabajo en equipo. La división de roles Scrum nos ha permitido avanzar en paralelo sin pisarnos entre tareas técnicas y de gestión, y hemos mantenido una comunicación fluida con nuestro docente guía, lo que nos permitió resolver dudas concretas sobre nomenclatura de archivos, uso de herramientas de IA para generar material visual y alcance del MVP antes de que se convirtieran en un problema mayor.</w:t>
            </w:r>
          </w:p>
          <w:p w14:paraId="22F90F11" w14:textId="77777777" w:rsidR="00BB3B19" w:rsidRDefault="00000000">
            <w:pPr>
              <w:jc w:val="both"/>
              <w:rPr>
                <w:rFonts w:eastAsiaTheme="majorEastAsia"/>
                <w:sz w:val="24"/>
                <w:szCs w:val="24"/>
              </w:rPr>
            </w:pPr>
            <w:r>
              <w:rPr>
                <w:rFonts w:eastAsiaTheme="majorEastAsia"/>
                <w:sz w:val="24"/>
                <w:szCs w:val="24"/>
              </w:rPr>
              <w:t>Como aspecto a mejorar, creemos que podemos ser más rigurosos documentando nuestras reuniones internas (no solo las instancias con el cliente) a medida que ocurren, en vez de reconstruirlas después, y anticipar más las preguntas que dependen del cliente para no acumular ambigüedades que después frenan el desarrollo técnico.</w:t>
            </w:r>
          </w:p>
          <w:p w14:paraId="47C3D75E" w14:textId="77777777" w:rsidR="004F2A8B" w:rsidRDefault="004F2A8B" w:rsidP="3D28A338">
            <w:pPr>
              <w:jc w:val="both"/>
              <w:rPr>
                <w:rFonts w:eastAsiaTheme="majorEastAsia"/>
                <w:color w:val="767171" w:themeColor="background2" w:themeShade="80"/>
                <w:sz w:val="24"/>
                <w:szCs w:val="24"/>
              </w:rPr>
            </w:pPr>
          </w:p>
          <w:p w14:paraId="3F2A02F8" w14:textId="77777777" w:rsidR="004F2A8B" w:rsidRDefault="004F2A8B" w:rsidP="3D28A338">
            <w:pPr>
              <w:jc w:val="both"/>
              <w:rPr>
                <w:rFonts w:eastAsiaTheme="majorEastAsia"/>
                <w:color w:val="767171" w:themeColor="background2" w:themeShade="80"/>
                <w:sz w:val="24"/>
                <w:szCs w:val="24"/>
              </w:rPr>
            </w:pPr>
          </w:p>
          <w:p w14:paraId="49C0CB6B" w14:textId="77777777" w:rsidR="004F2A8B" w:rsidRDefault="004F2A8B" w:rsidP="3D28A338">
            <w:pPr>
              <w:jc w:val="both"/>
              <w:rPr>
                <w:rFonts w:eastAsiaTheme="majorEastAsia"/>
                <w:color w:val="767171" w:themeColor="background2" w:themeShade="80"/>
                <w:sz w:val="24"/>
                <w:szCs w:val="24"/>
              </w:rPr>
            </w:pPr>
          </w:p>
        </w:tc>
      </w:tr>
    </w:tbl>
    <w:p w14:paraId="743694D8" w14:textId="77777777" w:rsidR="004F2A8B" w:rsidRDefault="004F2A8B" w:rsidP="3D28A338">
      <w:pPr>
        <w:spacing w:after="0" w:line="360" w:lineRule="auto"/>
        <w:jc w:val="both"/>
        <w:rPr>
          <w:color w:val="595959" w:themeColor="text1" w:themeTint="A6"/>
          <w:sz w:val="24"/>
          <w:szCs w:val="24"/>
          <w:lang w:eastAsia="ja-JP"/>
        </w:rPr>
      </w:pPr>
    </w:p>
    <w:p w14:paraId="6CF90DC3" w14:textId="77777777"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6018C" w14:textId="77777777" w:rsidR="001D5F98" w:rsidRDefault="001D5F98" w:rsidP="00DF38AE">
      <w:pPr>
        <w:spacing w:after="0" w:line="240" w:lineRule="auto"/>
      </w:pPr>
      <w:r>
        <w:separator/>
      </w:r>
    </w:p>
  </w:endnote>
  <w:endnote w:type="continuationSeparator" w:id="0">
    <w:p w14:paraId="02966683" w14:textId="77777777" w:rsidR="001D5F98" w:rsidRDefault="001D5F9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528DCD1"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4E681"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6B7E0" w14:textId="77777777" w:rsidR="001D5F98" w:rsidRDefault="001D5F98" w:rsidP="00DF38AE">
      <w:pPr>
        <w:spacing w:after="0" w:line="240" w:lineRule="auto"/>
      </w:pPr>
      <w:r>
        <w:separator/>
      </w:r>
    </w:p>
  </w:footnote>
  <w:footnote w:type="continuationSeparator" w:id="0">
    <w:p w14:paraId="5BB0F6B0" w14:textId="77777777" w:rsidR="001D5F98" w:rsidRDefault="001D5F9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95B72C5" w14:textId="77777777" w:rsidTr="00C5460F">
      <w:trPr>
        <w:trHeight w:val="697"/>
      </w:trPr>
      <w:tc>
        <w:tcPr>
          <w:tcW w:w="5707" w:type="dxa"/>
          <w:tcBorders>
            <w:top w:val="nil"/>
            <w:left w:val="nil"/>
            <w:bottom w:val="nil"/>
            <w:right w:val="nil"/>
          </w:tcBorders>
        </w:tcPr>
        <w:p w14:paraId="7442AC77"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CDF472B"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5CBA12DD"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97284BF"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4ED22B"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4AB63202" w14:textId="77777777" w:rsidTr="009C76B3">
      <w:trPr>
        <w:trHeight w:val="1091"/>
      </w:trPr>
      <w:tc>
        <w:tcPr>
          <w:tcW w:w="675" w:type="dxa"/>
          <w:tcBorders>
            <w:top w:val="nil"/>
            <w:left w:val="nil"/>
            <w:bottom w:val="nil"/>
            <w:right w:val="nil"/>
          </w:tcBorders>
          <w:hideMark/>
        </w:tcPr>
        <w:p w14:paraId="5E786CAA"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CEDAE8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554DDCD7"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71E15D9"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838F555"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4C288D01"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4AA95DFA"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9570837">
    <w:abstractNumId w:val="3"/>
  </w:num>
  <w:num w:numId="2" w16cid:durableId="60063391">
    <w:abstractNumId w:val="8"/>
  </w:num>
  <w:num w:numId="3" w16cid:durableId="1032727584">
    <w:abstractNumId w:val="12"/>
  </w:num>
  <w:num w:numId="4" w16cid:durableId="615020069">
    <w:abstractNumId w:val="28"/>
  </w:num>
  <w:num w:numId="5" w16cid:durableId="2081783523">
    <w:abstractNumId w:val="30"/>
  </w:num>
  <w:num w:numId="6" w16cid:durableId="703943312">
    <w:abstractNumId w:val="4"/>
  </w:num>
  <w:num w:numId="7" w16cid:durableId="898637195">
    <w:abstractNumId w:val="11"/>
  </w:num>
  <w:num w:numId="8" w16cid:durableId="638999846">
    <w:abstractNumId w:val="19"/>
  </w:num>
  <w:num w:numId="9" w16cid:durableId="1943148956">
    <w:abstractNumId w:val="15"/>
  </w:num>
  <w:num w:numId="10" w16cid:durableId="1047991239">
    <w:abstractNumId w:val="9"/>
  </w:num>
  <w:num w:numId="11" w16cid:durableId="588539135">
    <w:abstractNumId w:val="24"/>
  </w:num>
  <w:num w:numId="12" w16cid:durableId="199517772">
    <w:abstractNumId w:val="35"/>
  </w:num>
  <w:num w:numId="13" w16cid:durableId="2013531079">
    <w:abstractNumId w:val="29"/>
  </w:num>
  <w:num w:numId="14" w16cid:durableId="332687189">
    <w:abstractNumId w:val="1"/>
  </w:num>
  <w:num w:numId="15" w16cid:durableId="402026240">
    <w:abstractNumId w:val="36"/>
  </w:num>
  <w:num w:numId="16" w16cid:durableId="1101679810">
    <w:abstractNumId w:val="21"/>
  </w:num>
  <w:num w:numId="17" w16cid:durableId="1526097816">
    <w:abstractNumId w:val="17"/>
  </w:num>
  <w:num w:numId="18" w16cid:durableId="581448082">
    <w:abstractNumId w:val="31"/>
  </w:num>
  <w:num w:numId="19" w16cid:durableId="620382131">
    <w:abstractNumId w:val="10"/>
  </w:num>
  <w:num w:numId="20" w16cid:durableId="433595622">
    <w:abstractNumId w:val="39"/>
  </w:num>
  <w:num w:numId="21" w16cid:durableId="87115643">
    <w:abstractNumId w:val="34"/>
  </w:num>
  <w:num w:numId="22" w16cid:durableId="394858481">
    <w:abstractNumId w:val="13"/>
  </w:num>
  <w:num w:numId="23" w16cid:durableId="1730223873">
    <w:abstractNumId w:val="14"/>
  </w:num>
  <w:num w:numId="24" w16cid:durableId="2032342457">
    <w:abstractNumId w:val="5"/>
  </w:num>
  <w:num w:numId="25" w16cid:durableId="963654567">
    <w:abstractNumId w:val="16"/>
  </w:num>
  <w:num w:numId="26" w16cid:durableId="705180717">
    <w:abstractNumId w:val="20"/>
  </w:num>
  <w:num w:numId="27" w16cid:durableId="1397364635">
    <w:abstractNumId w:val="23"/>
  </w:num>
  <w:num w:numId="28" w16cid:durableId="1578369170">
    <w:abstractNumId w:val="0"/>
  </w:num>
  <w:num w:numId="29" w16cid:durableId="942539792">
    <w:abstractNumId w:val="18"/>
  </w:num>
  <w:num w:numId="30" w16cid:durableId="1569724424">
    <w:abstractNumId w:val="22"/>
  </w:num>
  <w:num w:numId="31" w16cid:durableId="850728133">
    <w:abstractNumId w:val="2"/>
  </w:num>
  <w:num w:numId="32" w16cid:durableId="1731689599">
    <w:abstractNumId w:val="7"/>
  </w:num>
  <w:num w:numId="33" w16cid:durableId="1782993994">
    <w:abstractNumId w:val="32"/>
  </w:num>
  <w:num w:numId="34" w16cid:durableId="1440416211">
    <w:abstractNumId w:val="38"/>
  </w:num>
  <w:num w:numId="35" w16cid:durableId="1397509116">
    <w:abstractNumId w:val="6"/>
  </w:num>
  <w:num w:numId="36" w16cid:durableId="1362902467">
    <w:abstractNumId w:val="25"/>
  </w:num>
  <w:num w:numId="37" w16cid:durableId="72747256">
    <w:abstractNumId w:val="37"/>
  </w:num>
  <w:num w:numId="38" w16cid:durableId="438377568">
    <w:abstractNumId w:val="27"/>
  </w:num>
  <w:num w:numId="39" w16cid:durableId="1452894411">
    <w:abstractNumId w:val="26"/>
  </w:num>
  <w:num w:numId="40" w16cid:durableId="38760792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2241"/>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D5F98"/>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568A"/>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3B19"/>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0071"/>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E19DC"/>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1067</Words>
  <Characters>5871</Characters>
  <Application>Microsoft Office Word</Application>
  <DocSecurity>0</DocSecurity>
  <Lines>48</Lines>
  <Paragraphs>13</Paragraphs>
  <ScaleCrop>false</ScaleCrop>
  <Company>Wal-Mart Stores, Inc.</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Natanael González Fuentes</cp:lastModifiedBy>
  <cp:revision>49</cp:revision>
  <cp:lastPrinted>2019-12-16T20:10:00Z</cp:lastPrinted>
  <dcterms:created xsi:type="dcterms:W3CDTF">2021-12-31T12:50:00Z</dcterms:created>
  <dcterms:modified xsi:type="dcterms:W3CDTF">2026-10-21T15:40:00Z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