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8bm4ciblx9p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65"/>
        <w:gridCol w:w="7980"/>
        <w:tblGridChange w:id="0">
          <w:tblGrid>
            <w:gridCol w:w="1665"/>
            <w:gridCol w:w="79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la primera mitad del desarrollo de la Fase 2, el equipo ha alcanzado los objetivos de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Configuración Base, Pre-procesamiento y Modelo Inicial de BD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89. Se estableció la infraestructura del repositorio público en GitHub con una arquitectura modular desacoplada en scripts de Python. Se diseñó e implementó la base de datos relacional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Regova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PostgreSQL / pgAdmin 4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cubriendo la jerarquía espacial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Góndola </w:t>
            </w:r>
            <m:oMath>
              <m:r>
                <m:t>→</m:t>
              </m:r>
            </m:oMath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Estante </w:t>
            </w:r>
            <m:oMath>
              <m:r>
                <m:t>→</m:t>
              </m:r>
            </m:oMath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Región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), el registro de imágenes. Asimismo, se programó el pipeline de pre-procesamiento con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OpenCV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y se configuró el espacio de trabajo ágil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Jira Software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con las 4 Épicas y 11 Historias de Usuario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HU01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a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HU11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mantienen vigentes el el objetivo general y los objetivos específicos planteados en la Fase 1 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metodología de trabajo se reafirma bajo el marco ágil Scrum, ejecutando Sprints iterativos de 2 semanas sincronizados con la Carta Gantt y la gestión de roles RACI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6.21582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Evidencias de Avance Presentadas: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Evidencia 1 (Código y Arquitectura): Repositorio en GitHub con la estructura desacoplada en scripts de Python, eliminando el uso de Jupyter Notebooks en el núcleo de producción, pero usandolo para pruebas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Evidencia 2 (Persistencia y Datos): Script SQL  y Diagrama Entidad-Relación  que implementan el esquema de 8 tablas en PostgreSQL 18.6 y Claude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Evidencia 3 (Pre-procesamiento): Script en Python/OpenCV para la transformación homográfica de perspectiva y la estandarización de Bounding Boxes en formato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YOLOv8n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Evidencia 4 (Gestión Ágil): Tablero de Jira activado con la planificación de los 5 Sprints y la asignación de responsabilidades por rol Scrum</w:t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39266078"/>
        <w:tag w:val="goog_rdk_0"/>
      </w:sdtPr>
      <w:sdtContent>
        <w:tbl>
          <w:tblPr>
            <w:tblStyle w:val="Table4"/>
            <w:tblpPr w:leftFromText="180" w:rightFromText="180" w:topFromText="0" w:bottomFromText="0" w:vertAnchor="page" w:horzAnchor="margin" w:tblpX="-545.9999999999999" w:tblpY="5880"/>
            <w:tblW w:w="10290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335"/>
            <w:gridCol w:w="1080"/>
            <w:gridCol w:w="1275"/>
            <w:gridCol w:w="1275"/>
            <w:gridCol w:w="1275"/>
            <w:gridCol w:w="1275"/>
            <w:gridCol w:w="1425"/>
            <w:gridCol w:w="1350"/>
            <w:tblGridChange w:id="0">
              <w:tblGrid>
                <w:gridCol w:w="1335"/>
                <w:gridCol w:w="1080"/>
                <w:gridCol w:w="1275"/>
                <w:gridCol w:w="1275"/>
                <w:gridCol w:w="1275"/>
                <w:gridCol w:w="1275"/>
                <w:gridCol w:w="1425"/>
                <w:gridCol w:w="1350"/>
              </w:tblGrid>
            </w:tblGridChange>
          </w:tblGrid>
          <w:tr>
            <w:trPr>
              <w:cantSplit w:val="0"/>
              <w:trHeight w:val="415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1E">
                <w:pPr>
                  <w:jc w:val="center"/>
                  <w:rPr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548dd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71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6">
                <w:pPr>
                  <w:jc w:val="center"/>
                  <w:rPr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548dd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7">
                <w:pPr>
                  <w:jc w:val="center"/>
                  <w:rPr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548dd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8">
                <w:pPr>
                  <w:jc w:val="center"/>
                  <w:rPr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548dd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9">
                <w:pPr>
                  <w:jc w:val="center"/>
                  <w:rPr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548dd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A">
                <w:pPr>
                  <w:jc w:val="center"/>
                  <w:rPr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548dd4"/>
                    <w:sz w:val="18"/>
                    <w:szCs w:val="18"/>
                    <w:rtl w:val="0"/>
                  </w:rPr>
                  <w:t xml:space="preserve">Responsable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B">
                <w:pPr>
                  <w:jc w:val="center"/>
                  <w:rPr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548dd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C">
                <w:pPr>
                  <w:jc w:val="center"/>
                  <w:rPr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548dd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D">
                <w:pPr>
                  <w:jc w:val="center"/>
                  <w:rPr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548dd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2E">
                <w:pPr>
                  <w:jc w:val="both"/>
                  <w:rPr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548dd4"/>
                    <w:sz w:val="18"/>
                    <w:szCs w:val="18"/>
                    <w:rtl w:val="0"/>
                  </w:rPr>
                  <w:t xml:space="preserve">Ingeniería de software y arquitectura</w:t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Definición de arquitectura desacoplada en 3 capas lógicas</w:t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jc w:val="both"/>
                  <w:rPr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548dd4"/>
                    <w:sz w:val="18"/>
                    <w:szCs w:val="18"/>
                    <w:rtl w:val="0"/>
                  </w:rPr>
                  <w:t xml:space="preserve">Github, VScode, python 3.10+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jc w:val="both"/>
                  <w:rPr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548dd4"/>
                    <w:sz w:val="18"/>
                    <w:szCs w:val="18"/>
                    <w:rtl w:val="0"/>
                  </w:rPr>
                  <w:t xml:space="preserve">Semana 1 - 4</w:t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David González Scrum master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Facilitador: Calidad en la obtención de información</w:t>
                </w:r>
              </w:p>
              <w:p w:rsidR="00000000" w:rsidDel="00000000" w:rsidP="00000000" w:rsidRDefault="00000000" w:rsidRPr="00000000" w14:paraId="00000034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Dificultad: Cambios en el proyecto</w:t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estableció no usar Jupyter Notebooks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37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Ingeniería de Datos &amp; Preprocesamiento </w:t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Ingesta de Datasets Open Source y Pre-procesamiento de Perspectiva 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Grocery Shelves, OpenCV, NumPy, Deep anything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Semanas 5 - 6 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Macarena Lobos (Proxy PO) 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Dificultad: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Domain Gap y ángulos oblicuos en fotos de supermercado 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Ingesta de datasets abiertos con auditoría estricta de licencias de uso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3F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Base de Datos &amp; Persistencia 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Construcción del Esquema Relacional de la BD 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shd w:fill="f1f3f4" w:val="clear"/>
                    <w:rtl w:val="0"/>
                  </w:rPr>
                  <w:t xml:space="preserve">Regova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PostgreSQL, pgAdmin 4, SQL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Semanas 5 - 6 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Macarena Lobos / David González 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Facilitador: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Definición clara de la jerarquía (Góndola </w:t>
                </w:r>
                <m:oMath>
                  <m:r>
                    <m:t>→</m:t>
                  </m:r>
                </m:oMath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Estante </w:t>
                </w:r>
                <m:oMath>
                  <m:r>
                    <m:t>→</m:t>
                  </m:r>
                </m:oMath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Región) 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incorporó la tabla de 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shd w:fill="f1f3f4" w:val="clear"/>
                    <w:rtl w:val="0"/>
                  </w:rPr>
                  <w:t xml:space="preserve">criterios_clasificacion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para independizar los umbrales de la IA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47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Visión Computacional &amp; Modelamiento 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Entrenamiento inicial y control de VRAM en Colab (</w:t>
                </w:r>
                <m:oMath>
                  <m:r>
                    <m:t>≤</m:t>
                  </m:r>
                  <m:r>
                    <w:rPr>
                      <w:i w:val="1"/>
                      <w:iCs w:val="1"/>
                      <w:color w:val="548dd4"/>
                      <w:sz w:val="18"/>
                      <w:szCs w:val="18"/>
                    </w:rPr>
                    <m:t xml:space="preserve">4.0GB</m:t>
                  </m:r>
                </m:oMath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) 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Google Colab (GPU T4), PyTorch, 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YOLOv8n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Semanas 7 - 8 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Michelle Stuardo (Lead Tech) 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Dificultad: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Límite de memoria GPU y tiempo de inferencia 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Selección del modelo liviano YOLOv8n para asegurar latencia entre 2s y 5s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4F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Gestión Ágil &amp; Riesgos 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Configuración de Jira, Product Backlog y Plan de Riesgos 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Jira Software, Plan de Riesgos 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Semanas 1 - 6 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David González (Scrum Master) 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Facilitador: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Roles del Squad bien definidos en la Matriz RACI 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Monitoreo quincenal del riesgo crítico R01 (Domain Gap) </w:t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Factores Facilitadores: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 El apoyo del profesor guía, la disponibilidad de herramientas y entornos gratuitos de desarrollo (VS Code, PostgreSQL, pgAdmin 4, Google Colab con GPU T4) y la clara división de responsabilidades dentro del Squad bajo la Matriz RACI.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Factores Dificultadores y Acciones de Mitigación: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Riesgo de Domain Gap (R01): Los datasets públicos no reproducen completamente las condiciones de captura previstas en Walmart, como ángulos oblicuos, reflejos, sombras y oclusiones. Mitigación: se dispone de código para preprocesamiento y transformaciones de imágenes, y de una demo de inferencia con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YOLOv8n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 Queda pendiente verificar el alcance del entrenamiento y la evaluación del modelo con imágenes que representen esas condiciones difíciles; no se considera resuelto este riesgo.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Restricción de memoria GPU (R03): El entrenamiento y las pruebas en entornos como Google Colab están condicionados por la memoria y el tiempo de ejecución disponibles. Mitigación: se seleccionó el modelo liviano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YOLOv8n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y se han explorado configuraciones de entrenamiento para controlar el consumo de recursos. Los parámetros deben documentarse según cada ejecución; no se atribuye un único tamaño de lote o resolución a todos los experimentos. El reentrenamiento adicional sigue pendiente de confirmación.</w:t>
            </w:r>
            <m:oMath>
              <m:r>
                <m:t>≤</m:t>
              </m:r>
              <m:r>
                <w:rPr>
                  <w:i w:val="1"/>
                  <w:iCs w:val="1"/>
                  <w:color w:val="548dd4"/>
                  <w:sz w:val="20"/>
                  <w:szCs w:val="20"/>
                  <w:highlight w:val="yellow"/>
                </w:rPr>
                <m:t xml:space="preserve">4.0GB</m:t>
              </m:r>
            </m:oMath>
            <m:oMath>
              <m:r>
                <w:rPr>
                  <w:i w:val="1"/>
                  <w:iCs w:val="1"/>
                  <w:color w:val="548dd4"/>
                  <w:sz w:val="20"/>
                  <w:szCs w:val="20"/>
                  <w:highlight w:val="yellow"/>
                </w:rPr>
                <m:t xml:space="preserve">640</m:t>
              </m:r>
              <m:r>
                <w:rPr>
                  <w:i w:val="1"/>
                  <w:iCs w:val="1"/>
                  <w:color w:val="548dd4"/>
                  <w:sz w:val="20"/>
                  <w:szCs w:val="20"/>
                  <w:highlight w:val="yellow"/>
                </w:rPr>
                <m:t>×</m:t>
              </m:r>
              <m:r>
                <w:rPr>
                  <w:i w:val="1"/>
                  <w:iCs w:val="1"/>
                  <w:color w:val="548dd4"/>
                  <w:sz w:val="20"/>
                  <w:szCs w:val="20"/>
                  <w:highlight w:val="yellow"/>
                </w:rPr>
                <m:t xml:space="preserve">640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Estandarización de Bounding Boxes (R04): La combinación de datasets y anotaciones de diferentes fuentes puede producir incompatibilidades en el formato y la escala de coordenadas. Mitigación: se contempla la normalización de anotaciones al formato utilizado por YOLO y su revisión antes de entrenar. La aplicación consistente de esta conversión sobre todos los conjuntos de datos deberá verificarse con los registros del procesamiento.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4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independizó la lógica de negocio de los criterios de clasificación (umbral del 30%) mediante la tabla SQL 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shd w:fill="f1f3f4" w:val="clear"/>
                <w:rtl w:val="0"/>
              </w:rPr>
              <w:t xml:space="preserve">criterios clasificación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permitiendo alterar los rangos operacionales en la base de datos sin requerir reentrenamiento del modelo de visión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6F">
            <w:pPr>
              <w:spacing w:after="40" w:before="0" w:lineRule="auto"/>
              <w:rPr>
                <w:color w:val="6d9ee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d9eeb"/>
                <w:sz w:val="18"/>
                <w:szCs w:val="18"/>
                <w:rtl w:val="0"/>
              </w:rPr>
              <w:t xml:space="preserve">Estado de actividades pendientes y estrategia de continuidad: </w:t>
            </w:r>
            <w:r w:rsidDel="00000000" w:rsidR="00000000" w:rsidRPr="00000000">
              <w:rPr>
                <w:color w:val="6d9eeb"/>
                <w:sz w:val="18"/>
                <w:szCs w:val="18"/>
                <w:rtl w:val="0"/>
              </w:rPr>
              <w:t xml:space="preserve">A la fecha de corte, la demostración del algoritmo permite realizar inferencias y estimaciones por nivel con un modelo </w:t>
            </w:r>
            <w:r w:rsidDel="00000000" w:rsidR="00000000" w:rsidRPr="00000000">
              <w:rPr>
                <w:color w:val="6d9eeb"/>
                <w:sz w:val="18"/>
                <w:szCs w:val="18"/>
                <w:rtl w:val="0"/>
              </w:rPr>
              <w:t xml:space="preserve">YOLOv8n</w:t>
            </w:r>
            <w:r w:rsidDel="00000000" w:rsidR="00000000" w:rsidRPr="00000000">
              <w:rPr>
                <w:color w:val="6d9eeb"/>
                <w:sz w:val="18"/>
                <w:szCs w:val="18"/>
                <w:rtl w:val="0"/>
              </w:rPr>
              <w:t xml:space="preserve"> y pesos disponibles; el frontend cuenta con pantallas y flujos funcionales evaluados mediante pruebas manuales, aunque algunos resultados todavía son simulados. No se ha acreditado la integración completa entre la interfaz, el procesamiento visual y la persistencia de resultados, por lo que esta constituye una actividad pendiente prioritaria.</w:t>
            </w:r>
          </w:p>
          <w:p w:rsidR="00000000" w:rsidDel="00000000" w:rsidP="00000000" w:rsidRDefault="00000000" w:rsidRPr="00000000" w14:paraId="00000070">
            <w:pPr>
              <w:spacing w:after="40" w:before="0" w:lineRule="auto"/>
              <w:rPr>
                <w:color w:val="6d9ee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d9eeb"/>
                <w:sz w:val="18"/>
                <w:szCs w:val="18"/>
                <w:rtl w:val="0"/>
              </w:rPr>
              <w:t xml:space="preserve">Entrenamiento y validación: </w:t>
            </w:r>
            <w:r w:rsidDel="00000000" w:rsidR="00000000" w:rsidRPr="00000000">
              <w:rPr>
                <w:color w:val="6d9eeb"/>
                <w:sz w:val="18"/>
                <w:szCs w:val="18"/>
                <w:rtl w:val="0"/>
              </w:rPr>
              <w:t xml:space="preserve">La evaluación adicional con imágenes de condiciones complejas y la consolidación de métricas de entrenamiento y validación siguen pendientes de verificación. Como medida de continuidad, se propone reunir los registros de experimentación disponibles, identificar las imágenes y anotaciones utilizadas, ejecutar pruebas representativas y registrar resultados y limitaciones antes de declarar finalizada la validación.</w:t>
            </w:r>
          </w:p>
          <w:p w:rsidR="00000000" w:rsidDel="00000000" w:rsidP="00000000" w:rsidRDefault="00000000" w:rsidRPr="00000000" w14:paraId="00000071">
            <w:pPr>
              <w:spacing w:after="40" w:before="0" w:lineRule="auto"/>
              <w:rPr>
                <w:color w:val="6d9ee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d9eeb"/>
                <w:sz w:val="18"/>
                <w:szCs w:val="18"/>
                <w:rtl w:val="0"/>
              </w:rPr>
              <w:t xml:space="preserve">Integración y pruebas: </w:t>
            </w:r>
            <w:r w:rsidDel="00000000" w:rsidR="00000000" w:rsidRPr="00000000">
              <w:rPr>
                <w:color w:val="6d9eeb"/>
                <w:sz w:val="18"/>
                <w:szCs w:val="18"/>
                <w:rtl w:val="0"/>
              </w:rPr>
              <w:t xml:space="preserve">Se priorizará conectar la recepción de imágenes del frontend con el servicio de análisis, asociar los resultados a góndolas y regiones, y verificar la visualización de estados y alertas con datos reales. Paralelamente, deberán atenderse los defectos funcionales detectados, especialmente los permisos de modificación de la configuración de góndolas. Estas tareas se registrarán y priorizarán según su impacto en la demostración y los criterios de aceptación.</w:t>
            </w:r>
          </w:p>
          <w:p w:rsidR="00000000" w:rsidDel="00000000" w:rsidP="00000000" w:rsidRDefault="00000000" w:rsidRPr="00000000" w14:paraId="00000072">
            <w:pPr>
              <w:spacing w:after="40" w:before="0" w:lineRule="auto"/>
              <w:rPr>
                <w:color w:val="6d9ee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d9eeb"/>
                <w:sz w:val="18"/>
                <w:szCs w:val="18"/>
                <w:rtl w:val="0"/>
              </w:rPr>
              <w:t xml:space="preserve">Seguimiento del cronograma: </w:t>
            </w:r>
            <w:r w:rsidDel="00000000" w:rsidR="00000000" w:rsidRPr="00000000">
              <w:rPr>
                <w:color w:val="6d9eeb"/>
                <w:sz w:val="18"/>
                <w:szCs w:val="18"/>
                <w:rtl w:val="0"/>
              </w:rPr>
              <w:t xml:space="preserve">La carta Gantt contempla actividades de entrenamiento, preprocesamiento, configuración y pruebas en distintos períodos, por lo que no corresponde calificar todas las tareas pendientes como atrasadas. Se revisarán las dependencias y fechas vigentes para identificar retrasos efectivos, dejar constancia de los ajustes y concentrar el esfuerzo en un flujo mínimo integrado y demostrable.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nwFGolXAarIuHQ5HqBvaw2Iyw==">CgMxLjAaHwoBMBIaChgICVIUChJ0YWJsZS45andpcThqcmdtNXAyDmguOGJtNGNpYmx4OXBqOAByITFENmlscFRhZlBycmx5UFloemZXREdoc2E5TGNPR2lPZw==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