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Undergraduate Symposium</w:t>
      </w:r>
    </w:p>
    <w:p w:rsidR="00000000" w:rsidDel="00000000" w:rsidP="00000000" w:rsidRDefault="00000000" w:rsidRPr="00000000" w14:paraId="0000000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Friday, August 4, Morning and early afternoon sessions</w:t>
      </w:r>
    </w:p>
    <w:p w:rsidR="00000000" w:rsidDel="00000000" w:rsidP="00000000" w:rsidRDefault="00000000" w:rsidRPr="00000000" w14:paraId="0000000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Kellogg 103AB</w:t>
      </w:r>
    </w:p>
    <w:p w:rsidR="00000000" w:rsidDel="00000000" w:rsidP="00000000" w:rsidRDefault="00000000" w:rsidRPr="00000000" w14:paraId="0000000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Organizer and session chair: Melissa Bowlin</w:t>
      </w:r>
    </w:p>
    <w:p w:rsidR="00000000" w:rsidDel="00000000" w:rsidP="00000000" w:rsidRDefault="00000000" w:rsidRPr="00000000" w14:paraId="0000000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contextualSpacing w:val="0"/>
        <w:rPr>
          <w:rFonts w:ascii="Cambria" w:cs="Cambria" w:eastAsia="Cambria" w:hAnsi="Cambria"/>
        </w:rPr>
      </w:pPr>
      <w:r w:rsidDel="00000000" w:rsidR="00000000" w:rsidRPr="00000000">
        <w:rPr>
          <w:rFonts w:ascii="Cambria" w:cs="Cambria" w:eastAsia="Cambria" w:hAnsi="Cambria"/>
          <w:rtl w:val="0"/>
        </w:rPr>
        <w:t xml:space="preserve">We are pleased to welcome more than 30 undergraduate researchers who are presenting their research at this year’s meeting! In acknowledgement of just some of the great work being done by these beginning scientists, we’re holding a special session during which 10 undergraduates will present their research. We encourage you to attend these talks that explore diverse aspects of the biology of birds, including digestion and diet, preen gland secretions, flight patterns, and coloration. Additional talks by undergraduate students will be conducted throughout the scientific program; please extend your support and find out about the work of these researchers!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