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rtl w:val="0"/>
        </w:rPr>
        <w:t xml:space="preserve">When compiling a dossier, you will only have access to public sources. Thus e</w:t>
      </w:r>
      <w:r w:rsidDel="00000000" w:rsidR="00000000" w:rsidRPr="00000000">
        <w:rPr>
          <w:rFonts w:ascii="Times" w:cs="Times" w:eastAsia="Times" w:hAnsi="Times"/>
          <w:rtl w:val="0"/>
        </w:rPr>
        <w:t xml:space="preserve">very claim must carry a source type: public document or public inference. You will not be making any private inferences because you will not have access to private information.</w:t>
      </w:r>
    </w:p>
    <w:p w:rsidR="00000000" w:rsidDel="00000000" w:rsidP="00000000" w:rsidRDefault="00000000" w:rsidRPr="00000000" w14:paraId="00000002">
      <w:pPr>
        <w:rPr>
          <w:rFonts w:ascii="Times" w:cs="Times" w:eastAsia="Times" w:hAnsi="Times"/>
        </w:rPr>
      </w:pPr>
      <w:r w:rsidDel="00000000" w:rsidR="00000000" w:rsidRPr="00000000">
        <w:rPr>
          <w:rtl w:val="0"/>
        </w:rPr>
      </w:r>
    </w:p>
    <w:p w:rsidR="00000000" w:rsidDel="00000000" w:rsidP="00000000" w:rsidRDefault="00000000" w:rsidRPr="00000000" w14:paraId="00000003">
      <w:pPr>
        <w:rPr>
          <w:rFonts w:ascii="Times" w:cs="Times" w:eastAsia="Times" w:hAnsi="Times"/>
        </w:rPr>
      </w:pPr>
      <w:r w:rsidDel="00000000" w:rsidR="00000000" w:rsidRPr="00000000">
        <w:rPr>
          <w:rFonts w:ascii="Times" w:cs="Times" w:eastAsia="Times" w:hAnsi="Times"/>
          <w:rtl w:val="0"/>
        </w:rPr>
        <w:t xml:space="preserve">Every claim you make must be categorized either as a public document or public inference.</w:t>
      </w:r>
    </w:p>
    <w:p w:rsidR="00000000" w:rsidDel="00000000" w:rsidP="00000000" w:rsidRDefault="00000000" w:rsidRPr="00000000" w14:paraId="00000004">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05">
      <w:pPr>
        <w:rPr>
          <w:rFonts w:ascii="Times" w:cs="Times" w:eastAsia="Times" w:hAnsi="Times"/>
        </w:rPr>
      </w:pPr>
      <w:r w:rsidDel="00000000" w:rsidR="00000000" w:rsidRPr="00000000">
        <w:rPr>
          <w:rFonts w:ascii="Times" w:cs="Times" w:eastAsia="Times" w:hAnsi="Times"/>
          <w:rtl w:val="0"/>
        </w:rPr>
        <w:t xml:space="preserve">A public document is an extraction of information from a source that directly provided such information. An example of a public document source is stating that a PE firm has “Institutional funds: 8” when this number is found in a PE firm’s info sheet. </w:t>
      </w:r>
    </w:p>
    <w:p w:rsidR="00000000" w:rsidDel="00000000" w:rsidP="00000000" w:rsidRDefault="00000000" w:rsidRPr="00000000" w14:paraId="00000006">
      <w:pPr>
        <w:rPr>
          <w:rFonts w:ascii="Times" w:cs="Times" w:eastAsia="Times" w:hAnsi="Times"/>
        </w:rPr>
      </w:pPr>
      <w:r w:rsidDel="00000000" w:rsidR="00000000" w:rsidRPr="00000000">
        <w:rPr>
          <w:rtl w:val="0"/>
        </w:rPr>
      </w:r>
    </w:p>
    <w:p w:rsidR="00000000" w:rsidDel="00000000" w:rsidP="00000000" w:rsidRDefault="00000000" w:rsidRPr="00000000" w14:paraId="00000007">
      <w:pPr>
        <w:rPr>
          <w:rFonts w:ascii="Times" w:cs="Times" w:eastAsia="Times" w:hAnsi="Times"/>
        </w:rPr>
      </w:pPr>
      <w:r w:rsidDel="00000000" w:rsidR="00000000" w:rsidRPr="00000000">
        <w:rPr>
          <w:rFonts w:ascii="Times" w:cs="Times" w:eastAsia="Times" w:hAnsi="Times"/>
          <w:rtl w:val="0"/>
        </w:rPr>
        <w:t xml:space="preserve">A public inference is a conclusion you derived by reasoning across public inputs, where the conclusion itself does not appear in any source. This doesn’t mandate that the information comes from different sources. It also does not mean that multiple evidences are required to infer. It is important for you to make inferences to compile and show patterns in the dossier that would’ve required human research and knowledge of the firm. But it is even more important that you make inferences over a logical set of rules. Rules which will be defined below. </w:t>
      </w:r>
    </w:p>
    <w:p w:rsidR="00000000" w:rsidDel="00000000" w:rsidP="00000000" w:rsidRDefault="00000000" w:rsidRPr="00000000" w14:paraId="00000008">
      <w:pPr>
        <w:rPr>
          <w:rFonts w:ascii="Times" w:cs="Times" w:eastAsia="Times" w:hAnsi="Times"/>
        </w:rPr>
      </w:pPr>
      <w:r w:rsidDel="00000000" w:rsidR="00000000" w:rsidRPr="00000000">
        <w:rPr>
          <w:rtl w:val="0"/>
        </w:rPr>
      </w:r>
    </w:p>
    <w:p w:rsidR="00000000" w:rsidDel="00000000" w:rsidP="00000000" w:rsidRDefault="00000000" w:rsidRPr="00000000" w14:paraId="00000009">
      <w:pPr>
        <w:rPr>
          <w:rFonts w:ascii="Times" w:cs="Times" w:eastAsia="Times" w:hAnsi="Times"/>
        </w:rPr>
      </w:pPr>
      <w:r w:rsidDel="00000000" w:rsidR="00000000" w:rsidRPr="00000000">
        <w:rPr>
          <w:rFonts w:ascii="Times" w:cs="Times" w:eastAsia="Times" w:hAnsi="Times"/>
          <w:rtl w:val="0"/>
        </w:rPr>
        <w:t xml:space="preserve">In regards to inference conclusions, the protocol is to not take more steps to a final inference than you have unique pieces of evidence. Here is an example of this rule in practice:</w:t>
      </w:r>
    </w:p>
    <w:p w:rsidR="00000000" w:rsidDel="00000000" w:rsidP="00000000" w:rsidRDefault="00000000" w:rsidRPr="00000000" w14:paraId="0000000A">
      <w:pPr>
        <w:rPr>
          <w:rFonts w:ascii="Times" w:cs="Times" w:eastAsia="Times" w:hAnsi="Times"/>
        </w:rPr>
      </w:pPr>
      <w:r w:rsidDel="00000000" w:rsidR="00000000" w:rsidRPr="00000000">
        <w:rPr>
          <w:rFonts w:ascii="Times" w:cs="Times" w:eastAsia="Times" w:hAnsi="Times"/>
          <w:rtl w:val="0"/>
        </w:rPr>
        <w:t xml:space="preserve">You found evidence that the PE firm has historically had 10 funds, 6 of which are now closed. You also find that total AUM throughout the life of the firm is $7.7B, yet the current AUM is $6.4B, despite only 4 funds remaining active. </w:t>
      </w:r>
    </w:p>
    <w:p w:rsidR="00000000" w:rsidDel="00000000" w:rsidP="00000000" w:rsidRDefault="00000000" w:rsidRPr="00000000" w14:paraId="0000000B">
      <w:pPr>
        <w:rPr>
          <w:rFonts w:ascii="Times" w:cs="Times" w:eastAsia="Times" w:hAnsi="Times"/>
        </w:rPr>
      </w:pPr>
      <w:r w:rsidDel="00000000" w:rsidR="00000000" w:rsidRPr="00000000">
        <w:rPr>
          <w:rtl w:val="0"/>
        </w:rPr>
      </w:r>
    </w:p>
    <w:p w:rsidR="00000000" w:rsidDel="00000000" w:rsidP="00000000" w:rsidRDefault="00000000" w:rsidRPr="00000000" w14:paraId="0000000C">
      <w:pPr>
        <w:rPr>
          <w:rFonts w:ascii="Times" w:cs="Times" w:eastAsia="Times" w:hAnsi="Times"/>
        </w:rPr>
      </w:pPr>
      <w:r w:rsidDel="00000000" w:rsidR="00000000" w:rsidRPr="00000000">
        <w:rPr>
          <w:rFonts w:ascii="Times" w:cs="Times" w:eastAsia="Times" w:hAnsi="Times"/>
          <w:rtl w:val="0"/>
        </w:rPr>
        <w:t xml:space="preserve">From the two facts on the capital contributions over different time horizons, you logically conclude that most capital contributions have been towards the more recent and open funds. That is one step. Since most of the funds are now closed, you can conclude that there is much more capital per fund today than earlier in the firm’s life. That is step two. Because of the increasing aggregate capital contributions across a lesser amount of funds over time, it is logical to conclude that the firm has been growing over recent cycles. Three steps and three pieces of evidence. </w:t>
      </w:r>
    </w:p>
    <w:p w:rsidR="00000000" w:rsidDel="00000000" w:rsidP="00000000" w:rsidRDefault="00000000" w:rsidRPr="00000000" w14:paraId="0000000D">
      <w:pPr>
        <w:rPr>
          <w:rFonts w:ascii="Times" w:cs="Times" w:eastAsia="Times" w:hAnsi="Times"/>
        </w:rPr>
      </w:pPr>
      <w:r w:rsidDel="00000000" w:rsidR="00000000" w:rsidRPr="00000000">
        <w:rPr>
          <w:rtl w:val="0"/>
        </w:rPr>
      </w:r>
    </w:p>
    <w:p w:rsidR="00000000" w:rsidDel="00000000" w:rsidP="00000000" w:rsidRDefault="00000000" w:rsidRPr="00000000" w14:paraId="0000000E">
      <w:pPr>
        <w:rPr>
          <w:rFonts w:ascii="Times" w:cs="Times" w:eastAsia="Times" w:hAnsi="Times"/>
        </w:rPr>
      </w:pPr>
      <w:r w:rsidDel="00000000" w:rsidR="00000000" w:rsidRPr="00000000">
        <w:rPr>
          <w:rFonts w:ascii="Times" w:cs="Times" w:eastAsia="Times" w:hAnsi="Times"/>
          <w:rtl w:val="0"/>
        </w:rPr>
        <w:t xml:space="preserve">Those reviewing the dossier will not automatically be able to differentiate between public document and public inference claims. You must label them as such with subscripts at the end of a relevant sentence using either “pub doc” or “pub inf”. If both types of sourcing are used, abandon the end of sentence rule and assign the subscript after the claim has been stated in text. Here is an example(focus on format not content): “the firm manages $6.4B in active AUM (pub doc), suggesting concentrated deployment in recent vehicles (pub inf)"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