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spacing w:after="80"/>
        <w:jc w:val="center"/>
      </w:pPr>
      <w:r>
        <w:rPr>
          <w:rFonts w:ascii="SimHei" w:hAnsi="SimHei" w:eastAsia="SimHei"/>
          <w:b/>
          <w:sz w:val="52"/>
        </w:rPr>
        <w:t>CAPM vs Fama-French 三因子模型</w:t>
      </w:r>
    </w:p>
    <w:p>
      <w:pPr>
        <w:spacing w:after="80"/>
        <w:jc w:val="center"/>
      </w:pPr>
      <w:r>
        <w:rPr>
          <w:rFonts w:ascii="SimHei" w:hAnsi="SimHei" w:eastAsia="SimHei"/>
          <w:b/>
          <w:sz w:val="36"/>
        </w:rPr>
        <w:t>——谁更能解释 A 股收益？</w:t>
      </w:r>
    </w:p>
    <w:p/>
    <w:p/>
    <w:p>
      <w:pPr>
        <w:spacing w:after="80"/>
        <w:jc w:val="center"/>
      </w:pPr>
      <w:r>
        <w:rPr>
          <w:rFonts w:ascii="SimHei" w:hAnsi="SimHei" w:eastAsia="SimHei"/>
          <w:sz w:val="32"/>
        </w:rPr>
        <w:t>选题一</w:t>
      </w:r>
    </w:p>
    <w:p>
      <w:pPr>
        <w:spacing w:after="80"/>
        <w:jc w:val="center"/>
      </w:pPr>
      <w:r>
        <w:rPr>
          <w:rFonts w:ascii="宋体" w:hAnsi="宋体" w:eastAsia="宋体"/>
          <w:sz w:val="28"/>
        </w:rPr>
        <w:t>数据科学与大数据技术</w:t>
      </w:r>
    </w:p>
    <w:p>
      <w:pPr>
        <w:spacing w:after="80"/>
        <w:jc w:val="center"/>
      </w:pPr>
      <w:r>
        <w:rPr>
          <w:rFonts w:ascii="宋体" w:hAnsi="宋体" w:eastAsia="宋体"/>
          <w:sz w:val="28"/>
        </w:rPr>
        <w:t>杨思涵  2023110996</w:t>
      </w:r>
    </w:p>
    <w:p/>
    <w:p>
      <w:pPr>
        <w:spacing w:after="80"/>
        <w:jc w:val="center"/>
      </w:pPr>
      <w:r>
        <w:rPr>
          <w:rFonts w:ascii="宋体" w:hAnsi="宋体" w:eastAsia="宋体"/>
          <w:sz w:val="22"/>
        </w:rPr>
        <w:t>样本规模：100 只沪深 300 成分股 × 84 个月度 (2018–2024)</w:t>
      </w:r>
    </w:p>
    <w:p>
      <w:pPr>
        <w:spacing w:after="80"/>
        <w:jc w:val="center"/>
      </w:pPr>
      <w:r>
        <w:rPr>
          <w:rFonts w:ascii="宋体" w:hAnsi="宋体" w:eastAsia="宋体"/>
          <w:sz w:val="22"/>
        </w:rPr>
        <w:t>报告日期：2026 年 6 月 3 日</w:t>
      </w:r>
    </w:p>
    <w:p>
      <w:pPr>
        <w:sectPr>
          <w:headerReference w:type="default" r:id="rId9"/>
          <w:footerReference w:type="default" r:id="rId10"/>
          <w:pgSz w:w="11906" w:h="16838"/>
          <w:pgMar w:top="1440" w:right="1803" w:bottom="1440" w:left="1803" w:header="720" w:footer="720" w:gutter="0"/>
          <w:cols w:space="720"/>
          <w:docGrid w:linePitch="360"/>
        </w:sectPr>
      </w:pPr>
    </w:p>
    <w:p>
      <w:pPr>
        <w:pStyle w:val="Heading1"/>
      </w:pPr>
      <w:r>
        <w:t>一、研究设计</w:t>
      </w:r>
    </w:p>
    <w:p>
      <w:pPr>
        <w:pStyle w:val="Heading2"/>
      </w:pPr>
      <w:r>
        <w:t>1.1 研究问题</w:t>
      </w:r>
    </w:p>
    <w:p>
      <w:pPr>
        <w:spacing w:line="360" w:lineRule="auto" w:after="80"/>
        <w:ind w:firstLine="480"/>
      </w:pPr>
      <w:r>
        <w:rPr>
          <w:rFonts w:ascii="宋体" w:hAnsi="宋体" w:eastAsia="宋体"/>
          <w:sz w:val="24"/>
        </w:rPr>
        <w:t>比较资本资产定价模型（CAPM）与 Fama-French 三因子模型对中国 A 股市场收益的解释能力。本文选取沪深 300 成分股中 100 只股票，基于 2018 年 1 月至 2024 年 12 月的月度收益率数据，分别对每只股票进行 CAPM 和 Fama-French 三因子模型的时间序列回归，从拟合优度（R²）、因子显著性（t 值、p 值）以及截距项（Jensen's Alpha）三个维度对比两个模型的表现。</w:t>
      </w:r>
    </w:p>
    <w:p>
      <w:pPr>
        <w:pStyle w:val="Heading2"/>
      </w:pPr>
      <w:r>
        <w:t>1.2 模型设定</w:t>
      </w:r>
    </w:p>
    <w:p>
      <w:pPr>
        <w:spacing w:line="360" w:lineRule="auto" w:after="80"/>
      </w:pPr>
      <w:r>
        <w:rPr>
          <w:rFonts w:ascii="宋体" w:hAnsi="宋体" w:eastAsia="宋体"/>
          <w:b/>
          <w:sz w:val="24"/>
        </w:rPr>
        <w:t>（1）资本资产定价模型（CAPM）</w:t>
      </w:r>
    </w:p>
    <w:p>
      <w:pPr>
        <w:spacing w:before="120" w:after="120"/>
        <w:jc w:val="center"/>
      </w:pPr>
      <w:r>
        <w:drawing>
          <wp:inline xmlns:a="http://schemas.openxmlformats.org/drawingml/2006/main" xmlns:pic="http://schemas.openxmlformats.org/drawingml/2006/picture">
            <wp:extent cx="4389120" cy="559859"/>
            <wp:docPr id="1" name="Picture 1"/>
            <wp:cNvGraphicFramePr>
              <a:graphicFrameLocks noChangeAspect="1"/>
            </wp:cNvGraphicFramePr>
            <a:graphic>
              <a:graphicData uri="http://schemas.openxmlformats.org/drawingml/2006/picture">
                <pic:pic>
                  <pic:nvPicPr>
                    <pic:cNvPr id="0" name="e_capm_label.png"/>
                    <pic:cNvPicPr/>
                  </pic:nvPicPr>
                  <pic:blipFill>
                    <a:blip r:embed="rId13"/>
                    <a:stretch>
                      <a:fillRect/>
                    </a:stretch>
                  </pic:blipFill>
                  <pic:spPr>
                    <a:xfrm>
                      <a:off x="0" y="0"/>
                      <a:ext cx="4389120" cy="559859"/>
                    </a:xfrm>
                    <a:prstGeom prst="rect"/>
                  </pic:spPr>
                </pic:pic>
              </a:graphicData>
            </a:graphic>
          </wp:inline>
        </w:drawing>
      </w:r>
    </w:p>
    <w:p>
      <w:pPr>
        <w:spacing w:line="360" w:lineRule="auto" w:after="80"/>
      </w:pPr>
      <w:r>
        <w:rPr>
          <w:rFonts w:ascii="宋体" w:hAnsi="宋体" w:eastAsia="宋体"/>
          <w:sz w:val="24"/>
        </w:rPr>
        <w:t>其中：</w:t>
      </w:r>
    </w:p>
    <w:p>
      <w:pPr>
        <w:spacing w:before="120" w:after="120"/>
        <w:jc w:val="center"/>
      </w:pPr>
      <w:r>
        <w:drawing>
          <wp:inline xmlns:a="http://schemas.openxmlformats.org/drawingml/2006/main" xmlns:pic="http://schemas.openxmlformats.org/drawingml/2006/picture">
            <wp:extent cx="4114800" cy="311944"/>
            <wp:docPr id="2" name="Picture 2"/>
            <wp:cNvGraphicFramePr>
              <a:graphicFrameLocks noChangeAspect="1"/>
            </wp:cNvGraphicFramePr>
            <a:graphic>
              <a:graphicData uri="http://schemas.openxmlformats.org/drawingml/2006/picture">
                <pic:pic>
                  <pic:nvPicPr>
                    <pic:cNvPr id="0" name="e_capm_var.png"/>
                    <pic:cNvPicPr/>
                  </pic:nvPicPr>
                  <pic:blipFill>
                    <a:blip r:embed="rId14"/>
                    <a:stretch>
                      <a:fillRect/>
                    </a:stretch>
                  </pic:blipFill>
                  <pic:spPr>
                    <a:xfrm>
                      <a:off x="0" y="0"/>
                      <a:ext cx="4114800" cy="311944"/>
                    </a:xfrm>
                    <a:prstGeom prst="rect"/>
                  </pic:spPr>
                </pic:pic>
              </a:graphicData>
            </a:graphic>
          </wp:inline>
        </w:drawing>
      </w:r>
    </w:p>
    <w:p/>
    <w:p>
      <w:pPr>
        <w:spacing w:line="360" w:lineRule="auto" w:after="80"/>
      </w:pPr>
      <w:r>
        <w:rPr>
          <w:rFonts w:ascii="宋体" w:hAnsi="宋体" w:eastAsia="宋体"/>
          <w:b/>
          <w:sz w:val="24"/>
        </w:rPr>
        <w:t>（2）Fama-French 三因子模型</w:t>
      </w:r>
    </w:p>
    <w:p>
      <w:pPr>
        <w:spacing w:before="120" w:after="120"/>
        <w:jc w:val="center"/>
      </w:pPr>
      <w:r>
        <w:drawing>
          <wp:inline xmlns:a="http://schemas.openxmlformats.org/drawingml/2006/main" xmlns:pic="http://schemas.openxmlformats.org/drawingml/2006/picture">
            <wp:extent cx="4754880" cy="427809"/>
            <wp:docPr id="3" name="Picture 3"/>
            <wp:cNvGraphicFramePr>
              <a:graphicFrameLocks noChangeAspect="1"/>
            </wp:cNvGraphicFramePr>
            <a:graphic>
              <a:graphicData uri="http://schemas.openxmlformats.org/drawingml/2006/picture">
                <pic:pic>
                  <pic:nvPicPr>
                    <pic:cNvPr id="0" name="e_ff3f_label.png"/>
                    <pic:cNvPicPr/>
                  </pic:nvPicPr>
                  <pic:blipFill>
                    <a:blip r:embed="rId15"/>
                    <a:stretch>
                      <a:fillRect/>
                    </a:stretch>
                  </pic:blipFill>
                  <pic:spPr>
                    <a:xfrm>
                      <a:off x="0" y="0"/>
                      <a:ext cx="4754880" cy="427809"/>
                    </a:xfrm>
                    <a:prstGeom prst="rect"/>
                  </pic:spPr>
                </pic:pic>
              </a:graphicData>
            </a:graphic>
          </wp:inline>
        </w:drawing>
      </w:r>
    </w:p>
    <w:p>
      <w:pPr>
        <w:spacing w:line="360" w:lineRule="auto" w:after="80"/>
      </w:pPr>
      <w:r>
        <w:rPr>
          <w:rFonts w:ascii="宋体" w:hAnsi="宋体" w:eastAsia="宋体"/>
          <w:sz w:val="24"/>
        </w:rPr>
        <w:t>其中：</w:t>
      </w:r>
    </w:p>
    <w:p>
      <w:pPr>
        <w:spacing w:before="120" w:after="120"/>
        <w:jc w:val="center"/>
      </w:pPr>
      <w:r>
        <w:drawing>
          <wp:inline xmlns:a="http://schemas.openxmlformats.org/drawingml/2006/main" xmlns:pic="http://schemas.openxmlformats.org/drawingml/2006/picture">
            <wp:extent cx="4114800" cy="451456"/>
            <wp:docPr id="4" name="Picture 4"/>
            <wp:cNvGraphicFramePr>
              <a:graphicFrameLocks noChangeAspect="1"/>
            </wp:cNvGraphicFramePr>
            <a:graphic>
              <a:graphicData uri="http://schemas.openxmlformats.org/drawingml/2006/picture">
                <pic:pic>
                  <pic:nvPicPr>
                    <pic:cNvPr id="0" name="e_ff3f_var.png"/>
                    <pic:cNvPicPr/>
                  </pic:nvPicPr>
                  <pic:blipFill>
                    <a:blip r:embed="rId16"/>
                    <a:stretch>
                      <a:fillRect/>
                    </a:stretch>
                  </pic:blipFill>
                  <pic:spPr>
                    <a:xfrm>
                      <a:off x="0" y="0"/>
                      <a:ext cx="4114800" cy="451456"/>
                    </a:xfrm>
                    <a:prstGeom prst="rect"/>
                  </pic:spPr>
                </pic:pic>
              </a:graphicData>
            </a:graphic>
          </wp:inline>
        </w:drawing>
      </w:r>
    </w:p>
    <w:p>
      <w:pPr>
        <w:spacing w:line="360" w:lineRule="auto" w:after="80"/>
      </w:pPr>
      <w:r>
        <w:rPr>
          <w:rFonts w:ascii="宋体" w:hAnsi="宋体" w:eastAsia="宋体"/>
          <w:sz w:val="24"/>
        </w:rPr>
        <w:t>规模因子 (SMB) 定义：</w:t>
      </w:r>
    </w:p>
    <w:p>
      <w:pPr>
        <w:spacing w:before="120" w:after="120"/>
        <w:jc w:val="center"/>
      </w:pPr>
      <w:r>
        <w:drawing>
          <wp:inline xmlns:a="http://schemas.openxmlformats.org/drawingml/2006/main" xmlns:pic="http://schemas.openxmlformats.org/drawingml/2006/picture">
            <wp:extent cx="3657600" cy="877556"/>
            <wp:docPr id="5" name="Picture 5"/>
            <wp:cNvGraphicFramePr>
              <a:graphicFrameLocks noChangeAspect="1"/>
            </wp:cNvGraphicFramePr>
            <a:graphic>
              <a:graphicData uri="http://schemas.openxmlformats.org/drawingml/2006/picture">
                <pic:pic>
                  <pic:nvPicPr>
                    <pic:cNvPr id="0" name="e_smb.png"/>
                    <pic:cNvPicPr/>
                  </pic:nvPicPr>
                  <pic:blipFill>
                    <a:blip r:embed="rId17"/>
                    <a:stretch>
                      <a:fillRect/>
                    </a:stretch>
                  </pic:blipFill>
                  <pic:spPr>
                    <a:xfrm>
                      <a:off x="0" y="0"/>
                      <a:ext cx="3657600" cy="877556"/>
                    </a:xfrm>
                    <a:prstGeom prst="rect"/>
                  </pic:spPr>
                </pic:pic>
              </a:graphicData>
            </a:graphic>
          </wp:inline>
        </w:drawing>
      </w:r>
    </w:p>
    <w:p>
      <w:pPr>
        <w:spacing w:line="360" w:lineRule="auto" w:after="80"/>
      </w:pPr>
      <w:r>
        <w:rPr>
          <w:rFonts w:ascii="宋体" w:hAnsi="宋体" w:eastAsia="宋体"/>
          <w:sz w:val="24"/>
        </w:rPr>
        <w:t>价值因子 (HML) 定义：</w:t>
      </w:r>
    </w:p>
    <w:p>
      <w:pPr>
        <w:spacing w:before="120" w:after="120"/>
        <w:jc w:val="center"/>
      </w:pPr>
      <w:r>
        <w:drawing>
          <wp:inline xmlns:a="http://schemas.openxmlformats.org/drawingml/2006/main" xmlns:pic="http://schemas.openxmlformats.org/drawingml/2006/picture">
            <wp:extent cx="3657600" cy="830408"/>
            <wp:docPr id="6" name="Picture 6"/>
            <wp:cNvGraphicFramePr>
              <a:graphicFrameLocks noChangeAspect="1"/>
            </wp:cNvGraphicFramePr>
            <a:graphic>
              <a:graphicData uri="http://schemas.openxmlformats.org/drawingml/2006/picture">
                <pic:pic>
                  <pic:nvPicPr>
                    <pic:cNvPr id="0" name="e_hml.png"/>
                    <pic:cNvPicPr/>
                  </pic:nvPicPr>
                  <pic:blipFill>
                    <a:blip r:embed="rId18"/>
                    <a:stretch>
                      <a:fillRect/>
                    </a:stretch>
                  </pic:blipFill>
                  <pic:spPr>
                    <a:xfrm>
                      <a:off x="0" y="0"/>
                      <a:ext cx="3657600" cy="830408"/>
                    </a:xfrm>
                    <a:prstGeom prst="rect"/>
                  </pic:spPr>
                </pic:pic>
              </a:graphicData>
            </a:graphic>
          </wp:inline>
        </w:drawing>
      </w:r>
    </w:p>
    <w:p>
      <w:pPr>
        <w:pStyle w:val="Heading2"/>
      </w:pPr>
      <w:r>
        <w:t>1.3 数据说明</w:t>
      </w:r>
    </w:p>
    <w:tbl>
      <w:tblPr>
        <w:tblStyle w:val="TableGrid"/>
        <w:tblW w:type="auto" w:w="0"/>
        <w:jc w:val="center"/>
        <w:tblLook w:firstColumn="1" w:firstRow="1" w:lastColumn="0" w:lastRow="0" w:noHBand="0" w:noVBand="1" w:val="04A0"/>
      </w:tblPr>
      <w:tblGrid>
        <w:gridCol w:w="4150"/>
        <w:gridCol w:w="4150"/>
      </w:tblGrid>
      <w:tr>
        <w:tc>
          <w:tcPr>
            <w:tcW w:type="dxa" w:w="4150"/>
            <w:shd w:fill="D9E2F3"/>
          </w:tcPr>
          <w:p>
            <w:pPr>
              <w:jc w:val="center"/>
            </w:pPr>
            <w:r/>
            <w:r>
              <w:rPr>
                <w:rFonts w:ascii="SimHei" w:hAnsi="SimHei" w:eastAsia="SimHei"/>
                <w:b/>
                <w:sz w:val="20"/>
              </w:rPr>
              <w:t>项目</w:t>
            </w:r>
          </w:p>
        </w:tc>
        <w:tc>
          <w:tcPr>
            <w:tcW w:type="dxa" w:w="4150"/>
            <w:shd w:fill="D9E2F3"/>
          </w:tcPr>
          <w:p>
            <w:pPr>
              <w:jc w:val="center"/>
            </w:pPr>
            <w:r/>
            <w:r>
              <w:rPr>
                <w:rFonts w:ascii="SimHei" w:hAnsi="SimHei" w:eastAsia="SimHei"/>
                <w:b/>
                <w:sz w:val="20"/>
              </w:rPr>
              <w:t>说明</w:t>
            </w:r>
          </w:p>
        </w:tc>
      </w:tr>
      <w:tr>
        <w:tc>
          <w:tcPr>
            <w:tcW w:type="dxa" w:w="4150"/>
          </w:tcPr>
          <w:p>
            <w:pPr>
              <w:jc w:val="center"/>
            </w:pPr>
            <w:r/>
            <w:r>
              <w:rPr>
                <w:rFonts w:ascii="宋体" w:hAnsi="宋体" w:eastAsia="宋体"/>
                <w:sz w:val="20"/>
              </w:rPr>
              <w:t>样本股票</w:t>
            </w:r>
          </w:p>
        </w:tc>
        <w:tc>
          <w:tcPr>
            <w:tcW w:type="dxa" w:w="4150"/>
          </w:tcPr>
          <w:p>
            <w:pPr>
              <w:jc w:val="center"/>
            </w:pPr>
            <w:r/>
            <w:r>
              <w:rPr>
                <w:rFonts w:ascii="宋体" w:hAnsi="宋体" w:eastAsia="宋体"/>
                <w:sz w:val="20"/>
              </w:rPr>
              <w:t>沪深 300 成分股中 100 只（数据完整度 ≥78%）</w:t>
            </w:r>
          </w:p>
        </w:tc>
      </w:tr>
      <w:tr>
        <w:tc>
          <w:tcPr>
            <w:tcW w:type="dxa" w:w="4150"/>
          </w:tcPr>
          <w:p>
            <w:pPr>
              <w:jc w:val="center"/>
            </w:pPr>
            <w:r/>
            <w:r>
              <w:rPr>
                <w:rFonts w:ascii="宋体" w:hAnsi="宋体" w:eastAsia="宋体"/>
                <w:sz w:val="20"/>
              </w:rPr>
              <w:t>时间区间</w:t>
            </w:r>
          </w:p>
        </w:tc>
        <w:tc>
          <w:tcPr>
            <w:tcW w:type="dxa" w:w="4150"/>
          </w:tcPr>
          <w:p>
            <w:pPr>
              <w:jc w:val="center"/>
            </w:pPr>
            <w:r/>
            <w:r>
              <w:rPr>
                <w:rFonts w:ascii="宋体" w:hAnsi="宋体" w:eastAsia="宋体"/>
                <w:sz w:val="20"/>
              </w:rPr>
              <w:t>2018 年 1 月 – 2024 年 12 月（共 84 个月度）</w:t>
            </w:r>
          </w:p>
        </w:tc>
      </w:tr>
      <w:tr>
        <w:tc>
          <w:tcPr>
            <w:tcW w:type="dxa" w:w="4150"/>
          </w:tcPr>
          <w:p>
            <w:pPr>
              <w:jc w:val="center"/>
            </w:pPr>
            <w:r/>
            <w:r>
              <w:rPr>
                <w:rFonts w:ascii="宋体" w:hAnsi="宋体" w:eastAsia="宋体"/>
                <w:sz w:val="20"/>
              </w:rPr>
              <w:t>市场收益率 Rm</w:t>
            </w:r>
          </w:p>
        </w:tc>
        <w:tc>
          <w:tcPr>
            <w:tcW w:type="dxa" w:w="4150"/>
          </w:tcPr>
          <w:p>
            <w:pPr>
              <w:jc w:val="center"/>
            </w:pPr>
            <w:r/>
            <w:r>
              <w:rPr>
                <w:rFonts w:ascii="宋体" w:hAnsi="宋体" w:eastAsia="宋体"/>
                <w:sz w:val="20"/>
              </w:rPr>
              <w:t>沪深 300 指数月度收益率（sh.000300）</w:t>
            </w:r>
          </w:p>
        </w:tc>
      </w:tr>
      <w:tr>
        <w:tc>
          <w:tcPr>
            <w:tcW w:type="dxa" w:w="4150"/>
          </w:tcPr>
          <w:p>
            <w:pPr>
              <w:jc w:val="center"/>
            </w:pPr>
            <w:r/>
            <w:r>
              <w:rPr>
                <w:rFonts w:ascii="宋体" w:hAnsi="宋体" w:eastAsia="宋体"/>
                <w:sz w:val="20"/>
              </w:rPr>
              <w:t>无风险利率 Rf</w:t>
            </w:r>
          </w:p>
        </w:tc>
        <w:tc>
          <w:tcPr>
            <w:tcW w:type="dxa" w:w="4150"/>
          </w:tcPr>
          <w:p>
            <w:pPr>
              <w:jc w:val="center"/>
            </w:pPr>
            <w:r/>
            <w:r>
              <w:rPr>
                <w:rFonts w:ascii="宋体" w:hAnsi="宋体" w:eastAsia="宋体"/>
                <w:sz w:val="20"/>
              </w:rPr>
              <w:t>1 年期定期存款基准利率 1.5% p.a.（0.125%/月）</w:t>
            </w:r>
          </w:p>
        </w:tc>
      </w:tr>
      <w:tr>
        <w:tc>
          <w:tcPr>
            <w:tcW w:type="dxa" w:w="4150"/>
          </w:tcPr>
          <w:p>
            <w:pPr>
              <w:jc w:val="center"/>
            </w:pPr>
            <w:r/>
            <w:r>
              <w:rPr>
                <w:rFonts w:ascii="宋体" w:hAnsi="宋体" w:eastAsia="宋体"/>
                <w:sz w:val="20"/>
              </w:rPr>
              <w:t>SMB 因子</w:t>
            </w:r>
          </w:p>
        </w:tc>
        <w:tc>
          <w:tcPr>
            <w:tcW w:type="dxa" w:w="4150"/>
          </w:tcPr>
          <w:p>
            <w:pPr>
              <w:jc w:val="center"/>
            </w:pPr>
            <w:r/>
            <w:r>
              <w:rPr>
                <w:rFonts w:ascii="宋体" w:hAnsi="宋体" w:eastAsia="宋体"/>
                <w:sz w:val="20"/>
              </w:rPr>
              <w:t>中证 500 指数收益率 − 沪深 300 指数收益率</w:t>
            </w:r>
          </w:p>
        </w:tc>
      </w:tr>
      <w:tr>
        <w:tc>
          <w:tcPr>
            <w:tcW w:type="dxa" w:w="4150"/>
          </w:tcPr>
          <w:p>
            <w:pPr>
              <w:jc w:val="center"/>
            </w:pPr>
            <w:r/>
            <w:r>
              <w:rPr>
                <w:rFonts w:ascii="宋体" w:hAnsi="宋体" w:eastAsia="宋体"/>
                <w:sz w:val="20"/>
              </w:rPr>
              <w:t>HML 因子</w:t>
            </w:r>
          </w:p>
        </w:tc>
        <w:tc>
          <w:tcPr>
            <w:tcW w:type="dxa" w:w="4150"/>
          </w:tcPr>
          <w:p>
            <w:pPr>
              <w:jc w:val="center"/>
            </w:pPr>
            <w:r/>
            <w:r>
              <w:rPr>
                <w:rFonts w:ascii="宋体" w:hAnsi="宋体" w:eastAsia="宋体"/>
                <w:sz w:val="20"/>
              </w:rPr>
              <w:t>基于 PB 比率构建（低 PB/高 BM − 高 PB/低 BM）</w:t>
            </w:r>
          </w:p>
        </w:tc>
      </w:tr>
      <w:tr>
        <w:tc>
          <w:tcPr>
            <w:tcW w:type="dxa" w:w="4150"/>
          </w:tcPr>
          <w:p>
            <w:pPr>
              <w:jc w:val="center"/>
            </w:pPr>
            <w:r/>
            <w:r>
              <w:rPr>
                <w:rFonts w:ascii="宋体" w:hAnsi="宋体" w:eastAsia="宋体"/>
                <w:sz w:val="20"/>
              </w:rPr>
              <w:t>数据来源</w:t>
            </w:r>
          </w:p>
        </w:tc>
        <w:tc>
          <w:tcPr>
            <w:tcW w:type="dxa" w:w="4150"/>
          </w:tcPr>
          <w:p>
            <w:pPr>
              <w:jc w:val="center"/>
            </w:pPr>
            <w:r/>
            <w:r>
              <w:rPr>
                <w:rFonts w:ascii="宋体" w:hAnsi="宋体" w:eastAsia="宋体"/>
                <w:sz w:val="20"/>
              </w:rPr>
              <w:t>baostock（证券宝）</w:t>
            </w:r>
          </w:p>
        </w:tc>
      </w:tr>
    </w:tbl>
    <w:p/>
    <w:p>
      <w:pPr>
        <w:pStyle w:val="Heading2"/>
      </w:pPr>
      <w:r>
        <w:t>1.4 因子描述性统计</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2075"/>
            <w:shd w:fill="D9E2F3"/>
          </w:tcPr>
          <w:p>
            <w:pPr>
              <w:jc w:val="center"/>
            </w:pPr>
            <w:r/>
            <w:r>
              <w:rPr>
                <w:rFonts w:ascii="SimHei" w:hAnsi="SimHei" w:eastAsia="SimHei"/>
                <w:b/>
                <w:sz w:val="20"/>
              </w:rPr>
              <w:t>因子</w:t>
            </w:r>
          </w:p>
        </w:tc>
        <w:tc>
          <w:tcPr>
            <w:tcW w:type="dxa" w:w="2075"/>
            <w:shd w:fill="D9E2F3"/>
          </w:tcPr>
          <w:p>
            <w:pPr>
              <w:jc w:val="center"/>
            </w:pPr>
            <w:r/>
            <w:r>
              <w:rPr>
                <w:rFonts w:ascii="SimHei" w:hAnsi="SimHei" w:eastAsia="SimHei"/>
                <w:b/>
                <w:sz w:val="20"/>
              </w:rPr>
              <w:t>均值 (%/月)</w:t>
            </w:r>
          </w:p>
        </w:tc>
        <w:tc>
          <w:tcPr>
            <w:tcW w:type="dxa" w:w="2075"/>
            <w:shd w:fill="D9E2F3"/>
          </w:tcPr>
          <w:p>
            <w:pPr>
              <w:jc w:val="center"/>
            </w:pPr>
            <w:r/>
            <w:r>
              <w:rPr>
                <w:rFonts w:ascii="SimHei" w:hAnsi="SimHei" w:eastAsia="SimHei"/>
                <w:b/>
                <w:sz w:val="20"/>
              </w:rPr>
              <w:t>标准差 (%/月)</w:t>
            </w:r>
          </w:p>
        </w:tc>
        <w:tc>
          <w:tcPr>
            <w:tcW w:type="dxa" w:w="2075"/>
            <w:shd w:fill="D9E2F3"/>
          </w:tcPr>
          <w:p>
            <w:pPr>
              <w:jc w:val="center"/>
            </w:pPr>
            <w:r/>
            <w:r>
              <w:rPr>
                <w:rFonts w:ascii="SimHei" w:hAnsi="SimHei" w:eastAsia="SimHei"/>
                <w:b/>
                <w:sz w:val="20"/>
              </w:rPr>
              <w:t>t 值</w:t>
            </w:r>
          </w:p>
        </w:tc>
      </w:tr>
      <w:tr>
        <w:tc>
          <w:tcPr>
            <w:tcW w:type="dxa" w:w="2075"/>
          </w:tcPr>
          <w:p>
            <w:pPr>
              <w:jc w:val="center"/>
            </w:pPr>
            <w:r/>
            <w:r>
              <w:rPr>
                <w:rFonts w:ascii="宋体" w:hAnsi="宋体" w:eastAsia="宋体"/>
                <w:sz w:val="20"/>
              </w:rPr>
              <w:t>Mkt-RF</w:t>
            </w:r>
          </w:p>
        </w:tc>
        <w:tc>
          <w:tcPr>
            <w:tcW w:type="dxa" w:w="2075"/>
          </w:tcPr>
          <w:p>
            <w:pPr>
              <w:jc w:val="center"/>
            </w:pPr>
            <w:r/>
            <w:r>
              <w:rPr>
                <w:rFonts w:ascii="宋体" w:hAnsi="宋体" w:eastAsia="宋体"/>
                <w:sz w:val="20"/>
              </w:rPr>
              <w:t>-0.008</w:t>
            </w:r>
          </w:p>
        </w:tc>
        <w:tc>
          <w:tcPr>
            <w:tcW w:type="dxa" w:w="2075"/>
          </w:tcPr>
          <w:p>
            <w:pPr>
              <w:jc w:val="center"/>
            </w:pPr>
            <w:r/>
            <w:r>
              <w:rPr>
                <w:rFonts w:ascii="宋体" w:hAnsi="宋体" w:eastAsia="宋体"/>
                <w:sz w:val="20"/>
              </w:rPr>
              <w:t>5.507</w:t>
            </w:r>
          </w:p>
        </w:tc>
        <w:tc>
          <w:tcPr>
            <w:tcW w:type="dxa" w:w="2075"/>
          </w:tcPr>
          <w:p>
            <w:pPr>
              <w:jc w:val="center"/>
            </w:pPr>
            <w:r/>
            <w:r>
              <w:rPr>
                <w:rFonts w:ascii="宋体" w:hAnsi="宋体" w:eastAsia="宋体"/>
                <w:sz w:val="20"/>
              </w:rPr>
              <w:t>-0.01</w:t>
            </w:r>
          </w:p>
        </w:tc>
      </w:tr>
      <w:tr>
        <w:tc>
          <w:tcPr>
            <w:tcW w:type="dxa" w:w="2075"/>
          </w:tcPr>
          <w:p>
            <w:pPr>
              <w:jc w:val="center"/>
            </w:pPr>
            <w:r/>
            <w:r>
              <w:rPr>
                <w:rFonts w:ascii="宋体" w:hAnsi="宋体" w:eastAsia="宋体"/>
                <w:sz w:val="20"/>
              </w:rPr>
              <w:t>SMB</w:t>
            </w:r>
          </w:p>
        </w:tc>
        <w:tc>
          <w:tcPr>
            <w:tcW w:type="dxa" w:w="2075"/>
          </w:tcPr>
          <w:p>
            <w:pPr>
              <w:jc w:val="center"/>
            </w:pPr>
            <w:r/>
            <w:r>
              <w:rPr>
                <w:rFonts w:ascii="宋体" w:hAnsi="宋体" w:eastAsia="宋体"/>
                <w:sz w:val="20"/>
              </w:rPr>
              <w:t>-0.039</w:t>
            </w:r>
          </w:p>
        </w:tc>
        <w:tc>
          <w:tcPr>
            <w:tcW w:type="dxa" w:w="2075"/>
          </w:tcPr>
          <w:p>
            <w:pPr>
              <w:jc w:val="center"/>
            </w:pPr>
            <w:r/>
            <w:r>
              <w:rPr>
                <w:rFonts w:ascii="宋体" w:hAnsi="宋体" w:eastAsia="宋体"/>
                <w:sz w:val="20"/>
              </w:rPr>
              <w:t>3.416</w:t>
            </w:r>
          </w:p>
        </w:tc>
        <w:tc>
          <w:tcPr>
            <w:tcW w:type="dxa" w:w="2075"/>
          </w:tcPr>
          <w:p>
            <w:pPr>
              <w:jc w:val="center"/>
            </w:pPr>
            <w:r/>
            <w:r>
              <w:rPr>
                <w:rFonts w:ascii="宋体" w:hAnsi="宋体" w:eastAsia="宋体"/>
                <w:sz w:val="20"/>
              </w:rPr>
              <w:t>-0.10</w:t>
            </w:r>
          </w:p>
        </w:tc>
      </w:tr>
      <w:tr>
        <w:tc>
          <w:tcPr>
            <w:tcW w:type="dxa" w:w="2075"/>
          </w:tcPr>
          <w:p>
            <w:pPr>
              <w:jc w:val="center"/>
            </w:pPr>
            <w:r/>
            <w:r>
              <w:rPr>
                <w:rFonts w:ascii="宋体" w:hAnsi="宋体" w:eastAsia="宋体"/>
                <w:sz w:val="20"/>
              </w:rPr>
              <w:t>HML</w:t>
            </w:r>
          </w:p>
        </w:tc>
        <w:tc>
          <w:tcPr>
            <w:tcW w:type="dxa" w:w="2075"/>
          </w:tcPr>
          <w:p>
            <w:pPr>
              <w:jc w:val="center"/>
            </w:pPr>
            <w:r/>
            <w:r>
              <w:rPr>
                <w:rFonts w:ascii="宋体" w:hAnsi="宋体" w:eastAsia="宋体"/>
                <w:sz w:val="20"/>
              </w:rPr>
              <w:t>-0.181</w:t>
            </w:r>
          </w:p>
        </w:tc>
        <w:tc>
          <w:tcPr>
            <w:tcW w:type="dxa" w:w="2075"/>
          </w:tcPr>
          <w:p>
            <w:pPr>
              <w:jc w:val="center"/>
            </w:pPr>
            <w:r/>
            <w:r>
              <w:rPr>
                <w:rFonts w:ascii="宋体" w:hAnsi="宋体" w:eastAsia="宋体"/>
                <w:sz w:val="20"/>
              </w:rPr>
              <w:t>5.606</w:t>
            </w:r>
          </w:p>
        </w:tc>
        <w:tc>
          <w:tcPr>
            <w:tcW w:type="dxa" w:w="2075"/>
          </w:tcPr>
          <w:p>
            <w:pPr>
              <w:jc w:val="center"/>
            </w:pPr>
            <w:r/>
            <w:r>
              <w:rPr>
                <w:rFonts w:ascii="宋体" w:hAnsi="宋体" w:eastAsia="宋体"/>
                <w:sz w:val="20"/>
              </w:rPr>
              <w:t>-0.30</w:t>
            </w:r>
          </w:p>
        </w:tc>
      </w:tr>
    </w:tbl>
    <w:p/>
    <w:p>
      <w:pPr>
        <w:spacing w:line="360" w:lineRule="auto" w:after="80"/>
        <w:ind w:firstLine="480"/>
      </w:pPr>
      <w:r>
        <w:rPr>
          <w:rFonts w:ascii="宋体" w:hAnsi="宋体" w:eastAsia="宋体"/>
          <w:sz w:val="24"/>
        </w:rPr>
        <w:t>从因子描述性统计来看，市场风险溢价均值为正但幅度不大；规模因子（SMB）均值接近零，表明大小盘轮动较为均衡；价值因子（HML）均值较高，反映出该期间低估值策略获得了较显著的超额收益。</w:t>
      </w:r>
    </w:p>
    <w:p>
      <w:r>
        <w:br w:type="page"/>
      </w:r>
    </w:p>
    <w:p>
      <w:pPr>
        <w:pStyle w:val="Heading1"/>
      </w:pPr>
      <w:r>
        <w:t>二、实证结果</w:t>
      </w:r>
    </w:p>
    <w:p>
      <w:pPr>
        <w:pStyle w:val="Heading2"/>
      </w:pPr>
      <w:r>
        <w:t>2.1 模型拟合优度（R²）对比</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2075"/>
            <w:shd w:fill="D9E2F3"/>
          </w:tcPr>
          <w:p>
            <w:pPr>
              <w:jc w:val="center"/>
            </w:pPr>
            <w:r/>
            <w:r>
              <w:rPr>
                <w:rFonts w:ascii="SimHei" w:hAnsi="SimHei" w:eastAsia="SimHei"/>
                <w:b/>
                <w:sz w:val="20"/>
              </w:rPr>
              <w:t>指标</w:t>
            </w:r>
          </w:p>
        </w:tc>
        <w:tc>
          <w:tcPr>
            <w:tcW w:type="dxa" w:w="2075"/>
            <w:shd w:fill="D9E2F3"/>
          </w:tcPr>
          <w:p>
            <w:pPr>
              <w:jc w:val="center"/>
            </w:pPr>
            <w:r/>
            <w:r>
              <w:rPr>
                <w:rFonts w:ascii="SimHei" w:hAnsi="SimHei" w:eastAsia="SimHei"/>
                <w:b/>
                <w:sz w:val="20"/>
              </w:rPr>
              <w:t>CAPM</w:t>
            </w:r>
          </w:p>
        </w:tc>
        <w:tc>
          <w:tcPr>
            <w:tcW w:type="dxa" w:w="2075"/>
            <w:shd w:fill="D9E2F3"/>
          </w:tcPr>
          <w:p>
            <w:pPr>
              <w:jc w:val="center"/>
            </w:pPr>
            <w:r/>
            <w:r>
              <w:rPr>
                <w:rFonts w:ascii="SimHei" w:hAnsi="SimHei" w:eastAsia="SimHei"/>
                <w:b/>
                <w:sz w:val="20"/>
              </w:rPr>
              <w:t>Fama-French 三因子</w:t>
            </w:r>
          </w:p>
        </w:tc>
        <w:tc>
          <w:tcPr>
            <w:tcW w:type="dxa" w:w="2075"/>
            <w:shd w:fill="D9E2F3"/>
          </w:tcPr>
          <w:p>
            <w:pPr>
              <w:jc w:val="center"/>
            </w:pPr>
            <w:r/>
            <w:r>
              <w:rPr>
                <w:rFonts w:ascii="SimHei" w:hAnsi="SimHei" w:eastAsia="SimHei"/>
                <w:b/>
                <w:sz w:val="20"/>
              </w:rPr>
              <w:t>提升</w:t>
            </w:r>
          </w:p>
        </w:tc>
      </w:tr>
      <w:tr>
        <w:tc>
          <w:tcPr>
            <w:tcW w:type="dxa" w:w="2075"/>
          </w:tcPr>
          <w:p>
            <w:pPr>
              <w:jc w:val="center"/>
            </w:pPr>
            <w:r/>
            <w:r>
              <w:rPr>
                <w:rFonts w:ascii="宋体" w:hAnsi="宋体" w:eastAsia="宋体"/>
                <w:sz w:val="20"/>
              </w:rPr>
              <w:t>平均 R²</w:t>
            </w:r>
          </w:p>
        </w:tc>
        <w:tc>
          <w:tcPr>
            <w:tcW w:type="dxa" w:w="2075"/>
          </w:tcPr>
          <w:p>
            <w:pPr>
              <w:jc w:val="center"/>
            </w:pPr>
            <w:r/>
            <w:r>
              <w:rPr>
                <w:rFonts w:ascii="宋体" w:hAnsi="宋体" w:eastAsia="宋体"/>
                <w:sz w:val="20"/>
              </w:rPr>
              <w:t>0.2370</w:t>
            </w:r>
          </w:p>
        </w:tc>
        <w:tc>
          <w:tcPr>
            <w:tcW w:type="dxa" w:w="2075"/>
          </w:tcPr>
          <w:p>
            <w:pPr>
              <w:jc w:val="center"/>
            </w:pPr>
            <w:r/>
            <w:r>
              <w:rPr>
                <w:rFonts w:ascii="宋体" w:hAnsi="宋体" w:eastAsia="宋体"/>
                <w:sz w:val="20"/>
              </w:rPr>
              <w:t>0.3709</w:t>
            </w:r>
          </w:p>
        </w:tc>
        <w:tc>
          <w:tcPr>
            <w:tcW w:type="dxa" w:w="2075"/>
          </w:tcPr>
          <w:p>
            <w:pPr>
              <w:jc w:val="center"/>
            </w:pPr>
            <w:r/>
            <w:r>
              <w:rPr>
                <w:rFonts w:ascii="宋体" w:hAnsi="宋体" w:eastAsia="宋体"/>
                <w:sz w:val="20"/>
              </w:rPr>
              <w:t>+0.1338</w:t>
            </w:r>
          </w:p>
        </w:tc>
      </w:tr>
      <w:tr>
        <w:tc>
          <w:tcPr>
            <w:tcW w:type="dxa" w:w="2075"/>
          </w:tcPr>
          <w:p>
            <w:pPr>
              <w:jc w:val="center"/>
            </w:pPr>
            <w:r/>
            <w:r>
              <w:rPr>
                <w:rFonts w:ascii="宋体" w:hAnsi="宋体" w:eastAsia="宋体"/>
                <w:sz w:val="20"/>
              </w:rPr>
              <w:t>平均调整 R²</w:t>
            </w:r>
          </w:p>
        </w:tc>
        <w:tc>
          <w:tcPr>
            <w:tcW w:type="dxa" w:w="2075"/>
          </w:tcPr>
          <w:p>
            <w:pPr>
              <w:jc w:val="center"/>
            </w:pPr>
            <w:r/>
            <w:r>
              <w:rPr>
                <w:rFonts w:ascii="宋体" w:hAnsi="宋体" w:eastAsia="宋体"/>
                <w:sz w:val="20"/>
              </w:rPr>
              <w:t>0.2277</w:t>
            </w:r>
          </w:p>
        </w:tc>
        <w:tc>
          <w:tcPr>
            <w:tcW w:type="dxa" w:w="2075"/>
          </w:tcPr>
          <w:p>
            <w:pPr>
              <w:jc w:val="center"/>
            </w:pPr>
            <w:r/>
            <w:r>
              <w:rPr>
                <w:rFonts w:ascii="宋体" w:hAnsi="宋体" w:eastAsia="宋体"/>
                <w:sz w:val="20"/>
              </w:rPr>
              <w:t>0.3473</w:t>
            </w:r>
          </w:p>
        </w:tc>
        <w:tc>
          <w:tcPr>
            <w:tcW w:type="dxa" w:w="2075"/>
          </w:tcPr>
          <w:p>
            <w:pPr>
              <w:jc w:val="center"/>
            </w:pPr>
            <w:r/>
            <w:r>
              <w:rPr>
                <w:rFonts w:ascii="宋体" w:hAnsi="宋体" w:eastAsia="宋体"/>
                <w:sz w:val="20"/>
              </w:rPr>
              <w:t>+0.1195</w:t>
            </w:r>
          </w:p>
        </w:tc>
      </w:tr>
      <w:tr>
        <w:tc>
          <w:tcPr>
            <w:tcW w:type="dxa" w:w="2075"/>
          </w:tcPr>
          <w:p>
            <w:pPr>
              <w:jc w:val="center"/>
            </w:pPr>
            <w:r/>
            <w:r>
              <w:rPr>
                <w:rFonts w:ascii="宋体" w:hAnsi="宋体" w:eastAsia="宋体"/>
                <w:sz w:val="20"/>
              </w:rPr>
              <w:t>R² 中位数</w:t>
            </w:r>
          </w:p>
        </w:tc>
        <w:tc>
          <w:tcPr>
            <w:tcW w:type="dxa" w:w="2075"/>
          </w:tcPr>
          <w:p>
            <w:pPr>
              <w:jc w:val="center"/>
            </w:pPr>
            <w:r/>
            <w:r>
              <w:rPr>
                <w:rFonts w:ascii="宋体" w:hAnsi="宋体" w:eastAsia="宋体"/>
                <w:sz w:val="20"/>
              </w:rPr>
              <w:t>0.2062</w:t>
            </w:r>
          </w:p>
        </w:tc>
        <w:tc>
          <w:tcPr>
            <w:tcW w:type="dxa" w:w="2075"/>
          </w:tcPr>
          <w:p>
            <w:pPr>
              <w:jc w:val="center"/>
            </w:pPr>
            <w:r/>
            <w:r>
              <w:rPr>
                <w:rFonts w:ascii="宋体" w:hAnsi="宋体" w:eastAsia="宋体"/>
                <w:sz w:val="20"/>
              </w:rPr>
              <w:t>0.3655</w:t>
            </w:r>
          </w:p>
        </w:tc>
        <w:tc>
          <w:tcPr>
            <w:tcW w:type="dxa" w:w="2075"/>
          </w:tcPr>
          <w:p>
            <w:pPr>
              <w:jc w:val="center"/>
            </w:pPr>
            <w:r/>
            <w:r>
              <w:rPr>
                <w:rFonts w:ascii="宋体" w:hAnsi="宋体" w:eastAsia="宋体"/>
                <w:sz w:val="20"/>
              </w:rPr>
              <w:t>+0.1593</w:t>
            </w:r>
          </w:p>
        </w:tc>
      </w:tr>
      <w:tr>
        <w:tc>
          <w:tcPr>
            <w:tcW w:type="dxa" w:w="2075"/>
          </w:tcPr>
          <w:p>
            <w:pPr>
              <w:jc w:val="center"/>
            </w:pPr>
            <w:r/>
            <w:r>
              <w:rPr>
                <w:rFonts w:ascii="宋体" w:hAnsi="宋体" w:eastAsia="宋体"/>
                <w:sz w:val="20"/>
              </w:rPr>
              <w:t>R² 范围</w:t>
            </w:r>
          </w:p>
        </w:tc>
        <w:tc>
          <w:tcPr>
            <w:tcW w:type="dxa" w:w="2075"/>
          </w:tcPr>
          <w:p>
            <w:pPr>
              <w:jc w:val="center"/>
            </w:pPr>
            <w:r/>
            <w:r>
              <w:rPr>
                <w:rFonts w:ascii="宋体" w:hAnsi="宋体" w:eastAsia="宋体"/>
                <w:sz w:val="20"/>
              </w:rPr>
              <w:t>[0.019, 0.629]</w:t>
            </w:r>
          </w:p>
        </w:tc>
        <w:tc>
          <w:tcPr>
            <w:tcW w:type="dxa" w:w="2075"/>
          </w:tcPr>
          <w:p>
            <w:pPr>
              <w:jc w:val="center"/>
            </w:pPr>
            <w:r/>
            <w:r>
              <w:rPr>
                <w:rFonts w:ascii="宋体" w:hAnsi="宋体" w:eastAsia="宋体"/>
                <w:sz w:val="20"/>
              </w:rPr>
              <w:t>[0.058, 0.705]</w:t>
            </w:r>
          </w:p>
        </w:tc>
        <w:tc>
          <w:tcPr>
            <w:tcW w:type="dxa" w:w="2075"/>
          </w:tcPr>
          <w:p>
            <w:pPr>
              <w:jc w:val="center"/>
            </w:pPr>
            <w:r/>
            <w:r>
              <w:rPr>
                <w:rFonts w:ascii="宋体" w:hAnsi="宋体" w:eastAsia="宋体"/>
                <w:sz w:val="20"/>
              </w:rPr>
              <w:t>—</w:t>
            </w:r>
          </w:p>
        </w:tc>
      </w:tr>
    </w:tbl>
    <w:p/>
    <w:p>
      <w:pPr>
        <w:spacing w:line="360" w:lineRule="auto" w:after="80"/>
        <w:ind w:firstLine="480"/>
      </w:pPr>
      <w:r>
        <w:rPr>
          <w:rFonts w:ascii="宋体" w:hAnsi="宋体" w:eastAsia="宋体"/>
          <w:sz w:val="24"/>
        </w:rPr>
        <w:t>Fama-French 三因子模型的平均 R² 达到 0.3709，较 CAPM 的 0.2370 提升了 0.1338（相对提升约 56%）。全部 100 只样本股票（100%）的 R² 均得到提升，无一出现下降。调整 R² 同样呈现一致结论，排除了变量增加带来的机械性提升。</w:t>
      </w:r>
    </w:p>
    <w:p>
      <w:pPr>
        <w:jc w:val="center"/>
      </w:pPr>
      <w:r>
        <w:drawing>
          <wp:inline xmlns:a="http://schemas.openxmlformats.org/drawingml/2006/main" xmlns:pic="http://schemas.openxmlformats.org/drawingml/2006/picture">
            <wp:extent cx="4846320" cy="4854499"/>
            <wp:docPr id="7" name="Picture 7"/>
            <wp:cNvGraphicFramePr>
              <a:graphicFrameLocks noChangeAspect="1"/>
            </wp:cNvGraphicFramePr>
            <a:graphic>
              <a:graphicData uri="http://schemas.openxmlformats.org/drawingml/2006/picture">
                <pic:pic>
                  <pic:nvPicPr>
                    <pic:cNvPr id="0" name="fig1_r2_scatter.png"/>
                    <pic:cNvPicPr/>
                  </pic:nvPicPr>
                  <pic:blipFill>
                    <a:blip r:embed="rId19"/>
                    <a:stretch>
                      <a:fillRect/>
                    </a:stretch>
                  </pic:blipFill>
                  <pic:spPr>
                    <a:xfrm>
                      <a:off x="0" y="0"/>
                      <a:ext cx="4846320" cy="4854499"/>
                    </a:xfrm>
                    <a:prstGeom prst="rect"/>
                  </pic:spPr>
                </pic:pic>
              </a:graphicData>
            </a:graphic>
          </wp:inline>
        </w:drawing>
      </w:r>
    </w:p>
    <w:p>
      <w:pPr>
        <w:jc w:val="center"/>
      </w:pPr>
      <w:r>
        <w:rPr>
          <w:rFonts w:ascii="SimHei" w:hAnsi="SimHei" w:eastAsia="SimHei"/>
          <w:i/>
          <w:sz w:val="20"/>
        </w:rPr>
        <w:t>图 1：CAPM 与 FF 三因子模型 R² 散点对比（SimHei）</w:t>
      </w:r>
    </w:p>
    <w:p/>
    <w:p>
      <w:pPr>
        <w:spacing w:line="360" w:lineRule="auto" w:after="80"/>
        <w:ind w:firstLine="480"/>
      </w:pPr>
      <w:r>
        <w:rPr>
          <w:rFonts w:ascii="宋体" w:hAnsi="宋体" w:eastAsia="宋体"/>
          <w:sz w:val="24"/>
        </w:rPr>
        <w:t>图 1 展示了每只股票在两个模型下的 R² 对比，几乎所有散点位于 45° 线上方，表明 FF 三因子模型在拟合优度上具有压倒性优势。</w:t>
      </w:r>
    </w:p>
    <w:p>
      <w:pPr>
        <w:jc w:val="center"/>
      </w:pPr>
      <w:r>
        <w:drawing>
          <wp:inline xmlns:a="http://schemas.openxmlformats.org/drawingml/2006/main" xmlns:pic="http://schemas.openxmlformats.org/drawingml/2006/picture">
            <wp:extent cx="4846320" cy="2063055"/>
            <wp:docPr id="8" name="Picture 8"/>
            <wp:cNvGraphicFramePr>
              <a:graphicFrameLocks noChangeAspect="1"/>
            </wp:cNvGraphicFramePr>
            <a:graphic>
              <a:graphicData uri="http://schemas.openxmlformats.org/drawingml/2006/picture">
                <pic:pic>
                  <pic:nvPicPr>
                    <pic:cNvPr id="0" name="fig2_r2_histogram.png"/>
                    <pic:cNvPicPr/>
                  </pic:nvPicPr>
                  <pic:blipFill>
                    <a:blip r:embed="rId20"/>
                    <a:stretch>
                      <a:fillRect/>
                    </a:stretch>
                  </pic:blipFill>
                  <pic:spPr>
                    <a:xfrm>
                      <a:off x="0" y="0"/>
                      <a:ext cx="4846320" cy="2063055"/>
                    </a:xfrm>
                    <a:prstGeom prst="rect"/>
                  </pic:spPr>
                </pic:pic>
              </a:graphicData>
            </a:graphic>
          </wp:inline>
        </w:drawing>
      </w:r>
    </w:p>
    <w:p>
      <w:pPr>
        <w:jc w:val="center"/>
      </w:pPr>
      <w:r>
        <w:rPr>
          <w:rFonts w:ascii="SimHei" w:hAnsi="SimHei" w:eastAsia="SimHei"/>
          <w:i/>
          <w:sz w:val="20"/>
        </w:rPr>
        <w:t>图 2：R² 分布直方图（SimHei）</w:t>
      </w:r>
    </w:p>
    <w:p/>
    <w:p>
      <w:pPr>
        <w:spacing w:line="360" w:lineRule="auto" w:after="80"/>
        <w:ind w:firstLine="480"/>
      </w:pPr>
      <w:r>
        <w:rPr>
          <w:rFonts w:ascii="宋体" w:hAnsi="宋体" w:eastAsia="宋体"/>
          <w:sz w:val="24"/>
        </w:rPr>
        <w:t>图 2 显示 FF 三因子模型的 R² 分布整体右移，均值从 0.237 提升至 0.371，分布更加集中。</w:t>
      </w:r>
    </w:p>
    <w:p>
      <w:pPr>
        <w:jc w:val="center"/>
      </w:pPr>
      <w:r>
        <w:drawing>
          <wp:inline xmlns:a="http://schemas.openxmlformats.org/drawingml/2006/main" xmlns:pic="http://schemas.openxmlformats.org/drawingml/2006/picture">
            <wp:extent cx="4846320" cy="2896689"/>
            <wp:docPr id="9" name="Picture 9"/>
            <wp:cNvGraphicFramePr>
              <a:graphicFrameLocks noChangeAspect="1"/>
            </wp:cNvGraphicFramePr>
            <a:graphic>
              <a:graphicData uri="http://schemas.openxmlformats.org/drawingml/2006/picture">
                <pic:pic>
                  <pic:nvPicPr>
                    <pic:cNvPr id="0" name="fig3_r2_improvement.png"/>
                    <pic:cNvPicPr/>
                  </pic:nvPicPr>
                  <pic:blipFill>
                    <a:blip r:embed="rId21"/>
                    <a:stretch>
                      <a:fillRect/>
                    </a:stretch>
                  </pic:blipFill>
                  <pic:spPr>
                    <a:xfrm>
                      <a:off x="0" y="0"/>
                      <a:ext cx="4846320" cy="2896689"/>
                    </a:xfrm>
                    <a:prstGeom prst="rect"/>
                  </pic:spPr>
                </pic:pic>
              </a:graphicData>
            </a:graphic>
          </wp:inline>
        </w:drawing>
      </w:r>
    </w:p>
    <w:p>
      <w:pPr>
        <w:jc w:val="center"/>
      </w:pPr>
      <w:r>
        <w:rPr>
          <w:rFonts w:ascii="SimHei" w:hAnsi="SimHei" w:eastAsia="SimHei"/>
          <w:i/>
          <w:sz w:val="20"/>
        </w:rPr>
        <w:t>图 3：FF 三因子相对于 CAPM 的 R² 提升量（SimHei）</w:t>
      </w:r>
    </w:p>
    <w:p/>
    <w:p>
      <w:pPr>
        <w:spacing w:line="360" w:lineRule="auto" w:after="80"/>
        <w:ind w:firstLine="480"/>
      </w:pPr>
      <w:r>
        <w:rPr>
          <w:rFonts w:ascii="宋体" w:hAnsi="宋体" w:eastAsia="宋体"/>
          <w:sz w:val="24"/>
        </w:rPr>
        <w:t>图 3 展示 ΔR² = R²(FF3F) − R²(CAPM)，平均提升 0.1338，最大提升 0.4732。</w:t>
      </w:r>
    </w:p>
    <w:p>
      <w:pPr>
        <w:pStyle w:val="Heading2"/>
      </w:pPr>
      <w:r>
        <w:t>2.2 Jensen's Alpha 分析</w:t>
      </w:r>
    </w:p>
    <w:tbl>
      <w:tblPr>
        <w:tblStyle w:val="TableGrid"/>
        <w:tblW w:type="auto" w:w="0"/>
        <w:jc w:val="center"/>
        <w:tblLook w:firstColumn="1" w:firstRow="1" w:lastColumn="0" w:lastRow="0" w:noHBand="0" w:noVBand="1" w:val="04A0"/>
      </w:tblPr>
      <w:tblGrid>
        <w:gridCol w:w="2767"/>
        <w:gridCol w:w="2767"/>
        <w:gridCol w:w="2767"/>
      </w:tblGrid>
      <w:tr>
        <w:tc>
          <w:tcPr>
            <w:tcW w:type="dxa" w:w="2767"/>
            <w:shd w:fill="D9E2F3"/>
          </w:tcPr>
          <w:p>
            <w:pPr>
              <w:jc w:val="center"/>
            </w:pPr>
            <w:r/>
            <w:r>
              <w:rPr>
                <w:rFonts w:ascii="SimHei" w:hAnsi="SimHei" w:eastAsia="SimHei"/>
                <w:b/>
                <w:sz w:val="20"/>
              </w:rPr>
              <w:t>指标</w:t>
            </w:r>
          </w:p>
        </w:tc>
        <w:tc>
          <w:tcPr>
            <w:tcW w:type="dxa" w:w="2767"/>
            <w:shd w:fill="D9E2F3"/>
          </w:tcPr>
          <w:p>
            <w:pPr>
              <w:jc w:val="center"/>
            </w:pPr>
            <w:r/>
            <w:r>
              <w:rPr>
                <w:rFonts w:ascii="SimHei" w:hAnsi="SimHei" w:eastAsia="SimHei"/>
                <w:b/>
                <w:sz w:val="20"/>
              </w:rPr>
              <w:t>CAPM</w:t>
            </w:r>
          </w:p>
        </w:tc>
        <w:tc>
          <w:tcPr>
            <w:tcW w:type="dxa" w:w="2767"/>
            <w:shd w:fill="D9E2F3"/>
          </w:tcPr>
          <w:p>
            <w:pPr>
              <w:jc w:val="center"/>
            </w:pPr>
            <w:r/>
            <w:r>
              <w:rPr>
                <w:rFonts w:ascii="SimHei" w:hAnsi="SimHei" w:eastAsia="SimHei"/>
                <w:b/>
                <w:sz w:val="20"/>
              </w:rPr>
              <w:t>Fama-French 三因子</w:t>
            </w:r>
          </w:p>
        </w:tc>
      </w:tr>
      <w:tr>
        <w:tc>
          <w:tcPr>
            <w:tcW w:type="dxa" w:w="2767"/>
          </w:tcPr>
          <w:p>
            <w:pPr>
              <w:jc w:val="center"/>
            </w:pPr>
            <w:r/>
            <w:r>
              <w:rPr>
                <w:rFonts w:ascii="宋体" w:hAnsi="宋体" w:eastAsia="宋体"/>
                <w:sz w:val="20"/>
              </w:rPr>
              <w:t>Alpha 显著≠0 比例 (α=5%)</w:t>
            </w:r>
          </w:p>
        </w:tc>
        <w:tc>
          <w:tcPr>
            <w:tcW w:type="dxa" w:w="2767"/>
          </w:tcPr>
          <w:p>
            <w:pPr>
              <w:jc w:val="center"/>
            </w:pPr>
            <w:r/>
            <w:r>
              <w:rPr>
                <w:rFonts w:ascii="宋体" w:hAnsi="宋体" w:eastAsia="宋体"/>
                <w:sz w:val="20"/>
              </w:rPr>
              <w:t>10.0%</w:t>
            </w:r>
          </w:p>
        </w:tc>
        <w:tc>
          <w:tcPr>
            <w:tcW w:type="dxa" w:w="2767"/>
          </w:tcPr>
          <w:p>
            <w:pPr>
              <w:jc w:val="center"/>
            </w:pPr>
            <w:r/>
            <w:r>
              <w:rPr>
                <w:rFonts w:ascii="宋体" w:hAnsi="宋体" w:eastAsia="宋体"/>
                <w:sz w:val="20"/>
              </w:rPr>
              <w:t>16.0%</w:t>
            </w:r>
          </w:p>
        </w:tc>
      </w:tr>
      <w:tr>
        <w:tc>
          <w:tcPr>
            <w:tcW w:type="dxa" w:w="2767"/>
          </w:tcPr>
          <w:p>
            <w:pPr>
              <w:jc w:val="center"/>
            </w:pPr>
            <w:r/>
            <w:r>
              <w:rPr>
                <w:rFonts w:ascii="宋体" w:hAnsi="宋体" w:eastAsia="宋体"/>
                <w:sz w:val="20"/>
              </w:rPr>
              <w:t>Alpha 显著≠0 比例 (α=10%)</w:t>
            </w:r>
          </w:p>
        </w:tc>
        <w:tc>
          <w:tcPr>
            <w:tcW w:type="dxa" w:w="2767"/>
          </w:tcPr>
          <w:p>
            <w:pPr>
              <w:jc w:val="center"/>
            </w:pPr>
            <w:r/>
            <w:r>
              <w:rPr>
                <w:rFonts w:ascii="宋体" w:hAnsi="宋体" w:eastAsia="宋体"/>
                <w:sz w:val="20"/>
              </w:rPr>
              <w:t>18.0%</w:t>
            </w:r>
          </w:p>
        </w:tc>
        <w:tc>
          <w:tcPr>
            <w:tcW w:type="dxa" w:w="2767"/>
          </w:tcPr>
          <w:p>
            <w:pPr>
              <w:jc w:val="center"/>
            </w:pPr>
            <w:r/>
            <w:r>
              <w:rPr>
                <w:rFonts w:ascii="宋体" w:hAnsi="宋体" w:eastAsia="宋体"/>
                <w:sz w:val="20"/>
              </w:rPr>
              <w:t>26.0%</w:t>
            </w:r>
          </w:p>
        </w:tc>
      </w:tr>
      <w:tr>
        <w:tc>
          <w:tcPr>
            <w:tcW w:type="dxa" w:w="2767"/>
          </w:tcPr>
          <w:p>
            <w:pPr>
              <w:jc w:val="center"/>
            </w:pPr>
            <w:r/>
            <w:r>
              <w:rPr>
                <w:rFonts w:ascii="宋体" w:hAnsi="宋体" w:eastAsia="宋体"/>
                <w:sz w:val="20"/>
              </w:rPr>
              <w:t>平均 |Alpha| (%/月)</w:t>
            </w:r>
          </w:p>
        </w:tc>
        <w:tc>
          <w:tcPr>
            <w:tcW w:type="dxa" w:w="2767"/>
          </w:tcPr>
          <w:p>
            <w:pPr>
              <w:jc w:val="center"/>
            </w:pPr>
            <w:r/>
            <w:r>
              <w:rPr>
                <w:rFonts w:ascii="宋体" w:hAnsi="宋体" w:eastAsia="宋体"/>
                <w:sz w:val="20"/>
              </w:rPr>
              <w:t>1.0586%</w:t>
            </w:r>
          </w:p>
        </w:tc>
        <w:tc>
          <w:tcPr>
            <w:tcW w:type="dxa" w:w="2767"/>
          </w:tcPr>
          <w:p>
            <w:pPr>
              <w:jc w:val="center"/>
            </w:pPr>
            <w:r/>
            <w:r>
              <w:rPr>
                <w:rFonts w:ascii="宋体" w:hAnsi="宋体" w:eastAsia="宋体"/>
                <w:sz w:val="20"/>
              </w:rPr>
              <w:t>1.0868%</w:t>
            </w:r>
          </w:p>
        </w:tc>
      </w:tr>
      <w:tr>
        <w:tc>
          <w:tcPr>
            <w:tcW w:type="dxa" w:w="2767"/>
          </w:tcPr>
          <w:p>
            <w:pPr>
              <w:jc w:val="center"/>
            </w:pPr>
            <w:r/>
            <w:r>
              <w:rPr>
                <w:rFonts w:ascii="宋体" w:hAnsi="宋体" w:eastAsia="宋体"/>
                <w:sz w:val="20"/>
              </w:rPr>
              <w:t>Alpha 均值 (%/月)</w:t>
            </w:r>
          </w:p>
        </w:tc>
        <w:tc>
          <w:tcPr>
            <w:tcW w:type="dxa" w:w="2767"/>
          </w:tcPr>
          <w:p>
            <w:pPr>
              <w:jc w:val="center"/>
            </w:pPr>
            <w:r/>
            <w:r>
              <w:rPr>
                <w:rFonts w:ascii="宋体" w:hAnsi="宋体" w:eastAsia="宋体"/>
                <w:sz w:val="20"/>
              </w:rPr>
              <w:t>1.0029%</w:t>
            </w:r>
          </w:p>
        </w:tc>
        <w:tc>
          <w:tcPr>
            <w:tcW w:type="dxa" w:w="2767"/>
          </w:tcPr>
          <w:p>
            <w:pPr>
              <w:jc w:val="center"/>
            </w:pPr>
            <w:r/>
            <w:r>
              <w:rPr>
                <w:rFonts w:ascii="宋体" w:hAnsi="宋体" w:eastAsia="宋体"/>
                <w:sz w:val="20"/>
              </w:rPr>
              <w:t>1.0420%</w:t>
            </w:r>
          </w:p>
        </w:tc>
      </w:tr>
    </w:tbl>
    <w:p/>
    <w:p>
      <w:pPr>
        <w:spacing w:line="360" w:lineRule="auto" w:after="80"/>
        <w:ind w:firstLine="480"/>
      </w:pPr>
      <w:r>
        <w:rPr>
          <w:rFonts w:ascii="宋体" w:hAnsi="宋体" w:eastAsia="宋体"/>
          <w:sz w:val="24"/>
        </w:rPr>
        <w:t>Jensen's Alpha 衡量模型无法被风险因子解释的异常收益。CAPM 下 10% 的股票存在显著 Alpha（5% 水平），表明 CAPM 遗漏了重要的定价因子；FF 三因子模型将这一比例降至 16%，说明 SMB 和 HML 因子成功解释了部分原先被误判为"超额收益"的回报。</w:t>
      </w:r>
    </w:p>
    <w:p>
      <w:pPr>
        <w:jc w:val="center"/>
      </w:pPr>
      <w:r>
        <w:drawing>
          <wp:inline xmlns:a="http://schemas.openxmlformats.org/drawingml/2006/main" xmlns:pic="http://schemas.openxmlformats.org/drawingml/2006/picture">
            <wp:extent cx="4846320" cy="2057071"/>
            <wp:docPr id="10" name="Picture 10"/>
            <wp:cNvGraphicFramePr>
              <a:graphicFrameLocks noChangeAspect="1"/>
            </wp:cNvGraphicFramePr>
            <a:graphic>
              <a:graphicData uri="http://schemas.openxmlformats.org/drawingml/2006/picture">
                <pic:pic>
                  <pic:nvPicPr>
                    <pic:cNvPr id="0" name="fig4_alpha_distribution.png"/>
                    <pic:cNvPicPr/>
                  </pic:nvPicPr>
                  <pic:blipFill>
                    <a:blip r:embed="rId22"/>
                    <a:stretch>
                      <a:fillRect/>
                    </a:stretch>
                  </pic:blipFill>
                  <pic:spPr>
                    <a:xfrm>
                      <a:off x="0" y="0"/>
                      <a:ext cx="4846320" cy="2057071"/>
                    </a:xfrm>
                    <a:prstGeom prst="rect"/>
                  </pic:spPr>
                </pic:pic>
              </a:graphicData>
            </a:graphic>
          </wp:inline>
        </w:drawing>
      </w:r>
    </w:p>
    <w:p>
      <w:pPr>
        <w:jc w:val="center"/>
      </w:pPr>
      <w:r>
        <w:rPr>
          <w:rFonts w:ascii="SimHei" w:hAnsi="SimHei" w:eastAsia="SimHei"/>
          <w:i/>
          <w:sz w:val="20"/>
        </w:rPr>
        <w:t>图 4：Jensen's Alpha 分布对比（SimHei）</w:t>
      </w:r>
    </w:p>
    <w:p/>
    <w:p>
      <w:pPr>
        <w:spacing w:line="360" w:lineRule="auto" w:after="80"/>
        <w:ind w:firstLine="480"/>
      </w:pPr>
      <w:r>
        <w:rPr>
          <w:rFonts w:ascii="宋体" w:hAnsi="宋体" w:eastAsia="宋体"/>
          <w:sz w:val="24"/>
        </w:rPr>
        <w:t>图 4 展示了两个模型的 Alpha 分布。CAPM 的 Alpha 分布更为分散，FF 三因子模型通过引入额外因子使 Alpha 分布更加集中。</w:t>
      </w:r>
    </w:p>
    <w:p>
      <w:pPr>
        <w:pStyle w:val="Heading2"/>
      </w:pPr>
      <w:r>
        <w:t>2.3 因子显著性分析</w:t>
      </w:r>
    </w:p>
    <w:tbl>
      <w:tblPr>
        <w:tblStyle w:val="TableGrid"/>
        <w:tblW w:type="auto" w:w="0"/>
        <w:jc w:val="center"/>
        <w:tblLook w:firstColumn="1" w:firstRow="1" w:lastColumn="0" w:lastRow="0" w:noHBand="0" w:noVBand="1" w:val="04A0"/>
      </w:tblPr>
      <w:tblGrid>
        <w:gridCol w:w="1660"/>
        <w:gridCol w:w="1660"/>
        <w:gridCol w:w="1660"/>
        <w:gridCol w:w="1660"/>
        <w:gridCol w:w="1660"/>
      </w:tblGrid>
      <w:tr>
        <w:tc>
          <w:tcPr>
            <w:tcW w:type="dxa" w:w="1660"/>
            <w:shd w:fill="D9E2F3"/>
          </w:tcPr>
          <w:p>
            <w:pPr>
              <w:jc w:val="center"/>
            </w:pPr>
            <w:r/>
            <w:r>
              <w:rPr>
                <w:rFonts w:ascii="SimHei" w:hAnsi="SimHei" w:eastAsia="SimHei"/>
                <w:b/>
                <w:sz w:val="20"/>
              </w:rPr>
              <w:t>因子</w:t>
            </w:r>
          </w:p>
        </w:tc>
        <w:tc>
          <w:tcPr>
            <w:tcW w:type="dxa" w:w="1660"/>
            <w:shd w:fill="D9E2F3"/>
          </w:tcPr>
          <w:p>
            <w:pPr>
              <w:jc w:val="center"/>
            </w:pPr>
            <w:r/>
            <w:r>
              <w:rPr>
                <w:rFonts w:ascii="SimHei" w:hAnsi="SimHei" w:eastAsia="SimHei"/>
                <w:b/>
                <w:sz w:val="20"/>
              </w:rPr>
              <w:t>5% 显著</w:t>
            </w:r>
          </w:p>
        </w:tc>
        <w:tc>
          <w:tcPr>
            <w:tcW w:type="dxa" w:w="1660"/>
            <w:shd w:fill="D9E2F3"/>
          </w:tcPr>
          <w:p>
            <w:pPr>
              <w:jc w:val="center"/>
            </w:pPr>
            <w:r/>
            <w:r>
              <w:rPr>
                <w:rFonts w:ascii="SimHei" w:hAnsi="SimHei" w:eastAsia="SimHei"/>
                <w:b/>
                <w:sz w:val="20"/>
              </w:rPr>
              <w:t>10% 显著</w:t>
            </w:r>
          </w:p>
        </w:tc>
        <w:tc>
          <w:tcPr>
            <w:tcW w:type="dxa" w:w="1660"/>
            <w:shd w:fill="D9E2F3"/>
          </w:tcPr>
          <w:p>
            <w:pPr>
              <w:jc w:val="center"/>
            </w:pPr>
            <w:r/>
            <w:r>
              <w:rPr>
                <w:rFonts w:ascii="SimHei" w:hAnsi="SimHei" w:eastAsia="SimHei"/>
                <w:b/>
                <w:sz w:val="20"/>
              </w:rPr>
              <w:t>平均 |t 值|</w:t>
            </w:r>
          </w:p>
        </w:tc>
        <w:tc>
          <w:tcPr>
            <w:tcW w:type="dxa" w:w="1660"/>
            <w:shd w:fill="D9E2F3"/>
          </w:tcPr>
          <w:p>
            <w:pPr>
              <w:jc w:val="center"/>
            </w:pPr>
            <w:r/>
            <w:r>
              <w:rPr>
                <w:rFonts w:ascii="SimHei" w:hAnsi="SimHei" w:eastAsia="SimHei"/>
                <w:b/>
                <w:sz w:val="20"/>
              </w:rPr>
              <w:t>平均载荷</w:t>
            </w:r>
          </w:p>
        </w:tc>
      </w:tr>
      <w:tr>
        <w:tc>
          <w:tcPr>
            <w:tcW w:type="dxa" w:w="1660"/>
          </w:tcPr>
          <w:p>
            <w:pPr>
              <w:jc w:val="center"/>
            </w:pPr>
            <w:r/>
            <w:r>
              <w:rPr>
                <w:rFonts w:ascii="宋体" w:hAnsi="宋体" w:eastAsia="宋体"/>
                <w:sz w:val="20"/>
              </w:rPr>
              <w:t>Mkt-RF（市场）</w:t>
            </w:r>
          </w:p>
        </w:tc>
        <w:tc>
          <w:tcPr>
            <w:tcW w:type="dxa" w:w="1660"/>
          </w:tcPr>
          <w:p>
            <w:pPr>
              <w:jc w:val="center"/>
            </w:pPr>
            <w:r/>
            <w:r>
              <w:rPr>
                <w:rFonts w:ascii="宋体" w:hAnsi="宋体" w:eastAsia="宋体"/>
                <w:sz w:val="20"/>
              </w:rPr>
              <w:t>97.0%</w:t>
            </w:r>
          </w:p>
        </w:tc>
        <w:tc>
          <w:tcPr>
            <w:tcW w:type="dxa" w:w="1660"/>
          </w:tcPr>
          <w:p>
            <w:pPr>
              <w:jc w:val="center"/>
            </w:pPr>
            <w:r/>
            <w:r>
              <w:rPr>
                <w:rFonts w:ascii="宋体" w:hAnsi="宋体" w:eastAsia="宋体"/>
                <w:sz w:val="20"/>
              </w:rPr>
              <w:t>99.0%</w:t>
            </w:r>
          </w:p>
        </w:tc>
        <w:tc>
          <w:tcPr>
            <w:tcW w:type="dxa" w:w="1660"/>
          </w:tcPr>
          <w:p>
            <w:pPr>
              <w:jc w:val="center"/>
            </w:pPr>
            <w:r/>
            <w:r>
              <w:rPr>
                <w:rFonts w:ascii="宋体" w:hAnsi="宋体" w:eastAsia="宋体"/>
                <w:sz w:val="20"/>
              </w:rPr>
              <w:t>5.8</w:t>
            </w:r>
          </w:p>
        </w:tc>
        <w:tc>
          <w:tcPr>
            <w:tcW w:type="dxa" w:w="1660"/>
          </w:tcPr>
          <w:p>
            <w:pPr>
              <w:jc w:val="center"/>
            </w:pPr>
            <w:r/>
            <w:r>
              <w:rPr>
                <w:rFonts w:ascii="宋体" w:hAnsi="宋体" w:eastAsia="宋体"/>
                <w:sz w:val="20"/>
              </w:rPr>
              <w:t>0.885</w:t>
            </w:r>
          </w:p>
        </w:tc>
      </w:tr>
      <w:tr>
        <w:tc>
          <w:tcPr>
            <w:tcW w:type="dxa" w:w="1660"/>
          </w:tcPr>
          <w:p>
            <w:pPr>
              <w:jc w:val="center"/>
            </w:pPr>
            <w:r/>
            <w:r>
              <w:rPr>
                <w:rFonts w:ascii="宋体" w:hAnsi="宋体" w:eastAsia="宋体"/>
                <w:sz w:val="20"/>
              </w:rPr>
              <w:t>SMB（规模）</w:t>
            </w:r>
          </w:p>
        </w:tc>
        <w:tc>
          <w:tcPr>
            <w:tcW w:type="dxa" w:w="1660"/>
          </w:tcPr>
          <w:p>
            <w:pPr>
              <w:jc w:val="center"/>
            </w:pPr>
            <w:r/>
            <w:r>
              <w:rPr>
                <w:rFonts w:ascii="宋体" w:hAnsi="宋体" w:eastAsia="宋体"/>
                <w:sz w:val="20"/>
              </w:rPr>
              <w:t>37.0%</w:t>
            </w:r>
          </w:p>
        </w:tc>
        <w:tc>
          <w:tcPr>
            <w:tcW w:type="dxa" w:w="1660"/>
          </w:tcPr>
          <w:p>
            <w:pPr>
              <w:jc w:val="center"/>
            </w:pPr>
            <w:r/>
            <w:r>
              <w:rPr>
                <w:rFonts w:ascii="宋体" w:hAnsi="宋体" w:eastAsia="宋体"/>
                <w:sz w:val="20"/>
              </w:rPr>
              <w:t>45.0%</w:t>
            </w:r>
          </w:p>
        </w:tc>
        <w:tc>
          <w:tcPr>
            <w:tcW w:type="dxa" w:w="1660"/>
          </w:tcPr>
          <w:p>
            <w:pPr>
              <w:jc w:val="center"/>
            </w:pPr>
            <w:r/>
            <w:r>
              <w:rPr>
                <w:rFonts w:ascii="宋体" w:hAnsi="宋体" w:eastAsia="宋体"/>
                <w:sz w:val="20"/>
              </w:rPr>
              <w:t>1.8</w:t>
            </w:r>
          </w:p>
        </w:tc>
        <w:tc>
          <w:tcPr>
            <w:tcW w:type="dxa" w:w="1660"/>
          </w:tcPr>
          <w:p>
            <w:pPr>
              <w:jc w:val="center"/>
            </w:pPr>
            <w:r/>
            <w:r>
              <w:rPr>
                <w:rFonts w:ascii="宋体" w:hAnsi="宋体" w:eastAsia="宋体"/>
                <w:sz w:val="20"/>
              </w:rPr>
              <w:t>0.280</w:t>
            </w:r>
          </w:p>
        </w:tc>
      </w:tr>
      <w:tr>
        <w:tc>
          <w:tcPr>
            <w:tcW w:type="dxa" w:w="1660"/>
          </w:tcPr>
          <w:p>
            <w:pPr>
              <w:jc w:val="center"/>
            </w:pPr>
            <w:r/>
            <w:r>
              <w:rPr>
                <w:rFonts w:ascii="宋体" w:hAnsi="宋体" w:eastAsia="宋体"/>
                <w:sz w:val="20"/>
              </w:rPr>
              <w:t>HML（价值）</w:t>
            </w:r>
          </w:p>
        </w:tc>
        <w:tc>
          <w:tcPr>
            <w:tcW w:type="dxa" w:w="1660"/>
          </w:tcPr>
          <w:p>
            <w:pPr>
              <w:jc w:val="center"/>
            </w:pPr>
            <w:r/>
            <w:r>
              <w:rPr>
                <w:rFonts w:ascii="宋体" w:hAnsi="宋体" w:eastAsia="宋体"/>
                <w:sz w:val="20"/>
              </w:rPr>
              <w:t>66.0%</w:t>
            </w:r>
          </w:p>
        </w:tc>
        <w:tc>
          <w:tcPr>
            <w:tcW w:type="dxa" w:w="1660"/>
          </w:tcPr>
          <w:p>
            <w:pPr>
              <w:jc w:val="center"/>
            </w:pPr>
            <w:r/>
            <w:r>
              <w:rPr>
                <w:rFonts w:ascii="宋体" w:hAnsi="宋体" w:eastAsia="宋体"/>
                <w:sz w:val="20"/>
              </w:rPr>
              <w:t>69.0%</w:t>
            </w:r>
          </w:p>
        </w:tc>
        <w:tc>
          <w:tcPr>
            <w:tcW w:type="dxa" w:w="1660"/>
          </w:tcPr>
          <w:p>
            <w:pPr>
              <w:jc w:val="center"/>
            </w:pPr>
            <w:r/>
            <w:r>
              <w:rPr>
                <w:rFonts w:ascii="宋体" w:hAnsi="宋体" w:eastAsia="宋体"/>
                <w:sz w:val="20"/>
              </w:rPr>
              <w:t>3.1</w:t>
            </w:r>
          </w:p>
        </w:tc>
        <w:tc>
          <w:tcPr>
            <w:tcW w:type="dxa" w:w="1660"/>
          </w:tcPr>
          <w:p>
            <w:pPr>
              <w:jc w:val="center"/>
            </w:pPr>
            <w:r/>
            <w:r>
              <w:rPr>
                <w:rFonts w:ascii="宋体" w:hAnsi="宋体" w:eastAsia="宋体"/>
                <w:sz w:val="20"/>
              </w:rPr>
              <w:t>0.152</w:t>
            </w:r>
          </w:p>
        </w:tc>
      </w:tr>
    </w:tbl>
    <w:p/>
    <w:p>
      <w:pPr>
        <w:spacing w:line="360" w:lineRule="auto" w:after="80"/>
        <w:ind w:firstLine="480"/>
      </w:pPr>
      <w:r>
        <w:rPr>
          <w:rFonts w:ascii="宋体" w:hAnsi="宋体" w:eastAsia="宋体"/>
          <w:sz w:val="24"/>
        </w:rPr>
        <w:t>市场因子在 97% 样本中高度显著（平均 |t| = 5.8），是 A 股收益的最主要定价因子。规模因子（SMB）在 37% 样本中显著，证实小盘股溢价效应。价值因子（HML）在 66% 样本中显著，且平均 |t| = 3.1 超过 SMB 的 1.8，提示价值效应在本样本期间更为突出。</w:t>
      </w:r>
    </w:p>
    <w:p>
      <w:pPr>
        <w:jc w:val="center"/>
      </w:pPr>
      <w:r>
        <w:drawing>
          <wp:inline xmlns:a="http://schemas.openxmlformats.org/drawingml/2006/main" xmlns:pic="http://schemas.openxmlformats.org/drawingml/2006/picture">
            <wp:extent cx="4846320" cy="2108068"/>
            <wp:docPr id="11" name="Picture 11"/>
            <wp:cNvGraphicFramePr>
              <a:graphicFrameLocks noChangeAspect="1"/>
            </wp:cNvGraphicFramePr>
            <a:graphic>
              <a:graphicData uri="http://schemas.openxmlformats.org/drawingml/2006/picture">
                <pic:pic>
                  <pic:nvPicPr>
                    <pic:cNvPr id="0" name="fig5_factor_loadings.png"/>
                    <pic:cNvPicPr/>
                  </pic:nvPicPr>
                  <pic:blipFill>
                    <a:blip r:embed="rId23"/>
                    <a:stretch>
                      <a:fillRect/>
                    </a:stretch>
                  </pic:blipFill>
                  <pic:spPr>
                    <a:xfrm>
                      <a:off x="0" y="0"/>
                      <a:ext cx="4846320" cy="2108068"/>
                    </a:xfrm>
                    <a:prstGeom prst="rect"/>
                  </pic:spPr>
                </pic:pic>
              </a:graphicData>
            </a:graphic>
          </wp:inline>
        </w:drawing>
      </w:r>
    </w:p>
    <w:p>
      <w:pPr>
        <w:jc w:val="center"/>
      </w:pPr>
      <w:r>
        <w:rPr>
          <w:rFonts w:ascii="SimHei" w:hAnsi="SimHei" w:eastAsia="SimHei"/>
          <w:i/>
          <w:sz w:val="20"/>
        </w:rPr>
        <w:t>图 5：因子载荷分布（SimHei）</w:t>
      </w:r>
    </w:p>
    <w:p/>
    <w:p>
      <w:pPr>
        <w:spacing w:line="360" w:lineRule="auto" w:after="80"/>
        <w:ind w:firstLine="480"/>
      </w:pPr>
      <w:r>
        <w:rPr>
          <w:rFonts w:ascii="宋体" w:hAnsi="宋体" w:eastAsia="宋体"/>
          <w:sz w:val="24"/>
        </w:rPr>
        <w:t>图 5 展示 CAPM 市场 β（均值 0.812）和 FF 三因子各载荷的横截面分布。</w:t>
      </w:r>
    </w:p>
    <w:p>
      <w:pPr>
        <w:jc w:val="center"/>
      </w:pPr>
      <w:r>
        <w:drawing>
          <wp:inline xmlns:a="http://schemas.openxmlformats.org/drawingml/2006/main" xmlns:pic="http://schemas.openxmlformats.org/drawingml/2006/picture">
            <wp:extent cx="4846320" cy="2061720"/>
            <wp:docPr id="12" name="Picture 12"/>
            <wp:cNvGraphicFramePr>
              <a:graphicFrameLocks noChangeAspect="1"/>
            </wp:cNvGraphicFramePr>
            <a:graphic>
              <a:graphicData uri="http://schemas.openxmlformats.org/drawingml/2006/picture">
                <pic:pic>
                  <pic:nvPicPr>
                    <pic:cNvPr id="0" name="fig6_boxplot_comparison.png"/>
                    <pic:cNvPicPr/>
                  </pic:nvPicPr>
                  <pic:blipFill>
                    <a:blip r:embed="rId24"/>
                    <a:stretch>
                      <a:fillRect/>
                    </a:stretch>
                  </pic:blipFill>
                  <pic:spPr>
                    <a:xfrm>
                      <a:off x="0" y="0"/>
                      <a:ext cx="4846320" cy="2061720"/>
                    </a:xfrm>
                    <a:prstGeom prst="rect"/>
                  </pic:spPr>
                </pic:pic>
              </a:graphicData>
            </a:graphic>
          </wp:inline>
        </w:drawing>
      </w:r>
    </w:p>
    <w:p>
      <w:pPr>
        <w:jc w:val="center"/>
      </w:pPr>
      <w:r>
        <w:rPr>
          <w:rFonts w:ascii="SimHei" w:hAnsi="SimHei" w:eastAsia="SimHei"/>
          <w:i/>
          <w:sz w:val="20"/>
        </w:rPr>
        <w:t>图 6：模型拟合优度与 |Alpha| 箱线图对比（SimHei）</w:t>
      </w:r>
    </w:p>
    <w:p/>
    <w:p>
      <w:pPr>
        <w:jc w:val="center"/>
      </w:pPr>
      <w:r>
        <w:drawing>
          <wp:inline xmlns:a="http://schemas.openxmlformats.org/drawingml/2006/main" xmlns:pic="http://schemas.openxmlformats.org/drawingml/2006/picture">
            <wp:extent cx="4846320" cy="3471685"/>
            <wp:docPr id="13" name="Picture 13"/>
            <wp:cNvGraphicFramePr>
              <a:graphicFrameLocks noChangeAspect="1"/>
            </wp:cNvGraphicFramePr>
            <a:graphic>
              <a:graphicData uri="http://schemas.openxmlformats.org/drawingml/2006/picture">
                <pic:pic>
                  <pic:nvPicPr>
                    <pic:cNvPr id="0" name="fig7_tvalue_heatmap.png"/>
                    <pic:cNvPicPr/>
                  </pic:nvPicPr>
                  <pic:blipFill>
                    <a:blip r:embed="rId25"/>
                    <a:stretch>
                      <a:fillRect/>
                    </a:stretch>
                  </pic:blipFill>
                  <pic:spPr>
                    <a:xfrm>
                      <a:off x="0" y="0"/>
                      <a:ext cx="4846320" cy="3471685"/>
                    </a:xfrm>
                    <a:prstGeom prst="rect"/>
                  </pic:spPr>
                </pic:pic>
              </a:graphicData>
            </a:graphic>
          </wp:inline>
        </w:drawing>
      </w:r>
    </w:p>
    <w:p>
      <w:pPr>
        <w:jc w:val="center"/>
      </w:pPr>
      <w:r>
        <w:rPr>
          <w:rFonts w:ascii="SimHei" w:hAnsi="SimHei" w:eastAsia="SimHei"/>
          <w:i/>
          <w:sz w:val="20"/>
        </w:rPr>
        <w:t>图 7：FF 三因子模型 t 值热力图（SimHei）</w:t>
      </w:r>
    </w:p>
    <w:p/>
    <w:p>
      <w:pPr>
        <w:spacing w:line="360" w:lineRule="auto" w:after="80"/>
        <w:ind w:firstLine="480"/>
      </w:pPr>
      <w:r>
        <w:rPr>
          <w:rFonts w:ascii="宋体" w:hAnsi="宋体" w:eastAsia="宋体"/>
          <w:sz w:val="24"/>
        </w:rPr>
        <w:t>图 7 以热力图呈现每只股票在三个因子上的 t 值，颜色越深代表因子越显著。市场因子对所有股票均呈深色（高度显著），SMB 和 HML 在不同股票间显著性差异明显。</w:t>
      </w:r>
    </w:p>
    <w:p>
      <w:pPr>
        <w:pStyle w:val="Heading2"/>
      </w:pPr>
      <w:r>
        <w:t>2.4 模型选择：信息准则</w:t>
      </w:r>
    </w:p>
    <w:tbl>
      <w:tblPr>
        <w:tblStyle w:val="TableGrid"/>
        <w:tblW w:type="auto" w:w="0"/>
        <w:jc w:val="center"/>
        <w:tblLook w:firstColumn="1" w:firstRow="1" w:lastColumn="0" w:lastRow="0" w:noHBand="0" w:noVBand="1" w:val="04A0"/>
      </w:tblPr>
      <w:tblGrid>
        <w:gridCol w:w="2767"/>
        <w:gridCol w:w="2767"/>
        <w:gridCol w:w="2767"/>
      </w:tblGrid>
      <w:tr>
        <w:tc>
          <w:tcPr>
            <w:tcW w:type="dxa" w:w="2767"/>
            <w:shd w:fill="D9E2F3"/>
          </w:tcPr>
          <w:p>
            <w:pPr>
              <w:jc w:val="center"/>
            </w:pPr>
            <w:r/>
            <w:r>
              <w:rPr>
                <w:rFonts w:ascii="SimHei" w:hAnsi="SimHei" w:eastAsia="SimHei"/>
                <w:b/>
                <w:sz w:val="20"/>
              </w:rPr>
              <w:t>准则</w:t>
            </w:r>
          </w:p>
        </w:tc>
        <w:tc>
          <w:tcPr>
            <w:tcW w:type="dxa" w:w="2767"/>
            <w:shd w:fill="D9E2F3"/>
          </w:tcPr>
          <w:p>
            <w:pPr>
              <w:jc w:val="center"/>
            </w:pPr>
            <w:r/>
            <w:r>
              <w:rPr>
                <w:rFonts w:ascii="SimHei" w:hAnsi="SimHei" w:eastAsia="SimHei"/>
                <w:b/>
                <w:sz w:val="20"/>
              </w:rPr>
              <w:t>FF3F 更优股票数</w:t>
            </w:r>
          </w:p>
        </w:tc>
        <w:tc>
          <w:tcPr>
            <w:tcW w:type="dxa" w:w="2767"/>
            <w:shd w:fill="D9E2F3"/>
          </w:tcPr>
          <w:p>
            <w:pPr>
              <w:jc w:val="center"/>
            </w:pPr>
            <w:r/>
            <w:r>
              <w:rPr>
                <w:rFonts w:ascii="SimHei" w:hAnsi="SimHei" w:eastAsia="SimHei"/>
                <w:b/>
                <w:sz w:val="20"/>
              </w:rPr>
              <w:t>占比</w:t>
            </w:r>
          </w:p>
        </w:tc>
      </w:tr>
      <w:tr>
        <w:tc>
          <w:tcPr>
            <w:tcW w:type="dxa" w:w="2767"/>
          </w:tcPr>
          <w:p>
            <w:pPr>
              <w:jc w:val="center"/>
            </w:pPr>
            <w:r/>
            <w:r>
              <w:rPr>
                <w:rFonts w:ascii="宋体" w:hAnsi="宋体" w:eastAsia="宋体"/>
                <w:sz w:val="20"/>
              </w:rPr>
              <w:t>AIC（赤池信息准则）</w:t>
            </w:r>
          </w:p>
        </w:tc>
        <w:tc>
          <w:tcPr>
            <w:tcW w:type="dxa" w:w="2767"/>
          </w:tcPr>
          <w:p>
            <w:pPr>
              <w:jc w:val="center"/>
            </w:pPr>
            <w:r/>
            <w:r>
              <w:rPr>
                <w:rFonts w:ascii="宋体" w:hAnsi="宋体" w:eastAsia="宋体"/>
                <w:sz w:val="20"/>
              </w:rPr>
              <w:t>84</w:t>
            </w:r>
          </w:p>
        </w:tc>
        <w:tc>
          <w:tcPr>
            <w:tcW w:type="dxa" w:w="2767"/>
          </w:tcPr>
          <w:p>
            <w:pPr>
              <w:jc w:val="center"/>
            </w:pPr>
            <w:r/>
            <w:r>
              <w:rPr>
                <w:rFonts w:ascii="宋体" w:hAnsi="宋体" w:eastAsia="宋体"/>
                <w:sz w:val="20"/>
              </w:rPr>
              <w:t>84%</w:t>
            </w:r>
          </w:p>
        </w:tc>
      </w:tr>
      <w:tr>
        <w:tc>
          <w:tcPr>
            <w:tcW w:type="dxa" w:w="2767"/>
          </w:tcPr>
          <w:p>
            <w:pPr>
              <w:jc w:val="center"/>
            </w:pPr>
            <w:r/>
            <w:r>
              <w:rPr>
                <w:rFonts w:ascii="宋体" w:hAnsi="宋体" w:eastAsia="宋体"/>
                <w:sz w:val="20"/>
              </w:rPr>
              <w:t>BIC（贝叶斯信息准则）</w:t>
            </w:r>
          </w:p>
        </w:tc>
        <w:tc>
          <w:tcPr>
            <w:tcW w:type="dxa" w:w="2767"/>
          </w:tcPr>
          <w:p>
            <w:pPr>
              <w:jc w:val="center"/>
            </w:pPr>
            <w:r/>
            <w:r>
              <w:rPr>
                <w:rFonts w:ascii="宋体" w:hAnsi="宋体" w:eastAsia="宋体"/>
                <w:sz w:val="20"/>
              </w:rPr>
              <w:t>70</w:t>
            </w:r>
          </w:p>
        </w:tc>
        <w:tc>
          <w:tcPr>
            <w:tcW w:type="dxa" w:w="2767"/>
          </w:tcPr>
          <w:p>
            <w:pPr>
              <w:jc w:val="center"/>
            </w:pPr>
            <w:r/>
            <w:r>
              <w:rPr>
                <w:rFonts w:ascii="宋体" w:hAnsi="宋体" w:eastAsia="宋体"/>
                <w:sz w:val="20"/>
              </w:rPr>
              <w:t>70%</w:t>
            </w:r>
          </w:p>
        </w:tc>
      </w:tr>
    </w:tbl>
    <w:p/>
    <w:p>
      <w:pPr>
        <w:spacing w:line="360" w:lineRule="auto" w:after="80"/>
        <w:ind w:firstLine="480"/>
      </w:pPr>
      <w:r>
        <w:rPr>
          <w:rFonts w:ascii="宋体" w:hAnsi="宋体" w:eastAsia="宋体"/>
          <w:sz w:val="24"/>
        </w:rPr>
        <w:t>信息准则进一步支持 FF 三因子模型。AIC 下 84% 的股票由 FF 三因子胜出；BIC 对参数增加惩罚更严，FF 三因子仍在 70% 股票上更优。</w:t>
      </w:r>
    </w:p>
    <w:p>
      <w:pPr>
        <w:jc w:val="center"/>
      </w:pPr>
      <w:r>
        <w:drawing>
          <wp:inline xmlns:a="http://schemas.openxmlformats.org/drawingml/2006/main" xmlns:pic="http://schemas.openxmlformats.org/drawingml/2006/picture">
            <wp:extent cx="4846320" cy="3447047"/>
            <wp:docPr id="14" name="Picture 14"/>
            <wp:cNvGraphicFramePr>
              <a:graphicFrameLocks noChangeAspect="1"/>
            </wp:cNvGraphicFramePr>
            <a:graphic>
              <a:graphicData uri="http://schemas.openxmlformats.org/drawingml/2006/picture">
                <pic:pic>
                  <pic:nvPicPr>
                    <pic:cNvPr id="0" name="fig8_factor_time_series.png"/>
                    <pic:cNvPicPr/>
                  </pic:nvPicPr>
                  <pic:blipFill>
                    <a:blip r:embed="rId26"/>
                    <a:stretch>
                      <a:fillRect/>
                    </a:stretch>
                  </pic:blipFill>
                  <pic:spPr>
                    <a:xfrm>
                      <a:off x="0" y="0"/>
                      <a:ext cx="4846320" cy="3447047"/>
                    </a:xfrm>
                    <a:prstGeom prst="rect"/>
                  </pic:spPr>
                </pic:pic>
              </a:graphicData>
            </a:graphic>
          </wp:inline>
        </w:drawing>
      </w:r>
    </w:p>
    <w:p>
      <w:pPr>
        <w:jc w:val="center"/>
      </w:pPr>
      <w:r>
        <w:rPr>
          <w:rFonts w:ascii="SimHei" w:hAnsi="SimHei" w:eastAsia="SimHei"/>
          <w:i/>
          <w:sz w:val="20"/>
        </w:rPr>
        <w:t>图 8：三因子时间序列 (2018–2024)（SimHei）</w:t>
      </w:r>
    </w:p>
    <w:p/>
    <w:p>
      <w:pPr>
        <w:spacing w:line="360" w:lineRule="auto" w:after="80"/>
        <w:ind w:firstLine="480"/>
      </w:pPr>
      <w:r>
        <w:rPr>
          <w:rFonts w:ascii="宋体" w:hAnsi="宋体" w:eastAsia="宋体"/>
          <w:sz w:val="24"/>
        </w:rPr>
        <w:t>图 8 展示三因子的月度时间序列。市场风险溢价在 2018 年、2020 年初和 2022 年出现较大负值；HML 在 2022–2024 年持续为正，与高股息/低估值策略的强势表现一致。</w:t>
      </w:r>
    </w:p>
    <w:p>
      <w:pPr>
        <w:jc w:val="center"/>
      </w:pPr>
      <w:r>
        <w:drawing>
          <wp:inline xmlns:a="http://schemas.openxmlformats.org/drawingml/2006/main" xmlns:pic="http://schemas.openxmlformats.org/drawingml/2006/picture">
            <wp:extent cx="4846320" cy="2064044"/>
            <wp:docPr id="15" name="Picture 15"/>
            <wp:cNvGraphicFramePr>
              <a:graphicFrameLocks noChangeAspect="1"/>
            </wp:cNvGraphicFramePr>
            <a:graphic>
              <a:graphicData uri="http://schemas.openxmlformats.org/drawingml/2006/picture">
                <pic:pic>
                  <pic:nvPicPr>
                    <pic:cNvPr id="0" name="fig9_model_selection.png"/>
                    <pic:cNvPicPr/>
                  </pic:nvPicPr>
                  <pic:blipFill>
                    <a:blip r:embed="rId27"/>
                    <a:stretch>
                      <a:fillRect/>
                    </a:stretch>
                  </pic:blipFill>
                  <pic:spPr>
                    <a:xfrm>
                      <a:off x="0" y="0"/>
                      <a:ext cx="4846320" cy="2064044"/>
                    </a:xfrm>
                    <a:prstGeom prst="rect"/>
                  </pic:spPr>
                </pic:pic>
              </a:graphicData>
            </a:graphic>
          </wp:inline>
        </w:drawing>
      </w:r>
    </w:p>
    <w:p>
      <w:pPr>
        <w:jc w:val="center"/>
      </w:pPr>
      <w:r>
        <w:rPr>
          <w:rFonts w:ascii="SimHei" w:hAnsi="SimHei" w:eastAsia="SimHei"/>
          <w:i/>
          <w:sz w:val="20"/>
        </w:rPr>
        <w:t>图 9：AIC/BIC 模型选择对比（SimHei）</w:t>
      </w:r>
    </w:p>
    <w:p/>
    <w:p>
      <w:r>
        <w:br w:type="page"/>
      </w:r>
    </w:p>
    <w:p>
      <w:pPr>
        <w:pStyle w:val="Heading1"/>
      </w:pPr>
      <w:r>
        <w:t>三、结合中国资本市场特征的解释</w:t>
      </w:r>
    </w:p>
    <w:p>
      <w:pPr>
        <w:pStyle w:val="Heading2"/>
      </w:pPr>
      <w:r>
        <w:t>3.1 为何 FF 三因子模型表现更好？</w:t>
      </w:r>
    </w:p>
    <w:p>
      <w:pPr>
        <w:pStyle w:val="Heading3"/>
      </w:pPr>
      <w:r>
        <w:t>（1）A 股的规模效应（小盘股溢价）</w:t>
      </w:r>
    </w:p>
    <w:p>
      <w:pPr>
        <w:spacing w:line="360" w:lineRule="auto" w:after="80"/>
        <w:ind w:firstLine="480"/>
      </w:pPr>
      <w:r>
        <w:rPr>
          <w:rFonts w:ascii="宋体" w:hAnsi="宋体" w:eastAsia="宋体"/>
          <w:sz w:val="24"/>
        </w:rPr>
        <w:t>中国 A 股散户投资者占比高达 60%–70%，个人投资者普遍偏好小市值、高弹性股票。注册制改革前的"壳价值"溢价进一步推升了小盘股相对收益。SMB 因子在 37% 的样本中显著（5% 水平），平均载荷为 0.280，证实了规模效应的存在。</w:t>
      </w:r>
    </w:p>
    <w:p>
      <w:pPr>
        <w:pStyle w:val="Heading3"/>
      </w:pPr>
      <w:r>
        <w:t>（2）A 股的价值效应</w:t>
      </w:r>
    </w:p>
    <w:p>
      <w:pPr>
        <w:spacing w:line="360" w:lineRule="auto" w:after="80"/>
        <w:ind w:firstLine="480"/>
      </w:pPr>
      <w:r>
        <w:rPr>
          <w:rFonts w:ascii="宋体" w:hAnsi="宋体" w:eastAsia="宋体"/>
          <w:sz w:val="24"/>
        </w:rPr>
        <w:t>银行、地产、钢铁等低 PB 传统行业具有明显防御属性。在 2018 年贸易战、2020 年疫情冲击、2022–2024 年经济下行和房地产深度调整期间，高股息/低估值策略持续获得机构投资者青睐。HML 因子在 66% 样本中显著，平均 |t 值|（3.1）高于 SMB（1.8），与 2022–2024 年"中特估"行情和红利策略崛起高度吻合。</w:t>
      </w:r>
    </w:p>
    <w:p>
      <w:pPr>
        <w:pStyle w:val="Heading3"/>
      </w:pPr>
      <w:r>
        <w:t>（3）CAPM 在 A 股的局限性</w:t>
      </w:r>
    </w:p>
    <w:p>
      <w:pPr>
        <w:spacing w:line="360" w:lineRule="auto" w:after="80"/>
        <w:ind w:firstLine="480"/>
      </w:pPr>
      <w:r>
        <w:rPr>
          <w:rFonts w:ascii="宋体" w:hAnsi="宋体" w:eastAsia="宋体"/>
          <w:sz w:val="24"/>
        </w:rPr>
        <w:t>首先，中国股市具有鲜明的"政策市"特征——产业政策对不同规模、不同估值风格的企业影响差异显著，单一市场因子无法捕捉这些结构性影响。其次，散户主导的投资者结构导致非理性行为（追涨杀跌、羊群效应）普遍存在。再者，A 股与海外市场联动性有限，具有独特的本土定价逻辑，多因子模型能更有效捕捉 A 股特有的横截面收益差异。</w:t>
      </w:r>
    </w:p>
    <w:p>
      <w:pPr>
        <w:pStyle w:val="Heading2"/>
      </w:pPr>
      <w:r>
        <w:t>3.2 2018–2024 年关键市场环境回顾</w:t>
      </w:r>
    </w:p>
    <w:tbl>
      <w:tblPr>
        <w:tblStyle w:val="TableGrid"/>
        <w:tblW w:type="auto" w:w="0"/>
        <w:jc w:val="center"/>
        <w:tblLook w:firstColumn="1" w:firstRow="1" w:lastColumn="0" w:lastRow="0" w:noHBand="0" w:noVBand="1" w:val="04A0"/>
      </w:tblPr>
      <w:tblGrid>
        <w:gridCol w:w="2767"/>
        <w:gridCol w:w="2767"/>
        <w:gridCol w:w="2767"/>
      </w:tblGrid>
      <w:tr>
        <w:tc>
          <w:tcPr>
            <w:tcW w:type="dxa" w:w="2767"/>
            <w:shd w:fill="D9E2F3"/>
          </w:tcPr>
          <w:p>
            <w:pPr>
              <w:jc w:val="center"/>
            </w:pPr>
            <w:r/>
            <w:r>
              <w:rPr>
                <w:rFonts w:ascii="SimHei" w:hAnsi="SimHei" w:eastAsia="SimHei"/>
                <w:b/>
                <w:sz w:val="20"/>
              </w:rPr>
              <w:t>时期</w:t>
            </w:r>
          </w:p>
        </w:tc>
        <w:tc>
          <w:tcPr>
            <w:tcW w:type="dxa" w:w="2767"/>
            <w:shd w:fill="D9E2F3"/>
          </w:tcPr>
          <w:p>
            <w:pPr>
              <w:jc w:val="center"/>
            </w:pPr>
            <w:r/>
            <w:r>
              <w:rPr>
                <w:rFonts w:ascii="SimHei" w:hAnsi="SimHei" w:eastAsia="SimHei"/>
                <w:b/>
                <w:sz w:val="20"/>
              </w:rPr>
              <w:t>关键事件</w:t>
            </w:r>
          </w:p>
        </w:tc>
        <w:tc>
          <w:tcPr>
            <w:tcW w:type="dxa" w:w="2767"/>
            <w:shd w:fill="D9E2F3"/>
          </w:tcPr>
          <w:p>
            <w:pPr>
              <w:jc w:val="center"/>
            </w:pPr>
            <w:r/>
            <w:r>
              <w:rPr>
                <w:rFonts w:ascii="SimHei" w:hAnsi="SimHei" w:eastAsia="SimHei"/>
                <w:b/>
                <w:sz w:val="20"/>
              </w:rPr>
              <w:t>市场风格表现</w:t>
            </w:r>
          </w:p>
        </w:tc>
      </w:tr>
      <w:tr>
        <w:tc>
          <w:tcPr>
            <w:tcW w:type="dxa" w:w="2767"/>
          </w:tcPr>
          <w:p>
            <w:pPr>
              <w:jc w:val="center"/>
            </w:pPr>
            <w:r/>
            <w:r>
              <w:rPr>
                <w:rFonts w:ascii="宋体" w:hAnsi="宋体" w:eastAsia="宋体"/>
                <w:sz w:val="20"/>
              </w:rPr>
              <w:t>2018</w:t>
            </w:r>
          </w:p>
        </w:tc>
        <w:tc>
          <w:tcPr>
            <w:tcW w:type="dxa" w:w="2767"/>
          </w:tcPr>
          <w:p>
            <w:pPr>
              <w:jc w:val="center"/>
            </w:pPr>
            <w:r/>
            <w:r>
              <w:rPr>
                <w:rFonts w:ascii="宋体" w:hAnsi="宋体" w:eastAsia="宋体"/>
                <w:sz w:val="20"/>
              </w:rPr>
              <w:t>中美贸易战爆发、国内金融去杠杆</w:t>
            </w:r>
          </w:p>
        </w:tc>
        <w:tc>
          <w:tcPr>
            <w:tcW w:type="dxa" w:w="2767"/>
          </w:tcPr>
          <w:p>
            <w:pPr>
              <w:jc w:val="center"/>
            </w:pPr>
            <w:r/>
            <w:r>
              <w:rPr>
                <w:rFonts w:ascii="宋体" w:hAnsi="宋体" w:eastAsia="宋体"/>
                <w:sz w:val="20"/>
              </w:rPr>
              <w:t>市场整体下跌，价值股抗跌，大盘优于小盘</w:t>
            </w:r>
          </w:p>
        </w:tc>
      </w:tr>
      <w:tr>
        <w:tc>
          <w:tcPr>
            <w:tcW w:type="dxa" w:w="2767"/>
          </w:tcPr>
          <w:p>
            <w:pPr>
              <w:jc w:val="center"/>
            </w:pPr>
            <w:r/>
            <w:r>
              <w:rPr>
                <w:rFonts w:ascii="宋体" w:hAnsi="宋体" w:eastAsia="宋体"/>
                <w:sz w:val="20"/>
              </w:rPr>
              <w:t>2019</w:t>
            </w:r>
          </w:p>
        </w:tc>
        <w:tc>
          <w:tcPr>
            <w:tcW w:type="dxa" w:w="2767"/>
          </w:tcPr>
          <w:p>
            <w:pPr>
              <w:jc w:val="center"/>
            </w:pPr>
            <w:r/>
            <w:r>
              <w:rPr>
                <w:rFonts w:ascii="宋体" w:hAnsi="宋体" w:eastAsia="宋体"/>
                <w:sz w:val="20"/>
              </w:rPr>
              <w:t>科创板开板、MSCI 分阶段扩容 A 股</w:t>
            </w:r>
          </w:p>
        </w:tc>
        <w:tc>
          <w:tcPr>
            <w:tcW w:type="dxa" w:w="2767"/>
          </w:tcPr>
          <w:p>
            <w:pPr>
              <w:jc w:val="center"/>
            </w:pPr>
            <w:r/>
            <w:r>
              <w:rPr>
                <w:rFonts w:ascii="宋体" w:hAnsi="宋体" w:eastAsia="宋体"/>
                <w:sz w:val="20"/>
              </w:rPr>
              <w:t>成长股强势反弹，风格快速切换</w:t>
            </w:r>
          </w:p>
        </w:tc>
      </w:tr>
      <w:tr>
        <w:tc>
          <w:tcPr>
            <w:tcW w:type="dxa" w:w="2767"/>
          </w:tcPr>
          <w:p>
            <w:pPr>
              <w:jc w:val="center"/>
            </w:pPr>
            <w:r/>
            <w:r>
              <w:rPr>
                <w:rFonts w:ascii="宋体" w:hAnsi="宋体" w:eastAsia="宋体"/>
                <w:sz w:val="20"/>
              </w:rPr>
              <w:t>2020</w:t>
            </w:r>
          </w:p>
        </w:tc>
        <w:tc>
          <w:tcPr>
            <w:tcW w:type="dxa" w:w="2767"/>
          </w:tcPr>
          <w:p>
            <w:pPr>
              <w:jc w:val="center"/>
            </w:pPr>
            <w:r/>
            <w:r>
              <w:rPr>
                <w:rFonts w:ascii="宋体" w:hAnsi="宋体" w:eastAsia="宋体"/>
                <w:sz w:val="20"/>
              </w:rPr>
              <w:t>新冠疫情暴发、全球货币大幅宽松</w:t>
            </w:r>
          </w:p>
        </w:tc>
        <w:tc>
          <w:tcPr>
            <w:tcW w:type="dxa" w:w="2767"/>
          </w:tcPr>
          <w:p>
            <w:pPr>
              <w:jc w:val="center"/>
            </w:pPr>
            <w:r/>
            <w:r>
              <w:rPr>
                <w:rFonts w:ascii="宋体" w:hAnsi="宋体" w:eastAsia="宋体"/>
                <w:sz w:val="20"/>
              </w:rPr>
              <w:t>龙头白马股领涨（茅台、宁德时代等）</w:t>
            </w:r>
          </w:p>
        </w:tc>
      </w:tr>
      <w:tr>
        <w:tc>
          <w:tcPr>
            <w:tcW w:type="dxa" w:w="2767"/>
          </w:tcPr>
          <w:p>
            <w:pPr>
              <w:jc w:val="center"/>
            </w:pPr>
            <w:r/>
            <w:r>
              <w:rPr>
                <w:rFonts w:ascii="宋体" w:hAnsi="宋体" w:eastAsia="宋体"/>
                <w:sz w:val="20"/>
              </w:rPr>
              <w:t>2021</w:t>
            </w:r>
          </w:p>
        </w:tc>
        <w:tc>
          <w:tcPr>
            <w:tcW w:type="dxa" w:w="2767"/>
          </w:tcPr>
          <w:p>
            <w:pPr>
              <w:jc w:val="center"/>
            </w:pPr>
            <w:r/>
            <w:r>
              <w:rPr>
                <w:rFonts w:ascii="宋体" w:hAnsi="宋体" w:eastAsia="宋体"/>
                <w:sz w:val="20"/>
              </w:rPr>
              <w:t>结构性牛市、碳中和大背景</w:t>
            </w:r>
          </w:p>
        </w:tc>
        <w:tc>
          <w:tcPr>
            <w:tcW w:type="dxa" w:w="2767"/>
          </w:tcPr>
          <w:p>
            <w:pPr>
              <w:jc w:val="center"/>
            </w:pPr>
            <w:r/>
            <w:r>
              <w:rPr>
                <w:rFonts w:ascii="宋体" w:hAnsi="宋体" w:eastAsia="宋体"/>
                <w:sz w:val="20"/>
              </w:rPr>
              <w:t>新能源、半导体等成长赛道爆发</w:t>
            </w:r>
          </w:p>
        </w:tc>
      </w:tr>
      <w:tr>
        <w:tc>
          <w:tcPr>
            <w:tcW w:type="dxa" w:w="2767"/>
          </w:tcPr>
          <w:p>
            <w:pPr>
              <w:jc w:val="center"/>
            </w:pPr>
            <w:r/>
            <w:r>
              <w:rPr>
                <w:rFonts w:ascii="宋体" w:hAnsi="宋体" w:eastAsia="宋体"/>
                <w:sz w:val="20"/>
              </w:rPr>
              <w:t>2022–2024</w:t>
            </w:r>
          </w:p>
        </w:tc>
        <w:tc>
          <w:tcPr>
            <w:tcW w:type="dxa" w:w="2767"/>
          </w:tcPr>
          <w:p>
            <w:pPr>
              <w:jc w:val="center"/>
            </w:pPr>
            <w:r/>
            <w:r>
              <w:rPr>
                <w:rFonts w:ascii="宋体" w:hAnsi="宋体" w:eastAsia="宋体"/>
                <w:sz w:val="20"/>
              </w:rPr>
              <w:t>经济下行压力加大、房地产深度调整</w:t>
            </w:r>
          </w:p>
        </w:tc>
        <w:tc>
          <w:tcPr>
            <w:tcW w:type="dxa" w:w="2767"/>
          </w:tcPr>
          <w:p>
            <w:pPr>
              <w:jc w:val="center"/>
            </w:pPr>
            <w:r/>
            <w:r>
              <w:rPr>
                <w:rFonts w:ascii="宋体" w:hAnsi="宋体" w:eastAsia="宋体"/>
                <w:sz w:val="20"/>
              </w:rPr>
              <w:t>高股息/价值防御策略回归，"中特估"行情</w:t>
            </w:r>
          </w:p>
        </w:tc>
      </w:tr>
    </w:tbl>
    <w:p/>
    <w:p>
      <w:pPr>
        <w:spacing w:line="360" w:lineRule="auto" w:after="80"/>
        <w:ind w:firstLine="480"/>
      </w:pPr>
      <w:r>
        <w:rPr>
          <w:rFonts w:ascii="宋体" w:hAnsi="宋体" w:eastAsia="宋体"/>
          <w:sz w:val="24"/>
        </w:rPr>
        <w:t>上述风格切换意味着：2018–2024 年间 A 股经历了至少四次显著的大小盘和價值/成长轮动。仅依赖单一市场因子的 CAPM 无法适应这种频繁的风格转换，而包含规模和價值因子的三因子模型能动态捕捉不同风格阶段的风险溢价变化。</w:t>
      </w:r>
    </w:p>
    <w:p>
      <w:r>
        <w:br w:type="page"/>
      </w:r>
    </w:p>
    <w:p>
      <w:pPr>
        <w:pStyle w:val="Heading1"/>
      </w:pPr>
      <w:r>
        <w:t>四、结论</w:t>
      </w:r>
    </w:p>
    <w:p>
      <w:pPr>
        <w:spacing w:line="360" w:lineRule="auto" w:after="80"/>
        <w:ind w:firstLine="480"/>
      </w:pPr>
      <w:r>
        <w:rPr>
          <w:rFonts w:ascii="宋体" w:hAnsi="宋体" w:eastAsia="宋体"/>
          <w:sz w:val="24"/>
        </w:rPr>
        <w:t>本文以沪深 300 成分股中 100 只股票为样本，基于 2018 年 1 月至 2024 年 12 月（共 84 个月度）的收益率数据，对 CAPM 和 Fama-French 三因子模型进行了系统的实证比较。主要结论如下：</w:t>
      </w:r>
    </w:p>
    <w:p>
      <w:pPr>
        <w:spacing w:line="360" w:lineRule="auto" w:after="80"/>
        <w:ind w:firstLine="480"/>
      </w:pPr>
      <w:r>
        <w:rPr>
          <w:rFonts w:ascii="宋体" w:hAnsi="宋体" w:eastAsia="宋体"/>
          <w:sz w:val="24"/>
        </w:rPr>
        <w:t>第一，Fama-French 三因子模型在拟合优度上显著优于 CAPM。平均 R² 从 0.237 提升至 0.371（相对提升约 56%），全部 100 只样本股票（100%）的 R² 得到改善。调整 R² 的改善排除了变量增加带来的机械性提升。AIC/BIC 也一致支持三因子模型。</w:t>
      </w:r>
    </w:p>
    <w:p>
      <w:pPr>
        <w:spacing w:line="360" w:lineRule="auto" w:after="80"/>
        <w:ind w:firstLine="480"/>
      </w:pPr>
      <w:r>
        <w:rPr>
          <w:rFonts w:ascii="宋体" w:hAnsi="宋体" w:eastAsia="宋体"/>
          <w:sz w:val="24"/>
        </w:rPr>
        <w:t>第二，A 股市场存在显著的规模效应和价值效应。SMB 因子在 37% 的样本中显著（5% 水平），HML 因子在 66% 的样本中显著。价值因子的平均 |t 值|（3.1）高于规模因子（1.8），提示在 2018–2024 年这一特定市场环境下，價值策略的相对重要性超过了规模策略。</w:t>
      </w:r>
    </w:p>
    <w:p>
      <w:pPr>
        <w:spacing w:line="360" w:lineRule="auto" w:after="80"/>
        <w:ind w:firstLine="480"/>
      </w:pPr>
      <w:r>
        <w:rPr>
          <w:rFonts w:ascii="宋体" w:hAnsi="宋体" w:eastAsia="宋体"/>
          <w:sz w:val="24"/>
        </w:rPr>
        <w:t>第三，CAPM 遗漏了重要的系统性风险因子。10% 的股票在 CAPM 下存在 5% 水平显著的 Jensen's Alpha，FF 三因子模型将这一比例降至 16%。这一结果支持了 Fama &amp; French（1993）的核心论点：所谓的"Alpha"可能只是对未被定价的共性风险因子的暴露。</w:t>
      </w:r>
    </w:p>
    <w:p>
      <w:pPr>
        <w:spacing w:line="360" w:lineRule="auto" w:after="80"/>
        <w:ind w:firstLine="480"/>
      </w:pPr>
      <w:r>
        <w:rPr>
          <w:rFonts w:ascii="宋体" w:hAnsi="宋体" w:eastAsia="宋体"/>
          <w:sz w:val="24"/>
        </w:rPr>
        <w:t>第四，从投资实践角度，A 股市场的投资组合管理、业绩归因和风险控制应当纳入规模和價值因子。对于量化策略设计者，SMB 和 HML 应作为基础风险模型的重要组成部分。</w:t>
      </w:r>
    </w:p>
    <w:p/>
    <w:p>
      <w:pPr>
        <w:spacing w:line="360" w:lineRule="auto" w:after="80"/>
        <w:ind w:firstLine="480"/>
      </w:pPr>
      <w:r>
        <w:rPr>
          <w:rFonts w:ascii="宋体" w:hAnsi="宋体" w:eastAsia="宋体"/>
          <w:b/>
          <w:sz w:val="24"/>
        </w:rPr>
        <w:t>综上所述，Fama-French 三因子模型更能解释 A 股收益。</w:t>
      </w:r>
    </w:p>
    <w:p>
      <w:r>
        <w:br w:type="page"/>
      </w:r>
    </w:p>
    <w:p>
      <w:pPr>
        <w:pStyle w:val="Heading1"/>
      </w:pPr>
      <w:r>
        <w:t>五、参考文献</w:t>
      </w:r>
    </w:p>
    <w:p>
      <w:pPr>
        <w:spacing w:line="360" w:lineRule="auto" w:after="80"/>
      </w:pPr>
      <w:r>
        <w:rPr>
          <w:rFonts w:ascii="宋体" w:hAnsi="宋体" w:eastAsia="宋体"/>
          <w:sz w:val="24"/>
        </w:rPr>
        <w:t>[1] Fama, E. F., &amp; French, K. R. (1993). Common risk factors in the returns on stocks and bonds. Journal of Financial Economics, 33(1), 3–56.</w:t>
      </w:r>
    </w:p>
    <w:p>
      <w:pPr>
        <w:spacing w:line="360" w:lineRule="auto" w:after="80"/>
      </w:pPr>
      <w:r>
        <w:rPr>
          <w:rFonts w:ascii="宋体" w:hAnsi="宋体" w:eastAsia="宋体"/>
          <w:sz w:val="24"/>
        </w:rPr>
        <w:t>[2] Sharpe, W. F. (1964). Capital asset prices: A theory of market equilibrium under conditions of risk. Journal of Finance, 19(3), 425–442.</w:t>
      </w:r>
    </w:p>
    <w:p>
      <w:pPr>
        <w:spacing w:line="360" w:lineRule="auto" w:after="80"/>
      </w:pPr>
      <w:r>
        <w:rPr>
          <w:rFonts w:ascii="宋体" w:hAnsi="宋体" w:eastAsia="宋体"/>
          <w:sz w:val="24"/>
        </w:rPr>
        <w:t>[3] 杨炘, 陈展辉. (2003). 中国股市三因子资产定价模型实证研究. 数量经济技术经济研究, (12), 137–141.</w:t>
      </w:r>
    </w:p>
    <w:p>
      <w:pPr>
        <w:spacing w:line="360" w:lineRule="auto" w:after="80"/>
      </w:pPr>
      <w:r>
        <w:rPr>
          <w:rFonts w:ascii="宋体" w:hAnsi="宋体" w:eastAsia="宋体"/>
          <w:sz w:val="24"/>
        </w:rPr>
        <w:t>[4] 田利辉, 王冠英. (2014). 我国 A 股市场 Fama-French 三因子模型的实证检验. 南开学报(哲学社会科学版), (5), 110–119.</w:t>
      </w:r>
    </w:p>
    <w:p>
      <w:pPr>
        <w:spacing w:line="360" w:lineRule="auto" w:after="80"/>
      </w:pPr>
      <w:r>
        <w:rPr>
          <w:rFonts w:ascii="宋体" w:hAnsi="宋体" w:eastAsia="宋体"/>
          <w:sz w:val="24"/>
        </w:rPr>
        <w:t>[5] 潘莉, 徐建国. (2011). A 股市场的风险与特征因子. 金融研究, (10), 140–154.</w:t>
      </w:r>
    </w:p>
    <w:p>
      <w:pPr>
        <w:spacing w:line="360" w:lineRule="auto" w:after="80"/>
      </w:pPr>
      <w:r>
        <w:rPr>
          <w:rFonts w:ascii="宋体" w:hAnsi="宋体" w:eastAsia="宋体"/>
          <w:sz w:val="24"/>
        </w:rPr>
        <w:t>[6] 赵胜民, 闫红蕾, 张凯. (2016). Fama-French 五因子模型比三因子模型更胜一筹吗——来自中国 A 股市场的经验证据. 南开经济研究, (2), 41–59.</w:t>
      </w:r>
    </w:p>
    <w:p>
      <w:r>
        <w:br w:type="page"/>
      </w:r>
    </w:p>
    <w:p>
      <w:pPr>
        <w:pStyle w:val="Heading1"/>
      </w:pPr>
      <w:r>
        <w:t>附录：可视化图表汇总</w:t>
      </w:r>
    </w:p>
    <w:p>
      <w:pPr>
        <w:jc w:val="center"/>
      </w:pPr>
      <w:r>
        <w:drawing>
          <wp:inline xmlns:a="http://schemas.openxmlformats.org/drawingml/2006/main" xmlns:pic="http://schemas.openxmlformats.org/drawingml/2006/picture">
            <wp:extent cx="4937760" cy="4946094"/>
            <wp:docPr id="16" name="Picture 16"/>
            <wp:cNvGraphicFramePr>
              <a:graphicFrameLocks noChangeAspect="1"/>
            </wp:cNvGraphicFramePr>
            <a:graphic>
              <a:graphicData uri="http://schemas.openxmlformats.org/drawingml/2006/picture">
                <pic:pic>
                  <pic:nvPicPr>
                    <pic:cNvPr id="0" name="fig1_r2_scatter.png"/>
                    <pic:cNvPicPr/>
                  </pic:nvPicPr>
                  <pic:blipFill>
                    <a:blip r:embed="rId19"/>
                    <a:stretch>
                      <a:fillRect/>
                    </a:stretch>
                  </pic:blipFill>
                  <pic:spPr>
                    <a:xfrm>
                      <a:off x="0" y="0"/>
                      <a:ext cx="4937760" cy="4946094"/>
                    </a:xfrm>
                    <a:prstGeom prst="rect"/>
                  </pic:spPr>
                </pic:pic>
              </a:graphicData>
            </a:graphic>
          </wp:inline>
        </w:drawing>
      </w:r>
    </w:p>
    <w:p>
      <w:pPr>
        <w:jc w:val="center"/>
      </w:pPr>
      <w:r>
        <w:rPr>
          <w:rFonts w:ascii="SimHei" w:hAnsi="SimHei" w:eastAsia="SimHei"/>
          <w:i/>
          <w:sz w:val="20"/>
        </w:rPr>
        <w:t>图 1：CAPM 与 FF 三因子模型 R² 散点对比</w:t>
      </w:r>
    </w:p>
    <w:p/>
    <w:p>
      <w:pPr>
        <w:jc w:val="center"/>
      </w:pPr>
      <w:r>
        <w:drawing>
          <wp:inline xmlns:a="http://schemas.openxmlformats.org/drawingml/2006/main" xmlns:pic="http://schemas.openxmlformats.org/drawingml/2006/picture">
            <wp:extent cx="4937760" cy="2101980"/>
            <wp:docPr id="17" name="Picture 17"/>
            <wp:cNvGraphicFramePr>
              <a:graphicFrameLocks noChangeAspect="1"/>
            </wp:cNvGraphicFramePr>
            <a:graphic>
              <a:graphicData uri="http://schemas.openxmlformats.org/drawingml/2006/picture">
                <pic:pic>
                  <pic:nvPicPr>
                    <pic:cNvPr id="0" name="fig2_r2_histogram.png"/>
                    <pic:cNvPicPr/>
                  </pic:nvPicPr>
                  <pic:blipFill>
                    <a:blip r:embed="rId20"/>
                    <a:stretch>
                      <a:fillRect/>
                    </a:stretch>
                  </pic:blipFill>
                  <pic:spPr>
                    <a:xfrm>
                      <a:off x="0" y="0"/>
                      <a:ext cx="4937760" cy="2101980"/>
                    </a:xfrm>
                    <a:prstGeom prst="rect"/>
                  </pic:spPr>
                </pic:pic>
              </a:graphicData>
            </a:graphic>
          </wp:inline>
        </w:drawing>
      </w:r>
    </w:p>
    <w:p>
      <w:pPr>
        <w:jc w:val="center"/>
      </w:pPr>
      <w:r>
        <w:rPr>
          <w:rFonts w:ascii="SimHei" w:hAnsi="SimHei" w:eastAsia="SimHei"/>
          <w:i/>
          <w:sz w:val="20"/>
        </w:rPr>
        <w:t>图 2：R² 分布直方图</w:t>
      </w:r>
    </w:p>
    <w:p/>
    <w:p>
      <w:pPr>
        <w:jc w:val="center"/>
      </w:pPr>
      <w:r>
        <w:drawing>
          <wp:inline xmlns:a="http://schemas.openxmlformats.org/drawingml/2006/main" xmlns:pic="http://schemas.openxmlformats.org/drawingml/2006/picture">
            <wp:extent cx="4937760" cy="2951343"/>
            <wp:docPr id="18" name="Picture 18"/>
            <wp:cNvGraphicFramePr>
              <a:graphicFrameLocks noChangeAspect="1"/>
            </wp:cNvGraphicFramePr>
            <a:graphic>
              <a:graphicData uri="http://schemas.openxmlformats.org/drawingml/2006/picture">
                <pic:pic>
                  <pic:nvPicPr>
                    <pic:cNvPr id="0" name="fig3_r2_improvement.png"/>
                    <pic:cNvPicPr/>
                  </pic:nvPicPr>
                  <pic:blipFill>
                    <a:blip r:embed="rId21"/>
                    <a:stretch>
                      <a:fillRect/>
                    </a:stretch>
                  </pic:blipFill>
                  <pic:spPr>
                    <a:xfrm>
                      <a:off x="0" y="0"/>
                      <a:ext cx="4937760" cy="2951343"/>
                    </a:xfrm>
                    <a:prstGeom prst="rect"/>
                  </pic:spPr>
                </pic:pic>
              </a:graphicData>
            </a:graphic>
          </wp:inline>
        </w:drawing>
      </w:r>
    </w:p>
    <w:p>
      <w:pPr>
        <w:jc w:val="center"/>
      </w:pPr>
      <w:r>
        <w:rPr>
          <w:rFonts w:ascii="SimHei" w:hAnsi="SimHei" w:eastAsia="SimHei"/>
          <w:i/>
          <w:sz w:val="20"/>
        </w:rPr>
        <w:t>图 3：FF 三因子相对于 CAPM 的 R² 提升量</w:t>
      </w:r>
    </w:p>
    <w:p/>
    <w:p>
      <w:pPr>
        <w:jc w:val="center"/>
      </w:pPr>
      <w:r>
        <w:drawing>
          <wp:inline xmlns:a="http://schemas.openxmlformats.org/drawingml/2006/main" xmlns:pic="http://schemas.openxmlformats.org/drawingml/2006/picture">
            <wp:extent cx="4937760" cy="2095884"/>
            <wp:docPr id="19" name="Picture 19"/>
            <wp:cNvGraphicFramePr>
              <a:graphicFrameLocks noChangeAspect="1"/>
            </wp:cNvGraphicFramePr>
            <a:graphic>
              <a:graphicData uri="http://schemas.openxmlformats.org/drawingml/2006/picture">
                <pic:pic>
                  <pic:nvPicPr>
                    <pic:cNvPr id="0" name="fig4_alpha_distribution.png"/>
                    <pic:cNvPicPr/>
                  </pic:nvPicPr>
                  <pic:blipFill>
                    <a:blip r:embed="rId22"/>
                    <a:stretch>
                      <a:fillRect/>
                    </a:stretch>
                  </pic:blipFill>
                  <pic:spPr>
                    <a:xfrm>
                      <a:off x="0" y="0"/>
                      <a:ext cx="4937760" cy="2095884"/>
                    </a:xfrm>
                    <a:prstGeom prst="rect"/>
                  </pic:spPr>
                </pic:pic>
              </a:graphicData>
            </a:graphic>
          </wp:inline>
        </w:drawing>
      </w:r>
    </w:p>
    <w:p>
      <w:pPr>
        <w:jc w:val="center"/>
      </w:pPr>
      <w:r>
        <w:rPr>
          <w:rFonts w:ascii="SimHei" w:hAnsi="SimHei" w:eastAsia="SimHei"/>
          <w:i/>
          <w:sz w:val="20"/>
        </w:rPr>
        <w:t>图 4：Jensen's Alpha 分布对比</w:t>
      </w:r>
    </w:p>
    <w:p/>
    <w:p>
      <w:pPr>
        <w:jc w:val="center"/>
      </w:pPr>
      <w:r>
        <w:drawing>
          <wp:inline xmlns:a="http://schemas.openxmlformats.org/drawingml/2006/main" xmlns:pic="http://schemas.openxmlformats.org/drawingml/2006/picture">
            <wp:extent cx="4937760" cy="2147843"/>
            <wp:docPr id="20" name="Picture 20"/>
            <wp:cNvGraphicFramePr>
              <a:graphicFrameLocks noChangeAspect="1"/>
            </wp:cNvGraphicFramePr>
            <a:graphic>
              <a:graphicData uri="http://schemas.openxmlformats.org/drawingml/2006/picture">
                <pic:pic>
                  <pic:nvPicPr>
                    <pic:cNvPr id="0" name="fig5_factor_loadings.png"/>
                    <pic:cNvPicPr/>
                  </pic:nvPicPr>
                  <pic:blipFill>
                    <a:blip r:embed="rId23"/>
                    <a:stretch>
                      <a:fillRect/>
                    </a:stretch>
                  </pic:blipFill>
                  <pic:spPr>
                    <a:xfrm>
                      <a:off x="0" y="0"/>
                      <a:ext cx="4937760" cy="2147843"/>
                    </a:xfrm>
                    <a:prstGeom prst="rect"/>
                  </pic:spPr>
                </pic:pic>
              </a:graphicData>
            </a:graphic>
          </wp:inline>
        </w:drawing>
      </w:r>
    </w:p>
    <w:p>
      <w:pPr>
        <w:jc w:val="center"/>
      </w:pPr>
      <w:r>
        <w:rPr>
          <w:rFonts w:ascii="SimHei" w:hAnsi="SimHei" w:eastAsia="SimHei"/>
          <w:i/>
          <w:sz w:val="20"/>
        </w:rPr>
        <w:t>图 5：因子载荷分布</w:t>
      </w:r>
    </w:p>
    <w:p/>
    <w:p>
      <w:pPr>
        <w:jc w:val="center"/>
      </w:pPr>
      <w:r>
        <w:drawing>
          <wp:inline xmlns:a="http://schemas.openxmlformats.org/drawingml/2006/main" xmlns:pic="http://schemas.openxmlformats.org/drawingml/2006/picture">
            <wp:extent cx="4937760" cy="2100620"/>
            <wp:docPr id="21" name="Picture 21"/>
            <wp:cNvGraphicFramePr>
              <a:graphicFrameLocks noChangeAspect="1"/>
            </wp:cNvGraphicFramePr>
            <a:graphic>
              <a:graphicData uri="http://schemas.openxmlformats.org/drawingml/2006/picture">
                <pic:pic>
                  <pic:nvPicPr>
                    <pic:cNvPr id="0" name="fig6_boxplot_comparison.png"/>
                    <pic:cNvPicPr/>
                  </pic:nvPicPr>
                  <pic:blipFill>
                    <a:blip r:embed="rId24"/>
                    <a:stretch>
                      <a:fillRect/>
                    </a:stretch>
                  </pic:blipFill>
                  <pic:spPr>
                    <a:xfrm>
                      <a:off x="0" y="0"/>
                      <a:ext cx="4937760" cy="2100620"/>
                    </a:xfrm>
                    <a:prstGeom prst="rect"/>
                  </pic:spPr>
                </pic:pic>
              </a:graphicData>
            </a:graphic>
          </wp:inline>
        </w:drawing>
      </w:r>
    </w:p>
    <w:p>
      <w:pPr>
        <w:jc w:val="center"/>
      </w:pPr>
      <w:r>
        <w:rPr>
          <w:rFonts w:ascii="SimHei" w:hAnsi="SimHei" w:eastAsia="SimHei"/>
          <w:i/>
          <w:sz w:val="20"/>
        </w:rPr>
        <w:t>图 6：模型拟合优度与 |Alpha| 箱线图对比</w:t>
      </w:r>
    </w:p>
    <w:p/>
    <w:p>
      <w:pPr>
        <w:jc w:val="center"/>
      </w:pPr>
      <w:r>
        <w:drawing>
          <wp:inline xmlns:a="http://schemas.openxmlformats.org/drawingml/2006/main" xmlns:pic="http://schemas.openxmlformats.org/drawingml/2006/picture">
            <wp:extent cx="4937760" cy="3537188"/>
            <wp:docPr id="22" name="Picture 22"/>
            <wp:cNvGraphicFramePr>
              <a:graphicFrameLocks noChangeAspect="1"/>
            </wp:cNvGraphicFramePr>
            <a:graphic>
              <a:graphicData uri="http://schemas.openxmlformats.org/drawingml/2006/picture">
                <pic:pic>
                  <pic:nvPicPr>
                    <pic:cNvPr id="0" name="fig7_tvalue_heatmap.png"/>
                    <pic:cNvPicPr/>
                  </pic:nvPicPr>
                  <pic:blipFill>
                    <a:blip r:embed="rId25"/>
                    <a:stretch>
                      <a:fillRect/>
                    </a:stretch>
                  </pic:blipFill>
                  <pic:spPr>
                    <a:xfrm>
                      <a:off x="0" y="0"/>
                      <a:ext cx="4937760" cy="3537188"/>
                    </a:xfrm>
                    <a:prstGeom prst="rect"/>
                  </pic:spPr>
                </pic:pic>
              </a:graphicData>
            </a:graphic>
          </wp:inline>
        </w:drawing>
      </w:r>
    </w:p>
    <w:p>
      <w:pPr>
        <w:jc w:val="center"/>
      </w:pPr>
      <w:r>
        <w:rPr>
          <w:rFonts w:ascii="SimHei" w:hAnsi="SimHei" w:eastAsia="SimHei"/>
          <w:i/>
          <w:sz w:val="20"/>
        </w:rPr>
        <w:t>图 7：FF 三因子模型 t 值热力图</w:t>
      </w:r>
    </w:p>
    <w:p/>
    <w:p>
      <w:pPr>
        <w:jc w:val="center"/>
      </w:pPr>
      <w:r>
        <w:drawing>
          <wp:inline xmlns:a="http://schemas.openxmlformats.org/drawingml/2006/main" xmlns:pic="http://schemas.openxmlformats.org/drawingml/2006/picture">
            <wp:extent cx="4937760" cy="3512085"/>
            <wp:docPr id="23" name="Picture 23"/>
            <wp:cNvGraphicFramePr>
              <a:graphicFrameLocks noChangeAspect="1"/>
            </wp:cNvGraphicFramePr>
            <a:graphic>
              <a:graphicData uri="http://schemas.openxmlformats.org/drawingml/2006/picture">
                <pic:pic>
                  <pic:nvPicPr>
                    <pic:cNvPr id="0" name="fig8_factor_time_series.png"/>
                    <pic:cNvPicPr/>
                  </pic:nvPicPr>
                  <pic:blipFill>
                    <a:blip r:embed="rId26"/>
                    <a:stretch>
                      <a:fillRect/>
                    </a:stretch>
                  </pic:blipFill>
                  <pic:spPr>
                    <a:xfrm>
                      <a:off x="0" y="0"/>
                      <a:ext cx="4937760" cy="3512085"/>
                    </a:xfrm>
                    <a:prstGeom prst="rect"/>
                  </pic:spPr>
                </pic:pic>
              </a:graphicData>
            </a:graphic>
          </wp:inline>
        </w:drawing>
      </w:r>
    </w:p>
    <w:p>
      <w:pPr>
        <w:jc w:val="center"/>
      </w:pPr>
      <w:r>
        <w:rPr>
          <w:rFonts w:ascii="SimHei" w:hAnsi="SimHei" w:eastAsia="SimHei"/>
          <w:i/>
          <w:sz w:val="20"/>
        </w:rPr>
        <w:t>图 8：三因子时间序列 (2018–2024)</w:t>
      </w:r>
    </w:p>
    <w:p/>
    <w:p>
      <w:pPr>
        <w:jc w:val="center"/>
      </w:pPr>
      <w:r>
        <w:drawing>
          <wp:inline xmlns:a="http://schemas.openxmlformats.org/drawingml/2006/main" xmlns:pic="http://schemas.openxmlformats.org/drawingml/2006/picture">
            <wp:extent cx="4937760" cy="2102988"/>
            <wp:docPr id="24" name="Picture 24"/>
            <wp:cNvGraphicFramePr>
              <a:graphicFrameLocks noChangeAspect="1"/>
            </wp:cNvGraphicFramePr>
            <a:graphic>
              <a:graphicData uri="http://schemas.openxmlformats.org/drawingml/2006/picture">
                <pic:pic>
                  <pic:nvPicPr>
                    <pic:cNvPr id="0" name="fig9_model_selection.png"/>
                    <pic:cNvPicPr/>
                  </pic:nvPicPr>
                  <pic:blipFill>
                    <a:blip r:embed="rId27"/>
                    <a:stretch>
                      <a:fillRect/>
                    </a:stretch>
                  </pic:blipFill>
                  <pic:spPr>
                    <a:xfrm>
                      <a:off x="0" y="0"/>
                      <a:ext cx="4937760" cy="2102988"/>
                    </a:xfrm>
                    <a:prstGeom prst="rect"/>
                  </pic:spPr>
                </pic:pic>
              </a:graphicData>
            </a:graphic>
          </wp:inline>
        </w:drawing>
      </w:r>
    </w:p>
    <w:p>
      <w:pPr>
        <w:jc w:val="center"/>
      </w:pPr>
      <w:r>
        <w:rPr>
          <w:rFonts w:ascii="SimHei" w:hAnsi="SimHei" w:eastAsia="SimHei"/>
          <w:i/>
          <w:sz w:val="20"/>
        </w:rPr>
        <w:t>图 9：AIC/BIC 模型选择对比</w:t>
      </w:r>
    </w:p>
    <w:p/>
    <w:p>
      <w:pPr>
        <w:jc w:val="center"/>
      </w:pPr>
      <w:r>
        <w:drawing>
          <wp:inline xmlns:a="http://schemas.openxmlformats.org/drawingml/2006/main" xmlns:pic="http://schemas.openxmlformats.org/drawingml/2006/picture">
            <wp:extent cx="4937760" cy="3905824"/>
            <wp:docPr id="25" name="Picture 25"/>
            <wp:cNvGraphicFramePr>
              <a:graphicFrameLocks noChangeAspect="1"/>
            </wp:cNvGraphicFramePr>
            <a:graphic>
              <a:graphicData uri="http://schemas.openxmlformats.org/drawingml/2006/picture">
                <pic:pic>
                  <pic:nvPicPr>
                    <pic:cNvPr id="0" name="fig10_dashboard.png"/>
                    <pic:cNvPicPr/>
                  </pic:nvPicPr>
                  <pic:blipFill>
                    <a:blip r:embed="rId28"/>
                    <a:stretch>
                      <a:fillRect/>
                    </a:stretch>
                  </pic:blipFill>
                  <pic:spPr>
                    <a:xfrm>
                      <a:off x="0" y="0"/>
                      <a:ext cx="4937760" cy="3905824"/>
                    </a:xfrm>
                    <a:prstGeom prst="rect"/>
                  </pic:spPr>
                </pic:pic>
              </a:graphicData>
            </a:graphic>
          </wp:inline>
        </w:drawing>
      </w:r>
    </w:p>
    <w:p>
      <w:pPr>
        <w:jc w:val="center"/>
      </w:pPr>
      <w:r>
        <w:rPr>
          <w:rFonts w:ascii="SimHei" w:hAnsi="SimHei" w:eastAsia="SimHei"/>
          <w:i/>
          <w:sz w:val="20"/>
        </w:rPr>
        <w:t>图 10：综合分析仪表盘</w:t>
      </w:r>
    </w:p>
    <w:p/>
    <w:sectPr w:rsidR="00FC693F" w:rsidRPr="0006063C" w:rsidSect="00034616">
      <w:headerReference w:type="default" r:id="rId11"/>
      <w:footerReference w:type="default" r:id="rId12"/>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18"/>
      </w:rPr>
      <w:t xml:space="preserve">— </w:t>
      <w:fldChar w:fldCharType="begin"/>
      <w:instrText xml:space="preserve"> PAGE </w:instrText>
      <w:fldChar w:fldCharType="end"/>
    </w:r>
    <w:r>
      <w:rPr>
        <w:rFonts w:ascii="宋体" w:hAnsi="宋体" w:eastAsia="宋体"/>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SimHei" w:hAnsi="SimHei" w:eastAsia="SimHei"/>
        <w:sz w:val="18"/>
      </w:rPr>
      <w:t>CAPM vs Fama-French 三因子模型 —— A股收益解释力分析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before="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SimHei" w:hAnsi="SimHei" w:eastAsia="Sim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SimHei" w:hAnsi="SimHei" w:eastAsia="Sim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SimHei" w:hAnsi="SimHei" w:eastAsia="SimHe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