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r>
    </w:p>
    <w:p>
      <w:pPr>
        <w:spacing w:line="360" w:lineRule="auto" w:before="0" w:after="0"/>
        <w:jc w:val="center"/>
      </w:pPr>
      <w:r>
        <w:rPr>
          <w:rFonts w:ascii="黑体" w:hAnsi="黑体" w:eastAsia="黑体"/>
          <w:b/>
          <w:sz w:val="44"/>
        </w:rPr>
        <w:t>天津财经大学</w:t>
      </w:r>
    </w:p>
    <w:p>
      <w:pPr>
        <w:spacing w:line="360" w:lineRule="auto" w:before="0" w:after="0"/>
        <w:jc w:val="center"/>
      </w:pPr>
      <w:r>
        <w:rPr>
          <w:rFonts w:ascii="黑体" w:hAnsi="黑体" w:eastAsia="黑体"/>
          <w:b/>
          <w:sz w:val="36"/>
        </w:rPr>
        <w:t>《统计建模技术Ⅱ》</w:t>
      </w:r>
    </w:p>
    <w:p>
      <w:pPr>
        <w:spacing w:line="360" w:lineRule="auto" w:before="0" w:after="0"/>
        <w:jc w:val="center"/>
      </w:pPr>
      <w:r>
        <w:rPr>
          <w:rFonts w:ascii="黑体" w:hAnsi="黑体" w:eastAsia="黑体"/>
          <w:b/>
          <w:sz w:val="36"/>
        </w:rPr>
        <w:t>结 课 作 业</w:t>
      </w:r>
    </w:p>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r>
    </w:p>
    <w:p>
      <w:pPr>
        <w:spacing w:line="360" w:lineRule="auto" w:before="0" w:after="0"/>
        <w:jc w:val="center"/>
      </w:pPr>
      <w:r>
        <w:rPr>
          <w:rFonts w:ascii="黑体" w:hAnsi="黑体" w:eastAsia="黑体"/>
          <w:b/>
          <w:sz w:val="32"/>
        </w:rPr>
        <w:t>老年人生活满意度分布特征研究</w:t>
      </w:r>
    </w:p>
    <w:p>
      <w:pPr>
        <w:spacing w:line="360" w:lineRule="auto" w:before="0" w:after="0"/>
        <w:jc w:val="center"/>
      </w:pPr>
      <w:r>
        <w:rPr>
          <w:rFonts w:ascii="黑体" w:hAnsi="黑体" w:eastAsia="黑体"/>
          <w:b/>
          <w:sz w:val="28"/>
        </w:rPr>
        <w:t>——基于CLASS2020数据的多重检验</w:t>
      </w:r>
    </w:p>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r>
    </w:p>
    <w:p>
      <w:pPr>
        <w:spacing w:line="360" w:lineRule="auto" w:before="0" w:after="0"/>
        <w:jc w:val="center"/>
      </w:pPr>
      <w:r>
        <w:rPr>
          <w:rFonts w:ascii="宋体" w:hAnsi="宋体" w:eastAsia="宋体"/>
          <w:b w:val="0"/>
          <w:sz w:val="28"/>
        </w:rPr>
        <w:t>2026年 6月22日</w:t>
      </w:r>
    </w:p>
    <w:p>
      <w:r>
        <w:br w:type="page"/>
      </w:r>
    </w:p>
    <w:p>
      <w:pPr>
        <w:spacing w:line="360" w:lineRule="auto" w:before="0" w:after="0"/>
        <w:jc w:val="center"/>
      </w:pPr>
      <w:r>
        <w:rPr>
          <w:rFonts w:ascii="黑体" w:hAnsi="黑体" w:eastAsia="黑体"/>
          <w:b/>
          <w:sz w:val="32"/>
        </w:rPr>
        <w:t>内容摘要</w:t>
      </w:r>
    </w:p>
    <w:p>
      <w:pPr>
        <w:spacing w:line="360" w:lineRule="auto" w:before="0" w:after="0"/>
      </w:pPr>
      <w:r>
        <w:rPr>
          <w:rFonts w:ascii="宋体" w:hAnsi="宋体" w:eastAsia="宋体"/>
          <w:b w:val="0"/>
          <w:sz w:val="24"/>
        </w:rPr>
      </w:r>
    </w:p>
    <w:p>
      <w:pPr>
        <w:spacing w:line="360" w:lineRule="auto" w:before="0" w:after="0"/>
      </w:pPr>
      <w:r>
        <w:rPr>
          <w:rFonts w:ascii="楷体" w:hAnsi="楷体" w:eastAsia="楷体"/>
          <w:b w:val="0"/>
          <w:sz w:val="28"/>
        </w:rPr>
        <w:t>生活满意度是衡量老年人主观福祉与社会适应水平的核心指标。本研究基于中国老年社会追踪调查（CLASS）2020年公开数据，以11,304名60周岁及以上老年人为有效样本，以《统计建模技术Ⅱ》第九章"总体分布检验"和第四章"Logistic模型"为方法论框架，综合运用Kolmogorov-Smirnov检验（§9.1.1）、Pearson χ²拟合优度检验（§9.1.2）、Shapiro-Wilk检验（§9.1.3）、双样本Kolmogorov-Smirnov检验（§9.3）、Wilcoxon秩和检验、Kruskal-Wallis H检验、Spearman秩相关分析和二元Logistic回归等多重检验方法，系统考察了老年人生活满意度的分布特征及其多维影响因素。研究发现：（1）老年人生活满意度分布呈现显著的非均匀、非正态特征（Shapiro-Wilk W=0.864, p&lt;0.001），65.4%的老年人表示满意，34.6%的老年人表示不满意；（2）自评健康是生活满意度群体分布分化的最强驱动因素（双样本K-S D=0.359, p&lt;0.001; 秩和检验r=0.341），健康好者的平均生活满意度（1.93）远优于健康差者（2.58）；（3）互联网使用与生活满意度存在显著但效应量较小的正向关联（Wilcoxon Z=-11.461, p&lt;0.001, r=0.108），上网者生活满意度（2.12）优于不上网者（2.34）；（4）性别对生活满意度分布无显著影响（双样本K-S D=0.015, p=0.553），揭示生活满意度的性别平等特征；（5）Logistic回归表明，自评健康是生活不满意的最强预测因子（OR=5.473, p&lt;0.001），有配偶（OR=0.798）、上网（OR=0.833）和社交网络（OR=0.879）是显著保护因素。本研究为理解老年人生活满意度的分布规律提供了多维度的统计证据，也为精准化老龄福祉政策制定提供了方法参考。</w:t>
      </w:r>
    </w:p>
    <w:p>
      <w:pPr>
        <w:spacing w:line="360" w:lineRule="auto" w:before="0" w:after="0"/>
      </w:pPr>
      <w:r>
        <w:rPr>
          <w:rFonts w:ascii="宋体" w:hAnsi="宋体" w:eastAsia="宋体"/>
          <w:b w:val="0"/>
          <w:sz w:val="24"/>
        </w:rPr>
      </w:r>
    </w:p>
    <w:p>
      <w:pPr>
        <w:spacing w:line="360" w:lineRule="auto"/>
      </w:pPr>
      <w:r>
        <w:rPr>
          <w:rFonts w:ascii="黑体" w:hAnsi="黑体" w:eastAsia="黑体"/>
          <w:b/>
          <w:sz w:val="28"/>
        </w:rPr>
        <w:t>关键词：</w:t>
      </w:r>
      <w:r>
        <w:rPr>
          <w:rFonts w:ascii="楷体" w:hAnsi="楷体" w:eastAsia="楷体"/>
          <w:b/>
          <w:sz w:val="28"/>
        </w:rPr>
        <w:t>生活满意度；分布检验；Logistic回归；多重检验；老年人；CLASS 2020</w:t>
      </w:r>
    </w:p>
    <w:p>
      <w:r>
        <w:br w:type="page"/>
      </w:r>
    </w:p>
    <w:p>
      <w:pPr>
        <w:spacing w:line="360" w:lineRule="auto" w:before="0" w:after="0"/>
        <w:jc w:val="center"/>
      </w:pPr>
      <w:r>
        <w:rPr>
          <w:rFonts w:ascii="黑体" w:hAnsi="黑体" w:eastAsia="黑体"/>
          <w:b/>
          <w:sz w:val="36"/>
        </w:rPr>
        <w:t>老年人生活满意度分布特征研究</w:t>
      </w:r>
    </w:p>
    <w:p>
      <w:pPr>
        <w:spacing w:line="360" w:lineRule="auto" w:before="0" w:after="0"/>
        <w:jc w:val="center"/>
      </w:pPr>
      <w:r>
        <w:rPr>
          <w:rFonts w:ascii="黑体" w:hAnsi="黑体" w:eastAsia="黑体"/>
          <w:b/>
          <w:sz w:val="28"/>
        </w:rPr>
        <w:t>——基于CLASS2020数据的多重检验</w:t>
      </w:r>
    </w:p>
    <w:p>
      <w:pPr>
        <w:spacing w:line="360" w:lineRule="auto" w:before="0" w:after="0"/>
      </w:pPr>
      <w:r>
        <w:rPr>
          <w:rFonts w:ascii="宋体" w:hAnsi="宋体" w:eastAsia="宋体"/>
          <w:b w:val="0"/>
          <w:sz w:val="24"/>
        </w:rPr>
      </w:r>
    </w:p>
    <w:p>
      <w:pPr>
        <w:spacing w:line="360" w:lineRule="auto" w:before="0" w:after="0"/>
        <w:jc w:val="left"/>
      </w:pPr>
      <w:r>
        <w:rPr>
          <w:rFonts w:ascii="黑体" w:hAnsi="黑体" w:eastAsia="黑体"/>
          <w:b w:val="0"/>
          <w:sz w:val="32"/>
        </w:rPr>
        <w:t>一、研究背景与假设</w:t>
      </w:r>
    </w:p>
    <w:p>
      <w:pPr>
        <w:spacing w:line="360" w:lineRule="auto" w:before="0" w:after="0"/>
        <w:jc w:val="left"/>
      </w:pPr>
      <w:r>
        <w:rPr>
          <w:rFonts w:ascii="楷体" w:hAnsi="楷体" w:eastAsia="楷体"/>
          <w:b w:val="0"/>
          <w:sz w:val="32"/>
        </w:rPr>
        <w:t>（一）研究背景</w:t>
      </w:r>
    </w:p>
    <w:p>
      <w:pPr>
        <w:spacing w:line="360" w:lineRule="auto" w:before="0" w:after="0"/>
      </w:pPr>
      <w:r>
        <w:rPr>
          <w:rFonts w:ascii="宋体" w:hAnsi="宋体" w:eastAsia="宋体"/>
          <w:b w:val="0"/>
          <w:sz w:val="24"/>
        </w:rPr>
        <w:t>截至2024年底，我国60岁及以上人口已达2.8亿，占总人口的19.8%，人口老龄化已成为影响国家发展全局的重大趋势。党的二十大报告明确提出"实施积极应对人口老龄化国家战略"，将增进老年人福祉纳入国家发展全局。在此背景下，深入理解老年人生活满意度——作为衡量主观福祉与社会适应水平的核心指标——的分布特征及其影响因素，对于制定精准化的老龄政策具有重要的理论与现实意义。</w:t>
      </w:r>
    </w:p>
    <w:p>
      <w:pPr>
        <w:spacing w:line="360" w:lineRule="auto" w:before="0" w:after="0"/>
      </w:pPr>
      <w:r>
        <w:rPr>
          <w:rFonts w:ascii="宋体" w:hAnsi="宋体" w:eastAsia="宋体"/>
          <w:b w:val="0"/>
          <w:sz w:val="24"/>
        </w:rPr>
        <w:t>生活满意度（Life Satisfaction）是老年人对其整体生活状况的主观认知评价，是主观幸福感的核心维度之一。已有研究表明，老年人的生活满意度受到健康状况、社会经济地位、社会支持网络、数字技术接入等多维因素的影响。然而，现有研究多聚焦于因果效应估计（如回归系数），对于生活满意度本身的分布特征——它是否服从某种统计分布？不同社会群体间的生活满意度分布是否同质？各因素如何形塑生活满意度的分布结构？——这些问题在方法论层面的系统检验仍相对薄弱。</w:t>
      </w:r>
    </w:p>
    <w:p>
      <w:pPr>
        <w:spacing w:line="360" w:lineRule="auto" w:before="0" w:after="0"/>
      </w:pPr>
      <w:r>
        <w:rPr>
          <w:rFonts w:ascii="宋体" w:hAnsi="宋体" w:eastAsia="宋体"/>
          <w:b w:val="0"/>
          <w:sz w:val="24"/>
        </w:rPr>
        <w:t>《统计建模技术Ⅱ》第九章系统介绍了总体分布的多种非参数检验方法，包括Kolmogorov-Smirnov检验（§9.1.1）、Pearson χ²拟合优度检验（§9.1.2）、Shapiro-Wilk检验（§9.1.3）以及双样本Kolmogorov-Smirnov检验（§9.3），为从"分布"视角审视生活满意度提供了完整的方法工具箱。第四章则深入阐述了Logistic回归模型的建模技术，可用于检验多因素对生活满意度的综合影响。本研究的核心创新在于以"分布特征"为分析主线，综合运用多重检验方法，从分布形态、组间差异、相关结构和综合影响四个层面，系统揭示老年人生活满意度的分布规律。</w:t>
      </w:r>
    </w:p>
    <w:p>
      <w:pPr>
        <w:spacing w:line="360" w:lineRule="auto" w:before="0" w:after="0"/>
        <w:jc w:val="left"/>
      </w:pPr>
      <w:r>
        <w:rPr>
          <w:rFonts w:ascii="楷体" w:hAnsi="楷体" w:eastAsia="楷体"/>
          <w:b w:val="0"/>
          <w:sz w:val="32"/>
        </w:rPr>
        <w:t>（二）研究假设</w:t>
      </w:r>
    </w:p>
    <w:p>
      <w:pPr>
        <w:spacing w:line="360" w:lineRule="auto" w:before="0" w:after="0"/>
      </w:pPr>
      <w:r>
        <w:rPr>
          <w:rFonts w:ascii="宋体" w:hAnsi="宋体" w:eastAsia="宋体"/>
          <w:b w:val="0"/>
          <w:sz w:val="24"/>
        </w:rPr>
        <w:t>基于既有文献、理论分析与方法特性，本研究从分布特征的四个层面提出以下六组核心假设：</w:t>
      </w:r>
    </w:p>
    <w:p>
      <w:pPr>
        <w:spacing w:line="360" w:lineRule="auto" w:before="0" w:after="0"/>
      </w:pPr>
      <w:r>
        <w:rPr>
          <w:rFonts w:ascii="宋体" w:hAnsi="宋体" w:eastAsia="宋体"/>
          <w:b w:val="0"/>
          <w:sz w:val="24"/>
        </w:rPr>
        <w:t>H1（非正态分布假设）：老年人的生活满意度分布不服从正态分布，呈现显著的有序偏态特征。这一假设的检验将为后续选择非参数方法提供方法论依据。</w:t>
      </w:r>
    </w:p>
    <w:p>
      <w:pPr>
        <w:spacing w:line="360" w:lineRule="auto" w:before="0" w:after="0"/>
      </w:pPr>
      <w:r>
        <w:rPr>
          <w:rFonts w:ascii="宋体" w:hAnsi="宋体" w:eastAsia="宋体"/>
          <w:b w:val="0"/>
          <w:sz w:val="24"/>
        </w:rPr>
        <w:t>H2（非均匀分布假设）：老年人的生活满意度各等级之间不服从均匀分布，呈现显著的结构性集中趋势——"比较满意"等级显著占据主导地位，验证生活满意度作为一种积极心理资源在老年群体中的普遍性。</w:t>
      </w:r>
    </w:p>
    <w:p>
      <w:pPr>
        <w:spacing w:line="360" w:lineRule="auto" w:before="0" w:after="0"/>
      </w:pPr>
      <w:r>
        <w:rPr>
          <w:rFonts w:ascii="宋体" w:hAnsi="宋体" w:eastAsia="宋体"/>
          <w:b w:val="0"/>
          <w:sz w:val="24"/>
        </w:rPr>
        <w:t>H3（健康驱动的分布分化假设）：自评健康好与自评健康差的老年人生活满意度总体分布存在显著差异，健康是生活满意度群体分化的核心驱动因素。</w:t>
      </w:r>
    </w:p>
    <w:p>
      <w:pPr>
        <w:spacing w:line="360" w:lineRule="auto" w:before="0" w:after="0"/>
      </w:pPr>
      <w:r>
        <w:rPr>
          <w:rFonts w:ascii="宋体" w:hAnsi="宋体" w:eastAsia="宋体"/>
          <w:b w:val="0"/>
          <w:sz w:val="24"/>
        </w:rPr>
        <w:t>H4（互联网接入的分布差异假设）：上网与不上网的老年人生活满意度总体分布存在显著差异，互联网使用与更高的生活满意度显著关联，但其效应量小于健康因素。</w:t>
      </w:r>
    </w:p>
    <w:p>
      <w:pPr>
        <w:spacing w:line="360" w:lineRule="auto" w:before="0" w:after="0"/>
      </w:pPr>
      <w:r>
        <w:rPr>
          <w:rFonts w:ascii="宋体" w:hAnsi="宋体" w:eastAsia="宋体"/>
          <w:b w:val="0"/>
          <w:sz w:val="24"/>
        </w:rPr>
        <w:t>H5（社会支持的分布差异假设）：有配偶与无配偶老年人在生活满意度分布上存在显著差异，婚姻关系作为一种亲密社会支持对老年生活福祉具有保护效应。</w:t>
      </w:r>
    </w:p>
    <w:p>
      <w:pPr>
        <w:spacing w:line="360" w:lineRule="auto" w:before="0" w:after="0"/>
      </w:pPr>
      <w:r>
        <w:rPr>
          <w:rFonts w:ascii="宋体" w:hAnsi="宋体" w:eastAsia="宋体"/>
          <w:b w:val="0"/>
          <w:sz w:val="24"/>
        </w:rPr>
        <w:t>H6（多重因素综合影响假设）：在控制多个协变量后，自评健康、婚姻状况、互联网使用、社交网络和文化程度等因素对生活不满意具有显著的独立预测作用，Logistic回归模型整体显著。</w:t>
      </w:r>
    </w:p>
    <w:p>
      <w:pPr>
        <w:spacing w:line="360" w:lineRule="auto" w:before="0" w:after="0"/>
        <w:jc w:val="left"/>
      </w:pPr>
      <w:r>
        <w:rPr>
          <w:rFonts w:ascii="黑体" w:hAnsi="黑体" w:eastAsia="黑体"/>
          <w:b w:val="0"/>
          <w:sz w:val="32"/>
        </w:rPr>
        <w:t>二、数据来源、变量与方法</w:t>
      </w:r>
    </w:p>
    <w:p>
      <w:pPr>
        <w:spacing w:line="360" w:lineRule="auto" w:before="0" w:after="0"/>
        <w:jc w:val="left"/>
      </w:pPr>
      <w:r>
        <w:rPr>
          <w:rFonts w:ascii="楷体" w:hAnsi="楷体" w:eastAsia="楷体"/>
          <w:b w:val="0"/>
          <w:sz w:val="32"/>
        </w:rPr>
        <w:t>（一）数据来源与样本</w:t>
      </w:r>
    </w:p>
    <w:p>
      <w:pPr>
        <w:spacing w:line="360" w:lineRule="auto" w:before="0" w:after="0"/>
      </w:pPr>
      <w:r>
        <w:rPr>
          <w:rFonts w:ascii="宋体" w:hAnsi="宋体" w:eastAsia="宋体"/>
          <w:b w:val="0"/>
          <w:sz w:val="24"/>
        </w:rPr>
        <w:t>本研究数据来源于中国老年社会追踪调查（China Longitudinal Aging Social Survey, CLASS）2020年公开数据。CLASS是由中国人民大学人口与发展研究中心主持的全国性、连续性大型社会调查项目，调查对象为中国大陆地区60周岁及以上的老年人。调查采用多阶段、与人口规模成比例的概率抽样（PPS）方法，全面覆盖城乡和不同社会经济背景的老年人。本研究使用经清洗后数据，最终纳入有效样本N=11,304，所有核心变量均无缺失值。</w:t>
      </w:r>
    </w:p>
    <w:p>
      <w:pPr>
        <w:spacing w:line="360" w:lineRule="auto" w:before="0" w:after="0"/>
        <w:jc w:val="left"/>
      </w:pPr>
      <w:r>
        <w:rPr>
          <w:rFonts w:ascii="楷体" w:hAnsi="楷体" w:eastAsia="楷体"/>
          <w:b w:val="0"/>
          <w:sz w:val="32"/>
        </w:rPr>
        <w:t>（二）核心变量定义</w:t>
      </w:r>
    </w:p>
    <w:p>
      <w:pPr>
        <w:spacing w:line="360" w:lineRule="auto" w:before="0" w:after="0"/>
      </w:pPr>
      <w:r>
        <w:rPr>
          <w:rFonts w:ascii="宋体" w:hAnsi="宋体" w:eastAsia="宋体"/>
          <w:b w:val="0"/>
          <w:sz w:val="24"/>
        </w:rPr>
        <w:t>因变量为生活满意度（B17题），原始题项为"总的来说，您对您目前的生活感到满意吗？"，采用5级Likert量表：1=很满意，2=比较满意，3=一般，4=比较不满意，5=很不满意。分值越低表示生活满意度越高。本研究同时构建二值变量"生活不满意"（将3-5级编码为1，1-2级编码为0）用于Logistic回归分析。</w:t>
      </w:r>
    </w:p>
    <w:p>
      <w:pPr>
        <w:spacing w:line="360" w:lineRule="auto" w:before="0" w:after="0"/>
      </w:pPr>
      <w:r>
        <w:rPr>
          <w:rFonts w:ascii="宋体" w:hAnsi="宋体" w:eastAsia="宋体"/>
          <w:b w:val="0"/>
          <w:sz w:val="24"/>
        </w:rPr>
        <w:t>核心自变量包括：性别（A1题，1=男/2=女，转换为0-1虚拟变量）、年龄（由A2出生年份推算，连续变量）、BMI（由身高B3-1和体重B3-2计算，kg/m²）、文化程度（A3题，1=不识字至7=本科及以上）、婚姻状况（A5题，派生"是否有配偶"二值变量）、自评健康（B1题，1=很健康至5=很不健康，同时构建"健康差"二值变量：3-5编码为1）、童年饥饿经历（B14题，清洗后1=否/2=是，转换0-1）、社交网络（D12_1题，一个月至少能与几个家人/亲戚见面或联系，0-5级有序变量）、是否上网（D18题，清洗后0=不上网/1=上网）、锻炼强度（由锻炼频度题项清洗为3级：1=低/2=中/3=高）。</w:t>
      </w:r>
    </w:p>
    <w:p>
      <w:pPr>
        <w:spacing w:line="360" w:lineRule="auto" w:before="0" w:after="0"/>
        <w:jc w:val="left"/>
      </w:pPr>
      <w:r>
        <w:rPr>
          <w:rFonts w:ascii="楷体" w:hAnsi="楷体" w:eastAsia="楷体"/>
          <w:b w:val="0"/>
          <w:sz w:val="32"/>
        </w:rPr>
        <w:t>（三）多重检验方法体系</w:t>
      </w:r>
    </w:p>
    <w:p>
      <w:pPr>
        <w:spacing w:line="360" w:lineRule="auto" w:before="0" w:after="0"/>
      </w:pPr>
      <w:r>
        <w:rPr>
          <w:rFonts w:ascii="宋体" w:hAnsi="宋体" w:eastAsia="宋体"/>
          <w:b w:val="0"/>
          <w:sz w:val="24"/>
        </w:rPr>
        <w:t>本研究构建了四层递进的多重检验体系，各层方法均来自《统计建模技术Ⅱ》教材：</w:t>
      </w:r>
    </w:p>
    <w:p>
      <w:pPr>
        <w:spacing w:line="360" w:lineRule="auto" w:before="0" w:after="0"/>
      </w:pPr>
      <w:r>
        <w:rPr>
          <w:rFonts w:ascii="宋体" w:hAnsi="宋体" w:eastAsia="宋体"/>
          <w:b w:val="0"/>
          <w:sz w:val="24"/>
        </w:rPr>
        <w:t>第一层——总体分布形态检验（第九章§9.1.1-§9.1.3）：运用Kolmogorov-Smirnov单样本检验（检验生活满意度是否服从均匀分布和正态分布）、Pearson χ²拟合优度检验（检验各等级是否均匀分布）和Shapiro-Wilk检验（检验正态性），从多个角度判断生活满意度的总体分布形态。</w:t>
      </w:r>
    </w:p>
    <w:p>
      <w:pPr>
        <w:spacing w:line="360" w:lineRule="auto" w:before="0" w:after="0"/>
      </w:pPr>
      <w:r>
        <w:rPr>
          <w:rFonts w:ascii="宋体" w:hAnsi="宋体" w:eastAsia="宋体"/>
          <w:b w:val="0"/>
          <w:sz w:val="24"/>
        </w:rPr>
        <w:t>第二层——群体间分布差异检验（第九章§9.3及补充方法）：运用双样本Kolmogorov-Smirnov检验比较不同分组（上网/不上网、男/女、健康好/差、有/无配偶等）的生活满意度总体分布是否同质；辅以Wilcoxon秩和检验（两独立样本）和Kruskal-Wallis H检验（多独立样本），比较各组生活满意度的位置参数差异。</w:t>
      </w:r>
    </w:p>
    <w:p>
      <w:pPr>
        <w:spacing w:line="360" w:lineRule="auto" w:before="0" w:after="0"/>
      </w:pPr>
      <w:r>
        <w:rPr>
          <w:rFonts w:ascii="宋体" w:hAnsi="宋体" w:eastAsia="宋体"/>
          <w:b w:val="0"/>
          <w:sz w:val="24"/>
        </w:rPr>
        <w:t>第三层——相关结构分析（Spearman秩相关）：利用Spearman秩相关系数矩阵，刻画生活满意度与各影响因素之间的单调相关方向与强度，揭示变量间的关联结构。</w:t>
      </w:r>
    </w:p>
    <w:p>
      <w:pPr>
        <w:spacing w:line="360" w:lineRule="auto" w:before="0" w:after="0"/>
      </w:pPr>
      <w:r>
        <w:rPr>
          <w:rFonts w:ascii="宋体" w:hAnsi="宋体" w:eastAsia="宋体"/>
          <w:b w:val="0"/>
          <w:sz w:val="24"/>
        </w:rPr>
        <w:t>第四层——综合影响因素建模（第四章Logistic回归）：构建二元Logistic回归模型，以"生活不满意"为因变量，纳入全部核心自变量，采用Wald检验判断单变量显著性，似然比检验（LR test）判断模型整体显著性，并报告优势比（OR）及其95%置信区间。所有检验的显著性水平设为α=0.05。分析基于Python 3.13完成。</w:t>
      </w:r>
    </w:p>
    <w:p>
      <w:pPr>
        <w:spacing w:line="360" w:lineRule="auto" w:before="0" w:after="0"/>
        <w:jc w:val="left"/>
      </w:pPr>
      <w:r>
        <w:rPr>
          <w:rFonts w:ascii="楷体" w:hAnsi="楷体" w:eastAsia="楷体"/>
          <w:b w:val="0"/>
          <w:sz w:val="32"/>
        </w:rPr>
        <w:t>（四）样本描述性统计</w:t>
      </w:r>
    </w:p>
    <w:p>
      <w:pPr>
        <w:spacing w:line="360" w:lineRule="auto" w:before="0" w:after="0"/>
      </w:pPr>
      <w:r>
        <w:rPr>
          <w:rFonts w:ascii="宋体" w:hAnsi="宋体" w:eastAsia="宋体"/>
          <w:b w:val="0"/>
          <w:sz w:val="24"/>
        </w:rPr>
        <w:t>样本共计N=11,304人。生活满意度均值为2.28（SD=0.89），偏度=0.61，峰度=0.34，表明分布呈右偏态（更多观测集中在低分值即满意端）。65.4%的老年人表示满意（1-2级），34.6%表示不满意（3-5级）。"比较满意"（2级）占比最高，达47.9%，"很不满意"占比最低，仅1.7%。整体上，老年群体生活满意度处于中上水平，但仍有超过三分之一的老年人对生活感到不满意或一般，值得深入关注。</w:t>
      </w:r>
    </w:p>
    <w:p>
      <w:pPr>
        <w:spacing w:line="360" w:lineRule="auto" w:before="0" w:after="0"/>
        <w:jc w:val="center"/>
      </w:pPr>
      <w:r>
        <w:rPr>
          <w:rFonts w:ascii="宋体" w:hAnsi="宋体" w:eastAsia="宋体"/>
          <w:b w:val="0"/>
          <w:sz w:val="24"/>
        </w:rPr>
        <w:t>表1  生活满意度等级分布（N=11,304）</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sz w:val="21"/>
              </w:rPr>
              <w:t>等级</w:t>
            </w:r>
          </w:p>
        </w:tc>
        <w:tc>
          <w:tcPr>
            <w:tcW w:type="dxa" w:w="1814"/>
          </w:tcPr>
          <w:p>
            <w:pPr>
              <w:jc w:val="center"/>
            </w:pPr>
            <w:r/>
            <w:r>
              <w:rPr>
                <w:rFonts w:ascii="宋体" w:hAnsi="宋体" w:eastAsia="宋体"/>
                <w:b/>
                <w:sz w:val="21"/>
              </w:rPr>
              <w:t>类别</w:t>
            </w:r>
          </w:p>
        </w:tc>
        <w:tc>
          <w:tcPr>
            <w:tcW w:type="dxa" w:w="1814"/>
          </w:tcPr>
          <w:p>
            <w:pPr>
              <w:jc w:val="center"/>
            </w:pPr>
            <w:r/>
            <w:r>
              <w:rPr>
                <w:rFonts w:ascii="宋体" w:hAnsi="宋体" w:eastAsia="宋体"/>
                <w:b/>
                <w:sz w:val="21"/>
              </w:rPr>
              <w:t>频数</w:t>
            </w:r>
          </w:p>
        </w:tc>
        <w:tc>
          <w:tcPr>
            <w:tcW w:type="dxa" w:w="1814"/>
          </w:tcPr>
          <w:p>
            <w:pPr>
              <w:jc w:val="center"/>
            </w:pPr>
            <w:r/>
            <w:r>
              <w:rPr>
                <w:rFonts w:ascii="宋体" w:hAnsi="宋体" w:eastAsia="宋体"/>
                <w:b/>
                <w:sz w:val="21"/>
              </w:rPr>
              <w:t>百分比(%)</w:t>
            </w:r>
          </w:p>
        </w:tc>
        <w:tc>
          <w:tcPr>
            <w:tcW w:type="dxa" w:w="1814"/>
          </w:tcPr>
          <w:p>
            <w:pPr>
              <w:jc w:val="center"/>
            </w:pPr>
            <w:r/>
            <w:r>
              <w:rPr>
                <w:rFonts w:ascii="宋体" w:hAnsi="宋体" w:eastAsia="宋体"/>
                <w:b/>
                <w:sz w:val="21"/>
              </w:rPr>
              <w:t>累计百分比(%)</w:t>
            </w:r>
          </w:p>
        </w:tc>
      </w:tr>
      <w:tr>
        <w:tc>
          <w:tcPr>
            <w:tcW w:type="dxa" w:w="1814"/>
          </w:tcPr>
          <w:p>
            <w:pPr>
              <w:jc w:val="center"/>
            </w:pPr>
            <w:r/>
            <w:r>
              <w:rPr>
                <w:rFonts w:ascii="宋体" w:hAnsi="宋体" w:eastAsia="宋体"/>
                <w:sz w:val="21"/>
              </w:rPr>
              <w:t>1</w:t>
            </w:r>
          </w:p>
        </w:tc>
        <w:tc>
          <w:tcPr>
            <w:tcW w:type="dxa" w:w="1814"/>
          </w:tcPr>
          <w:p>
            <w:pPr>
              <w:jc w:val="center"/>
            </w:pPr>
            <w:r/>
            <w:r>
              <w:rPr>
                <w:rFonts w:ascii="宋体" w:hAnsi="宋体" w:eastAsia="宋体"/>
                <w:sz w:val="21"/>
              </w:rPr>
              <w:t>很满意</w:t>
            </w:r>
          </w:p>
        </w:tc>
        <w:tc>
          <w:tcPr>
            <w:tcW w:type="dxa" w:w="1814"/>
          </w:tcPr>
          <w:p>
            <w:pPr>
              <w:jc w:val="center"/>
            </w:pPr>
            <w:r/>
            <w:r>
              <w:rPr>
                <w:rFonts w:ascii="宋体" w:hAnsi="宋体" w:eastAsia="宋体"/>
                <w:sz w:val="21"/>
              </w:rPr>
              <w:t>1979</w:t>
            </w:r>
          </w:p>
        </w:tc>
        <w:tc>
          <w:tcPr>
            <w:tcW w:type="dxa" w:w="1814"/>
          </w:tcPr>
          <w:p>
            <w:pPr>
              <w:jc w:val="center"/>
            </w:pPr>
            <w:r/>
            <w:r>
              <w:rPr>
                <w:rFonts w:ascii="宋体" w:hAnsi="宋体" w:eastAsia="宋体"/>
                <w:sz w:val="21"/>
              </w:rPr>
              <w:t>17.5</w:t>
            </w:r>
          </w:p>
        </w:tc>
        <w:tc>
          <w:tcPr>
            <w:tcW w:type="dxa" w:w="1814"/>
          </w:tcPr>
          <w:p>
            <w:pPr>
              <w:jc w:val="center"/>
            </w:pPr>
            <w:r/>
            <w:r>
              <w:rPr>
                <w:rFonts w:ascii="宋体" w:hAnsi="宋体" w:eastAsia="宋体"/>
                <w:sz w:val="21"/>
              </w:rPr>
              <w:t>17.5</w:t>
            </w:r>
          </w:p>
        </w:tc>
      </w:tr>
      <w:tr>
        <w:tc>
          <w:tcPr>
            <w:tcW w:type="dxa" w:w="1814"/>
          </w:tcPr>
          <w:p>
            <w:pPr>
              <w:jc w:val="center"/>
            </w:pPr>
            <w:r/>
            <w:r>
              <w:rPr>
                <w:rFonts w:ascii="宋体" w:hAnsi="宋体" w:eastAsia="宋体"/>
                <w:sz w:val="21"/>
              </w:rPr>
              <w:t>2</w:t>
            </w:r>
          </w:p>
        </w:tc>
        <w:tc>
          <w:tcPr>
            <w:tcW w:type="dxa" w:w="1814"/>
          </w:tcPr>
          <w:p>
            <w:pPr>
              <w:jc w:val="center"/>
            </w:pPr>
            <w:r/>
            <w:r>
              <w:rPr>
                <w:rFonts w:ascii="宋体" w:hAnsi="宋体" w:eastAsia="宋体"/>
                <w:sz w:val="21"/>
              </w:rPr>
              <w:t>比较满意</w:t>
            </w:r>
          </w:p>
        </w:tc>
        <w:tc>
          <w:tcPr>
            <w:tcW w:type="dxa" w:w="1814"/>
          </w:tcPr>
          <w:p>
            <w:pPr>
              <w:jc w:val="center"/>
            </w:pPr>
            <w:r/>
            <w:r>
              <w:rPr>
                <w:rFonts w:ascii="宋体" w:hAnsi="宋体" w:eastAsia="宋体"/>
                <w:sz w:val="21"/>
              </w:rPr>
              <w:t>5413</w:t>
            </w:r>
          </w:p>
        </w:tc>
        <w:tc>
          <w:tcPr>
            <w:tcW w:type="dxa" w:w="1814"/>
          </w:tcPr>
          <w:p>
            <w:pPr>
              <w:jc w:val="center"/>
            </w:pPr>
            <w:r/>
            <w:r>
              <w:rPr>
                <w:rFonts w:ascii="宋体" w:hAnsi="宋体" w:eastAsia="宋体"/>
                <w:sz w:val="21"/>
              </w:rPr>
              <w:t>47.9</w:t>
            </w:r>
          </w:p>
        </w:tc>
        <w:tc>
          <w:tcPr>
            <w:tcW w:type="dxa" w:w="1814"/>
          </w:tcPr>
          <w:p>
            <w:pPr>
              <w:jc w:val="center"/>
            </w:pPr>
            <w:r/>
            <w:r>
              <w:rPr>
                <w:rFonts w:ascii="宋体" w:hAnsi="宋体" w:eastAsia="宋体"/>
                <w:sz w:val="21"/>
              </w:rPr>
              <w:t>65.4</w:t>
            </w:r>
          </w:p>
        </w:tc>
      </w:tr>
      <w:tr>
        <w:tc>
          <w:tcPr>
            <w:tcW w:type="dxa" w:w="1814"/>
          </w:tcPr>
          <w:p>
            <w:pPr>
              <w:jc w:val="center"/>
            </w:pPr>
            <w:r/>
            <w:r>
              <w:rPr>
                <w:rFonts w:ascii="宋体" w:hAnsi="宋体" w:eastAsia="宋体"/>
                <w:sz w:val="21"/>
              </w:rPr>
              <w:t>3</w:t>
            </w:r>
          </w:p>
        </w:tc>
        <w:tc>
          <w:tcPr>
            <w:tcW w:type="dxa" w:w="1814"/>
          </w:tcPr>
          <w:p>
            <w:pPr>
              <w:jc w:val="center"/>
            </w:pPr>
            <w:r/>
            <w:r>
              <w:rPr>
                <w:rFonts w:ascii="宋体" w:hAnsi="宋体" w:eastAsia="宋体"/>
                <w:sz w:val="21"/>
              </w:rPr>
              <w:t>一般</w:t>
            </w:r>
          </w:p>
        </w:tc>
        <w:tc>
          <w:tcPr>
            <w:tcW w:type="dxa" w:w="1814"/>
          </w:tcPr>
          <w:p>
            <w:pPr>
              <w:jc w:val="center"/>
            </w:pPr>
            <w:r/>
            <w:r>
              <w:rPr>
                <w:rFonts w:ascii="宋体" w:hAnsi="宋体" w:eastAsia="宋体"/>
                <w:sz w:val="21"/>
              </w:rPr>
              <w:t>2914</w:t>
            </w:r>
          </w:p>
        </w:tc>
        <w:tc>
          <w:tcPr>
            <w:tcW w:type="dxa" w:w="1814"/>
          </w:tcPr>
          <w:p>
            <w:pPr>
              <w:jc w:val="center"/>
            </w:pPr>
            <w:r/>
            <w:r>
              <w:rPr>
                <w:rFonts w:ascii="宋体" w:hAnsi="宋体" w:eastAsia="宋体"/>
                <w:sz w:val="21"/>
              </w:rPr>
              <w:t>25.8</w:t>
            </w:r>
          </w:p>
        </w:tc>
        <w:tc>
          <w:tcPr>
            <w:tcW w:type="dxa" w:w="1814"/>
          </w:tcPr>
          <w:p>
            <w:pPr>
              <w:jc w:val="center"/>
            </w:pPr>
            <w:r/>
            <w:r>
              <w:rPr>
                <w:rFonts w:ascii="宋体" w:hAnsi="宋体" w:eastAsia="宋体"/>
                <w:sz w:val="21"/>
              </w:rPr>
              <w:t>91.2</w:t>
            </w:r>
          </w:p>
        </w:tc>
      </w:tr>
      <w:tr>
        <w:tc>
          <w:tcPr>
            <w:tcW w:type="dxa" w:w="1814"/>
          </w:tcPr>
          <w:p>
            <w:pPr>
              <w:jc w:val="center"/>
            </w:pPr>
            <w:r/>
            <w:r>
              <w:rPr>
                <w:rFonts w:ascii="宋体" w:hAnsi="宋体" w:eastAsia="宋体"/>
                <w:sz w:val="21"/>
              </w:rPr>
              <w:t>4</w:t>
            </w:r>
          </w:p>
        </w:tc>
        <w:tc>
          <w:tcPr>
            <w:tcW w:type="dxa" w:w="1814"/>
          </w:tcPr>
          <w:p>
            <w:pPr>
              <w:jc w:val="center"/>
            </w:pPr>
            <w:r/>
            <w:r>
              <w:rPr>
                <w:rFonts w:ascii="宋体" w:hAnsi="宋体" w:eastAsia="宋体"/>
                <w:sz w:val="21"/>
              </w:rPr>
              <w:t>比较不满意</w:t>
            </w:r>
          </w:p>
        </w:tc>
        <w:tc>
          <w:tcPr>
            <w:tcW w:type="dxa" w:w="1814"/>
          </w:tcPr>
          <w:p>
            <w:pPr>
              <w:jc w:val="center"/>
            </w:pPr>
            <w:r/>
            <w:r>
              <w:rPr>
                <w:rFonts w:ascii="宋体" w:hAnsi="宋体" w:eastAsia="宋体"/>
                <w:sz w:val="21"/>
              </w:rPr>
              <w:t>803</w:t>
            </w:r>
          </w:p>
        </w:tc>
        <w:tc>
          <w:tcPr>
            <w:tcW w:type="dxa" w:w="1814"/>
          </w:tcPr>
          <w:p>
            <w:pPr>
              <w:jc w:val="center"/>
            </w:pPr>
            <w:r/>
            <w:r>
              <w:rPr>
                <w:rFonts w:ascii="宋体" w:hAnsi="宋体" w:eastAsia="宋体"/>
                <w:sz w:val="21"/>
              </w:rPr>
              <w:t>7.1</w:t>
            </w:r>
          </w:p>
        </w:tc>
        <w:tc>
          <w:tcPr>
            <w:tcW w:type="dxa" w:w="1814"/>
          </w:tcPr>
          <w:p>
            <w:pPr>
              <w:jc w:val="center"/>
            </w:pPr>
            <w:r/>
            <w:r>
              <w:rPr>
                <w:rFonts w:ascii="宋体" w:hAnsi="宋体" w:eastAsia="宋体"/>
                <w:sz w:val="21"/>
              </w:rPr>
              <w:t>98.3</w:t>
            </w:r>
          </w:p>
        </w:tc>
      </w:tr>
      <w:tr>
        <w:tc>
          <w:tcPr>
            <w:tcW w:type="dxa" w:w="1814"/>
          </w:tcPr>
          <w:p>
            <w:pPr>
              <w:jc w:val="center"/>
            </w:pPr>
            <w:r/>
            <w:r>
              <w:rPr>
                <w:rFonts w:ascii="宋体" w:hAnsi="宋体" w:eastAsia="宋体"/>
                <w:sz w:val="21"/>
              </w:rPr>
              <w:t>5</w:t>
            </w:r>
          </w:p>
        </w:tc>
        <w:tc>
          <w:tcPr>
            <w:tcW w:type="dxa" w:w="1814"/>
          </w:tcPr>
          <w:p>
            <w:pPr>
              <w:jc w:val="center"/>
            </w:pPr>
            <w:r/>
            <w:r>
              <w:rPr>
                <w:rFonts w:ascii="宋体" w:hAnsi="宋体" w:eastAsia="宋体"/>
                <w:sz w:val="21"/>
              </w:rPr>
              <w:t>很不满意</w:t>
            </w:r>
          </w:p>
        </w:tc>
        <w:tc>
          <w:tcPr>
            <w:tcW w:type="dxa" w:w="1814"/>
          </w:tcPr>
          <w:p>
            <w:pPr>
              <w:jc w:val="center"/>
            </w:pPr>
            <w:r/>
            <w:r>
              <w:rPr>
                <w:rFonts w:ascii="宋体" w:hAnsi="宋体" w:eastAsia="宋体"/>
                <w:sz w:val="21"/>
              </w:rPr>
              <w:t>195</w:t>
            </w:r>
          </w:p>
        </w:tc>
        <w:tc>
          <w:tcPr>
            <w:tcW w:type="dxa" w:w="1814"/>
          </w:tcPr>
          <w:p>
            <w:pPr>
              <w:jc w:val="center"/>
            </w:pPr>
            <w:r/>
            <w:r>
              <w:rPr>
                <w:rFonts w:ascii="宋体" w:hAnsi="宋体" w:eastAsia="宋体"/>
                <w:sz w:val="21"/>
              </w:rPr>
              <w:t>1.7</w:t>
            </w:r>
          </w:p>
        </w:tc>
        <w:tc>
          <w:tcPr>
            <w:tcW w:type="dxa" w:w="1814"/>
          </w:tcPr>
          <w:p>
            <w:pPr>
              <w:jc w:val="center"/>
            </w:pPr>
            <w:r/>
            <w:r>
              <w:rPr>
                <w:rFonts w:ascii="宋体" w:hAnsi="宋体" w:eastAsia="宋体"/>
                <w:sz w:val="21"/>
              </w:rPr>
              <w:t>100.0</w:t>
            </w:r>
          </w:p>
        </w:tc>
      </w:tr>
    </w:tbl>
    <w:p>
      <w:pPr>
        <w:spacing w:line="360" w:lineRule="auto" w:before="0" w:after="0"/>
      </w:pPr>
      <w:r>
        <w:rPr>
          <w:rFonts w:ascii="宋体" w:hAnsi="宋体" w:eastAsia="宋体"/>
          <w:b w:val="0"/>
          <w:sz w:val="24"/>
        </w:rPr>
      </w:r>
    </w:p>
    <w:p>
      <w:pPr>
        <w:jc w:val="center"/>
      </w:pPr>
      <w:r>
        <w:drawing>
          <wp:inline xmlns:a="http://schemas.openxmlformats.org/drawingml/2006/main" xmlns:pic="http://schemas.openxmlformats.org/drawingml/2006/picture">
            <wp:extent cx="5029200" cy="2205737"/>
            <wp:docPr id="1" name="Picture 1"/>
            <wp:cNvGraphicFramePr>
              <a:graphicFrameLocks noChangeAspect="1"/>
            </wp:cNvGraphicFramePr>
            <a:graphic>
              <a:graphicData uri="http://schemas.openxmlformats.org/drawingml/2006/picture">
                <pic:pic>
                  <pic:nvPicPr>
                    <pic:cNvPr id="0" name="fig1_ls_dist.png"/>
                    <pic:cNvPicPr/>
                  </pic:nvPicPr>
                  <pic:blipFill>
                    <a:blip r:embed="rId9"/>
                    <a:stretch>
                      <a:fillRect/>
                    </a:stretch>
                  </pic:blipFill>
                  <pic:spPr>
                    <a:xfrm>
                      <a:off x="0" y="0"/>
                      <a:ext cx="5029200" cy="2205737"/>
                    </a:xfrm>
                    <a:prstGeom prst="rect"/>
                  </pic:spPr>
                </pic:pic>
              </a:graphicData>
            </a:graphic>
          </wp:inline>
        </w:drawing>
      </w:r>
    </w:p>
    <w:p>
      <w:pPr>
        <w:spacing w:line="360" w:lineRule="auto" w:before="0" w:after="0"/>
        <w:jc w:val="center"/>
      </w:pPr>
      <w:r>
        <w:rPr>
          <w:rFonts w:ascii="宋体" w:hAnsi="宋体" w:eastAsia="宋体"/>
          <w:b w:val="0"/>
          <w:sz w:val="24"/>
        </w:rPr>
        <w:t>图1  老年人生活满意度等级分布（饼图与柱状图）</w:t>
      </w:r>
    </w:p>
    <w:p>
      <w:pPr>
        <w:spacing w:line="360" w:lineRule="auto" w:before="0" w:after="0"/>
        <w:jc w:val="left"/>
      </w:pPr>
      <w:r>
        <w:rPr>
          <w:rFonts w:ascii="黑体" w:hAnsi="黑体" w:eastAsia="黑体"/>
          <w:b w:val="0"/>
          <w:sz w:val="32"/>
        </w:rPr>
        <w:t>三、生活满意度分布特征的多重检验——第九章方法应用</w:t>
      </w:r>
    </w:p>
    <w:p>
      <w:pPr>
        <w:spacing w:line="360" w:lineRule="auto" w:before="0" w:after="0"/>
      </w:pPr>
      <w:r>
        <w:rPr>
          <w:rFonts w:ascii="宋体" w:hAnsi="宋体" w:eastAsia="宋体"/>
          <w:b w:val="0"/>
          <w:sz w:val="24"/>
        </w:rPr>
        <w:t>本章为报告的核心分析部分，以《统计建模技术Ⅱ》第九章的分布检验方法为主体工具，依次从总体分布形态、群体间分布差异和秩检验三个层面，系统揭示老年人生活满意度的分布特征。</w:t>
      </w:r>
    </w:p>
    <w:p>
      <w:pPr>
        <w:spacing w:line="360" w:lineRule="auto" w:before="0" w:after="0"/>
        <w:jc w:val="left"/>
      </w:pPr>
      <w:r>
        <w:rPr>
          <w:rFonts w:ascii="楷体" w:hAnsi="楷体" w:eastAsia="楷体"/>
          <w:b w:val="0"/>
          <w:sz w:val="32"/>
        </w:rPr>
        <w:t>（一）总体分布形态检验：正态性与均匀性（§9.1.1-§9.1.3）</w:t>
      </w:r>
    </w:p>
    <w:p>
      <w:pPr>
        <w:spacing w:line="360" w:lineRule="auto" w:before="0" w:after="0"/>
      </w:pPr>
      <w:r>
        <w:rPr>
          <w:rFonts w:ascii="宋体" w:hAnsi="宋体" w:eastAsia="宋体"/>
          <w:b w:val="0"/>
          <w:sz w:val="24"/>
        </w:rPr>
        <w:t>任何统计推断的有效性都建立在对数据分布特征的准确理解之上。本节运用三种互补的分布检验方法，从不同角度检验生活满意度的总体分布形态，为后续方法选择提供实证依据。</w:t>
      </w:r>
    </w:p>
    <w:p>
      <w:pPr>
        <w:spacing w:line="360" w:lineRule="auto" w:before="0" w:after="0"/>
        <w:jc w:val="left"/>
      </w:pPr>
      <w:r>
        <w:rPr>
          <w:rFonts w:ascii="宋体" w:hAnsi="宋体" w:eastAsia="宋体"/>
          <w:b w:val="0"/>
          <w:sz w:val="28"/>
        </w:rPr>
        <w:t>1. Kolmogorov-Smirnov单样本检验（§9.1.1）</w:t>
      </w:r>
    </w:p>
    <w:p>
      <w:pPr>
        <w:spacing w:line="360" w:lineRule="auto" w:before="0" w:after="0"/>
      </w:pPr>
      <w:r>
        <w:rPr>
          <w:rFonts w:ascii="宋体" w:hAnsi="宋体" w:eastAsia="宋体"/>
          <w:b w:val="0"/>
          <w:sz w:val="24"/>
        </w:rPr>
        <w:t>K-S检验的基本思想是将样本经验分布函数S(x)与理论分布F₀(x)进行比较，以最大绝对差值D=sup|S(x)-F₀(x)|为检验统计量。原假设H₀为：样本来自该理论分布。本研究分别检验生活满意度是否服从均匀分布U(1,5)和正态分布N(μ=2.28, σ=0.89)。</w:t>
      </w:r>
    </w:p>
    <w:p>
      <w:pPr>
        <w:spacing w:line="360" w:lineRule="auto" w:before="0" w:after="0"/>
      </w:pPr>
      <w:r>
        <w:rPr>
          <w:rFonts w:ascii="宋体" w:hAnsi="宋体" w:eastAsia="宋体"/>
          <w:b w:val="0"/>
          <w:sz w:val="24"/>
        </w:rPr>
        <w:t>检验结果：vs均匀分布U(1,5)的D=0.4117，p&lt;0.001；vs正态分布的D=0.2756，p&lt;0.001。在α=0.05水平下，生活满意度既拒绝均匀分布原假设，也拒绝正态分布原假设。D值的大小（0.412 vs 0.276）表明，生活满意度分布偏离均匀分布的程度大于偏离正态分布的程度——换言之，其分布形态虽然不满足正态性，但相较于完全均匀分布，更接近于正态形态。</w:t>
      </w:r>
    </w:p>
    <w:p>
      <w:pPr>
        <w:spacing w:line="360" w:lineRule="auto" w:before="0" w:after="0"/>
        <w:jc w:val="left"/>
      </w:pPr>
      <w:r>
        <w:rPr>
          <w:rFonts w:ascii="宋体" w:hAnsi="宋体" w:eastAsia="宋体"/>
          <w:b w:val="0"/>
          <w:sz w:val="28"/>
        </w:rPr>
        <w:t>2. Pearson χ²拟合优度检验（§9.1.2）</w:t>
      </w:r>
    </w:p>
    <w:p>
      <w:pPr>
        <w:spacing w:line="360" w:lineRule="auto" w:before="0" w:after="0"/>
      </w:pPr>
      <w:r>
        <w:rPr>
          <w:rFonts w:ascii="宋体" w:hAnsi="宋体" w:eastAsia="宋体"/>
          <w:b w:val="0"/>
          <w:sz w:val="24"/>
        </w:rPr>
        <w:t>Pearson χ²拟合优度检验利用观测频数与理论期望频数的差值构造检验统计量Q=Σ(Oᵢ-Eᵢ)²/Eᵢ，原假设为各等级服从均匀分布（每等级期望频数=11,304/5=2,260.8）。</w:t>
      </w:r>
    </w:p>
    <w:p>
      <w:pPr>
        <w:spacing w:line="360" w:lineRule="auto" w:before="0" w:after="0"/>
      </w:pPr>
      <w:r>
        <w:rPr>
          <w:rFonts w:ascii="宋体" w:hAnsi="宋体" w:eastAsia="宋体"/>
          <w:b w:val="0"/>
          <w:sz w:val="24"/>
        </w:rPr>
        <w:t>检验结果：χ²=7446.5，自由度df=4，p&lt;0.001。在α=0.05下，临界值χ²₀.₀₅(4)=9.49，检验统计量远大于临界值，有充分证据拒绝均匀分布原假设。观测数据显示，"比较满意"（2级）的观测频数（5413）是均匀期望频数（2261）的2.4倍，而"很不满意"（5级）的观测频数（195）仅为期望频数的9%。→ H2得到充分验证。</w:t>
      </w:r>
    </w:p>
    <w:p>
      <w:pPr>
        <w:jc w:val="center"/>
      </w:pPr>
      <w:r>
        <w:drawing>
          <wp:inline xmlns:a="http://schemas.openxmlformats.org/drawingml/2006/main" xmlns:pic="http://schemas.openxmlformats.org/drawingml/2006/picture">
            <wp:extent cx="5029200" cy="2228279"/>
            <wp:docPr id="2" name="Picture 2"/>
            <wp:cNvGraphicFramePr>
              <a:graphicFrameLocks noChangeAspect="1"/>
            </wp:cNvGraphicFramePr>
            <a:graphic>
              <a:graphicData uri="http://schemas.openxmlformats.org/drawingml/2006/picture">
                <pic:pic>
                  <pic:nvPicPr>
                    <pic:cNvPr id="0" name="fig_pearson_chi2.png"/>
                    <pic:cNvPicPr/>
                  </pic:nvPicPr>
                  <pic:blipFill>
                    <a:blip r:embed="rId10"/>
                    <a:stretch>
                      <a:fillRect/>
                    </a:stretch>
                  </pic:blipFill>
                  <pic:spPr>
                    <a:xfrm>
                      <a:off x="0" y="0"/>
                      <a:ext cx="5029200" cy="2228279"/>
                    </a:xfrm>
                    <a:prstGeom prst="rect"/>
                  </pic:spPr>
                </pic:pic>
              </a:graphicData>
            </a:graphic>
          </wp:inline>
        </w:drawing>
      </w:r>
    </w:p>
    <w:p>
      <w:pPr>
        <w:spacing w:line="360" w:lineRule="auto" w:before="0" w:after="0"/>
        <w:jc w:val="center"/>
      </w:pPr>
      <w:r>
        <w:rPr>
          <w:rFonts w:ascii="宋体" w:hAnsi="宋体" w:eastAsia="宋体"/>
          <w:b w:val="0"/>
          <w:sz w:val="24"/>
        </w:rPr>
        <w:t>图2  Pearson χ²拟合优度检验：观测频数 vs 期望频数及各等级χ²贡献</w:t>
      </w:r>
    </w:p>
    <w:p>
      <w:pPr>
        <w:spacing w:line="360" w:lineRule="auto" w:before="0" w:after="0"/>
        <w:jc w:val="left"/>
      </w:pPr>
      <w:r>
        <w:rPr>
          <w:rFonts w:ascii="宋体" w:hAnsi="宋体" w:eastAsia="宋体"/>
          <w:b w:val="0"/>
          <w:sz w:val="28"/>
        </w:rPr>
        <w:t>3. Shapiro-Wilk正态性检验（§9.1.3）</w:t>
      </w:r>
    </w:p>
    <w:p>
      <w:pPr>
        <w:spacing w:line="360" w:lineRule="auto" w:before="0" w:after="0"/>
      </w:pPr>
      <w:r>
        <w:rPr>
          <w:rFonts w:ascii="宋体" w:hAnsi="宋体" w:eastAsia="宋体"/>
          <w:b w:val="0"/>
          <w:sz w:val="24"/>
        </w:rPr>
        <w:t>Shapiro-Wilk检验（W检验）在许多情形下比K-S检验和Pearson χ²检验具有更高的正态性检验功效。W统计量越接近1，越支持正态性。原假设H₀：总体分布为正态分布。</w:t>
      </w:r>
    </w:p>
    <w:p>
      <w:pPr>
        <w:spacing w:line="360" w:lineRule="auto" w:before="0" w:after="0"/>
      </w:pPr>
      <w:r>
        <w:rPr>
          <w:rFonts w:ascii="宋体" w:hAnsi="宋体" w:eastAsia="宋体"/>
          <w:b w:val="0"/>
          <w:sz w:val="24"/>
        </w:rPr>
        <w:t>检验结果：W=0.8635，p&lt;0.001，在α=0.05水平下拒绝正态分布原假设。W值（0.864）显著偏离1，结合偏度（0.61）和峰度（0.34），表明生活满意度分布呈现显著的右偏态特征——多数老年人的满意度集中在"比较满意"一端，少数分布在"很不满意"的极端。→ H1得到验证，为后续选择非参数检验方法提供了充分的方法学依据。</w:t>
      </w:r>
    </w:p>
    <w:p>
      <w:pPr>
        <w:jc w:val="center"/>
      </w:pPr>
      <w:r>
        <w:drawing>
          <wp:inline xmlns:a="http://schemas.openxmlformats.org/drawingml/2006/main" xmlns:pic="http://schemas.openxmlformats.org/drawingml/2006/picture">
            <wp:extent cx="5029200" cy="2701971"/>
            <wp:docPr id="3" name="Picture 3"/>
            <wp:cNvGraphicFramePr>
              <a:graphicFrameLocks noChangeAspect="1"/>
            </wp:cNvGraphicFramePr>
            <a:graphic>
              <a:graphicData uri="http://schemas.openxmlformats.org/drawingml/2006/picture">
                <pic:pic>
                  <pic:nvPicPr>
                    <pic:cNvPr id="0" name="fig_shapiro_wilk.png"/>
                    <pic:cNvPicPr/>
                  </pic:nvPicPr>
                  <pic:blipFill>
                    <a:blip r:embed="rId11"/>
                    <a:stretch>
                      <a:fillRect/>
                    </a:stretch>
                  </pic:blipFill>
                  <pic:spPr>
                    <a:xfrm>
                      <a:off x="0" y="0"/>
                      <a:ext cx="5029200" cy="2701971"/>
                    </a:xfrm>
                    <a:prstGeom prst="rect"/>
                  </pic:spPr>
                </pic:pic>
              </a:graphicData>
            </a:graphic>
          </wp:inline>
        </w:drawing>
      </w:r>
    </w:p>
    <w:p>
      <w:pPr>
        <w:spacing w:line="360" w:lineRule="auto" w:before="0" w:after="0"/>
        <w:jc w:val="center"/>
      </w:pPr>
      <w:r>
        <w:rPr>
          <w:rFonts w:ascii="宋体" w:hAnsi="宋体" w:eastAsia="宋体"/>
          <w:b w:val="0"/>
          <w:sz w:val="24"/>
        </w:rPr>
        <w:t>图3  Shapiro-Wilk正态性检验：分布直方图+正态拟合与Q-Q图</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jc w:val="center"/>
            </w:pPr>
            <w:r/>
            <w:r>
              <w:rPr>
                <w:rFonts w:ascii="宋体" w:hAnsi="宋体" w:eastAsia="宋体"/>
                <w:b/>
                <w:sz w:val="21"/>
              </w:rPr>
              <w:t>表</w:t>
            </w:r>
          </w:p>
        </w:tc>
        <w:tc>
          <w:tcPr>
            <w:tcW w:type="dxa" w:w="432"/>
          </w:tcPr>
          <w:p>
            <w:pPr>
              <w:jc w:val="center"/>
            </w:pPr>
            <w:r/>
            <w:r>
              <w:rPr>
                <w:rFonts w:ascii="宋体" w:hAnsi="宋体" w:eastAsia="宋体"/>
                <w:b/>
                <w:sz w:val="21"/>
              </w:rPr>
              <w:t>2</w:t>
            </w:r>
          </w:p>
        </w:tc>
        <w:tc>
          <w:tcPr>
            <w:tcW w:type="dxa" w:w="432"/>
          </w:tcPr>
          <w:p>
            <w:pPr>
              <w:jc w:val="center"/>
            </w:pPr>
            <w:r/>
            <w:r>
              <w:rPr>
                <w:rFonts w:ascii="宋体" w:hAnsi="宋体" w:eastAsia="宋体"/>
                <w:b/>
                <w:sz w:val="21"/>
              </w:rPr>
              <w:t xml:space="preserve"> </w:t>
            </w:r>
          </w:p>
        </w:tc>
        <w:tc>
          <w:tcPr>
            <w:tcW w:type="dxa" w:w="432"/>
          </w:tcPr>
          <w:p>
            <w:pPr>
              <w:jc w:val="center"/>
            </w:pPr>
            <w:r/>
            <w:r>
              <w:rPr>
                <w:rFonts w:ascii="宋体" w:hAnsi="宋体" w:eastAsia="宋体"/>
                <w:b/>
                <w:sz w:val="21"/>
              </w:rPr>
              <w:t xml:space="preserve"> </w:t>
            </w:r>
          </w:p>
        </w:tc>
        <w:tc>
          <w:tcPr>
            <w:tcW w:type="dxa" w:w="432"/>
          </w:tcPr>
          <w:p>
            <w:pPr>
              <w:jc w:val="center"/>
            </w:pPr>
            <w:r/>
            <w:r>
              <w:rPr>
                <w:rFonts w:ascii="宋体" w:hAnsi="宋体" w:eastAsia="宋体"/>
                <w:b/>
                <w:sz w:val="21"/>
              </w:rPr>
              <w:t>生</w:t>
            </w:r>
          </w:p>
        </w:tc>
        <w:tc>
          <w:tcPr>
            <w:tcW w:type="dxa" w:w="432"/>
          </w:tcPr>
          <w:p>
            <w:pPr>
              <w:jc w:val="center"/>
            </w:pPr>
            <w:r/>
            <w:r>
              <w:rPr>
                <w:rFonts w:ascii="宋体" w:hAnsi="宋体" w:eastAsia="宋体"/>
                <w:b/>
                <w:sz w:val="21"/>
              </w:rPr>
              <w:t>活</w:t>
            </w:r>
          </w:p>
        </w:tc>
        <w:tc>
          <w:tcPr>
            <w:tcW w:type="dxa" w:w="432"/>
          </w:tcPr>
          <w:p>
            <w:pPr>
              <w:jc w:val="center"/>
            </w:pPr>
            <w:r/>
            <w:r>
              <w:rPr>
                <w:rFonts w:ascii="宋体" w:hAnsi="宋体" w:eastAsia="宋体"/>
                <w:b/>
                <w:sz w:val="21"/>
              </w:rPr>
              <w:t>满</w:t>
            </w:r>
          </w:p>
        </w:tc>
        <w:tc>
          <w:tcPr>
            <w:tcW w:type="dxa" w:w="432"/>
          </w:tcPr>
          <w:p>
            <w:pPr>
              <w:jc w:val="center"/>
            </w:pPr>
            <w:r/>
            <w:r>
              <w:rPr>
                <w:rFonts w:ascii="宋体" w:hAnsi="宋体" w:eastAsia="宋体"/>
                <w:b/>
                <w:sz w:val="21"/>
              </w:rPr>
              <w:t>意</w:t>
            </w:r>
          </w:p>
        </w:tc>
        <w:tc>
          <w:tcPr>
            <w:tcW w:type="dxa" w:w="432"/>
          </w:tcPr>
          <w:p>
            <w:pPr>
              <w:jc w:val="center"/>
            </w:pPr>
            <w:r/>
            <w:r>
              <w:rPr>
                <w:rFonts w:ascii="宋体" w:hAnsi="宋体" w:eastAsia="宋体"/>
                <w:b/>
                <w:sz w:val="21"/>
              </w:rPr>
              <w:t>度</w:t>
            </w:r>
          </w:p>
        </w:tc>
        <w:tc>
          <w:tcPr>
            <w:tcW w:type="dxa" w:w="432"/>
          </w:tcPr>
          <w:p>
            <w:pPr>
              <w:jc w:val="center"/>
            </w:pPr>
            <w:r/>
            <w:r>
              <w:rPr>
                <w:rFonts w:ascii="宋体" w:hAnsi="宋体" w:eastAsia="宋体"/>
                <w:b/>
                <w:sz w:val="21"/>
              </w:rPr>
              <w:t>总</w:t>
            </w:r>
          </w:p>
        </w:tc>
        <w:tc>
          <w:tcPr>
            <w:tcW w:type="dxa" w:w="432"/>
          </w:tcPr>
          <w:p>
            <w:pPr>
              <w:jc w:val="center"/>
            </w:pPr>
            <w:r/>
            <w:r>
              <w:rPr>
                <w:rFonts w:ascii="宋体" w:hAnsi="宋体" w:eastAsia="宋体"/>
                <w:b/>
                <w:sz w:val="21"/>
              </w:rPr>
              <w:t>体</w:t>
            </w:r>
          </w:p>
        </w:tc>
        <w:tc>
          <w:tcPr>
            <w:tcW w:type="dxa" w:w="432"/>
          </w:tcPr>
          <w:p>
            <w:pPr>
              <w:jc w:val="center"/>
            </w:pPr>
            <w:r/>
            <w:r>
              <w:rPr>
                <w:rFonts w:ascii="宋体" w:hAnsi="宋体" w:eastAsia="宋体"/>
                <w:b/>
                <w:sz w:val="21"/>
              </w:rPr>
              <w:t>分</w:t>
            </w:r>
          </w:p>
        </w:tc>
        <w:tc>
          <w:tcPr>
            <w:tcW w:type="dxa" w:w="432"/>
          </w:tcPr>
          <w:p>
            <w:pPr>
              <w:jc w:val="center"/>
            </w:pPr>
            <w:r/>
            <w:r>
              <w:rPr>
                <w:rFonts w:ascii="宋体" w:hAnsi="宋体" w:eastAsia="宋体"/>
                <w:b/>
                <w:sz w:val="21"/>
              </w:rPr>
              <w:t>布</w:t>
            </w:r>
          </w:p>
        </w:tc>
        <w:tc>
          <w:tcPr>
            <w:tcW w:type="dxa" w:w="432"/>
          </w:tcPr>
          <w:p>
            <w:pPr>
              <w:jc w:val="center"/>
            </w:pPr>
            <w:r/>
            <w:r>
              <w:rPr>
                <w:rFonts w:ascii="宋体" w:hAnsi="宋体" w:eastAsia="宋体"/>
                <w:b/>
                <w:sz w:val="21"/>
              </w:rPr>
              <w:t>形</w:t>
            </w:r>
          </w:p>
        </w:tc>
        <w:tc>
          <w:tcPr>
            <w:tcW w:type="dxa" w:w="432"/>
          </w:tcPr>
          <w:p>
            <w:pPr>
              <w:jc w:val="center"/>
            </w:pPr>
            <w:r/>
            <w:r>
              <w:rPr>
                <w:rFonts w:ascii="宋体" w:hAnsi="宋体" w:eastAsia="宋体"/>
                <w:b/>
                <w:sz w:val="21"/>
              </w:rPr>
              <w:t>态</w:t>
            </w:r>
          </w:p>
        </w:tc>
        <w:tc>
          <w:tcPr>
            <w:tcW w:type="dxa" w:w="432"/>
          </w:tcPr>
          <w:p>
            <w:pPr>
              <w:jc w:val="center"/>
            </w:pPr>
            <w:r/>
            <w:r>
              <w:rPr>
                <w:rFonts w:ascii="宋体" w:hAnsi="宋体" w:eastAsia="宋体"/>
                <w:b/>
                <w:sz w:val="21"/>
              </w:rPr>
              <w:t>检</w:t>
            </w:r>
          </w:p>
        </w:tc>
        <w:tc>
          <w:tcPr>
            <w:tcW w:type="dxa" w:w="432"/>
          </w:tcPr>
          <w:p>
            <w:pPr>
              <w:jc w:val="center"/>
            </w:pPr>
            <w:r/>
            <w:r>
              <w:rPr>
                <w:rFonts w:ascii="宋体" w:hAnsi="宋体" w:eastAsia="宋体"/>
                <w:b/>
                <w:sz w:val="21"/>
              </w:rPr>
              <w:t>验</w:t>
            </w:r>
          </w:p>
        </w:tc>
        <w:tc>
          <w:tcPr>
            <w:tcW w:type="dxa" w:w="432"/>
          </w:tcPr>
          <w:p>
            <w:pPr>
              <w:jc w:val="center"/>
            </w:pPr>
            <w:r/>
            <w:r>
              <w:rPr>
                <w:rFonts w:ascii="宋体" w:hAnsi="宋体" w:eastAsia="宋体"/>
                <w:b/>
                <w:sz w:val="21"/>
              </w:rPr>
              <w:t>结</w:t>
            </w:r>
          </w:p>
        </w:tc>
        <w:tc>
          <w:tcPr>
            <w:tcW w:type="dxa" w:w="432"/>
          </w:tcPr>
          <w:p>
            <w:pPr>
              <w:jc w:val="center"/>
            </w:pPr>
            <w:r/>
            <w:r>
              <w:rPr>
                <w:rFonts w:ascii="宋体" w:hAnsi="宋体" w:eastAsia="宋体"/>
                <w:b/>
                <w:sz w:val="21"/>
              </w:rPr>
              <w:t>果</w:t>
            </w:r>
          </w:p>
        </w:tc>
        <w:tc>
          <w:tcPr>
            <w:tcW w:type="dxa" w:w="432"/>
          </w:tcPr>
          <w:p>
            <w:pPr>
              <w:jc w:val="center"/>
            </w:pPr>
            <w:r/>
            <w:r>
              <w:rPr>
                <w:rFonts w:ascii="宋体" w:hAnsi="宋体" w:eastAsia="宋体"/>
                <w:b/>
                <w:sz w:val="21"/>
              </w:rPr>
              <w:t>汇</w:t>
            </w:r>
          </w:p>
        </w:tc>
        <w:tc>
          <w:tcPr>
            <w:tcW w:type="dxa" w:w="432"/>
          </w:tcPr>
          <w:p>
            <w:pPr>
              <w:jc w:val="center"/>
            </w:pPr>
            <w:r/>
            <w:r>
              <w:rPr>
                <w:rFonts w:ascii="宋体" w:hAnsi="宋体" w:eastAsia="宋体"/>
                <w:b/>
                <w:sz w:val="21"/>
              </w:rPr>
              <w:t>总</w:t>
            </w:r>
          </w:p>
        </w:tc>
      </w:tr>
      <w:tr>
        <w:tc>
          <w:tcPr>
            <w:tcW w:type="dxa" w:w="432"/>
          </w:tcPr>
          <w:p>
            <w:pPr>
              <w:jc w:val="center"/>
            </w:pPr>
            <w:r/>
            <w:r>
              <w:rPr>
                <w:rFonts w:ascii="宋体" w:hAnsi="宋体" w:eastAsia="宋体"/>
                <w:sz w:val="21"/>
              </w:rPr>
              <w:t>检验方法</w:t>
            </w:r>
          </w:p>
        </w:tc>
        <w:tc>
          <w:tcPr>
            <w:tcW w:type="dxa" w:w="432"/>
          </w:tcPr>
          <w:p>
            <w:pPr>
              <w:jc w:val="center"/>
            </w:pPr>
            <w:r/>
            <w:r>
              <w:rPr>
                <w:rFonts w:ascii="宋体" w:hAnsi="宋体" w:eastAsia="宋体"/>
                <w:sz w:val="21"/>
              </w:rPr>
              <w:t>原假设H₀</w:t>
            </w:r>
          </w:p>
        </w:tc>
        <w:tc>
          <w:tcPr>
            <w:tcW w:type="dxa" w:w="432"/>
          </w:tcPr>
          <w:p>
            <w:pPr>
              <w:jc w:val="center"/>
            </w:pPr>
            <w:r/>
            <w:r>
              <w:rPr>
                <w:rFonts w:ascii="宋体" w:hAnsi="宋体" w:eastAsia="宋体"/>
                <w:sz w:val="21"/>
              </w:rPr>
              <w:t>统计量</w:t>
            </w:r>
          </w:p>
        </w:tc>
        <w:tc>
          <w:tcPr>
            <w:tcW w:type="dxa" w:w="432"/>
          </w:tcPr>
          <w:p>
            <w:pPr>
              <w:jc w:val="center"/>
            </w:pPr>
            <w:r/>
            <w:r>
              <w:rPr>
                <w:rFonts w:ascii="宋体" w:hAnsi="宋体" w:eastAsia="宋体"/>
                <w:sz w:val="21"/>
              </w:rPr>
              <w:t>p值</w:t>
            </w:r>
          </w:p>
        </w:tc>
        <w:tc>
          <w:tcPr>
            <w:tcW w:type="dxa" w:w="432"/>
          </w:tcPr>
          <w:p>
            <w:pPr>
              <w:jc w:val="center"/>
            </w:pPr>
            <w:r/>
            <w:r>
              <w:rPr>
                <w:rFonts w:ascii="宋体" w:hAnsi="宋体" w:eastAsia="宋体"/>
                <w:sz w:val="21"/>
              </w:rPr>
              <w:t>判断</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r>
        <w:tc>
          <w:tcPr>
            <w:tcW w:type="dxa" w:w="432"/>
          </w:tcPr>
          <w:p>
            <w:pPr>
              <w:jc w:val="center"/>
            </w:pPr>
            <w:r/>
            <w:r>
              <w:rPr>
                <w:rFonts w:ascii="宋体" w:hAnsi="宋体" w:eastAsia="宋体"/>
                <w:sz w:val="21"/>
              </w:rPr>
              <w:t>K-S检验(§9.1.1)</w:t>
            </w:r>
          </w:p>
        </w:tc>
        <w:tc>
          <w:tcPr>
            <w:tcW w:type="dxa" w:w="432"/>
          </w:tcPr>
          <w:p>
            <w:pPr>
              <w:jc w:val="center"/>
            </w:pPr>
            <w:r/>
            <w:r>
              <w:rPr>
                <w:rFonts w:ascii="宋体" w:hAnsi="宋体" w:eastAsia="宋体"/>
                <w:sz w:val="21"/>
              </w:rPr>
              <w:t>生活满意度~U(1,5)</w:t>
            </w:r>
          </w:p>
        </w:tc>
        <w:tc>
          <w:tcPr>
            <w:tcW w:type="dxa" w:w="432"/>
          </w:tcPr>
          <w:p>
            <w:pPr>
              <w:jc w:val="center"/>
            </w:pPr>
            <w:r/>
            <w:r>
              <w:rPr>
                <w:rFonts w:ascii="宋体" w:hAnsi="宋体" w:eastAsia="宋体"/>
                <w:sz w:val="21"/>
              </w:rPr>
              <w:t>D=0.4117</w:t>
            </w:r>
          </w:p>
        </w:tc>
        <w:tc>
          <w:tcPr>
            <w:tcW w:type="dxa" w:w="432"/>
          </w:tcPr>
          <w:p>
            <w:pPr>
              <w:jc w:val="center"/>
            </w:pPr>
            <w:r/>
            <w:r>
              <w:rPr>
                <w:rFonts w:ascii="宋体" w:hAnsi="宋体" w:eastAsia="宋体"/>
                <w:sz w:val="21"/>
              </w:rPr>
              <w:t>&lt;0.001</w:t>
            </w:r>
          </w:p>
        </w:tc>
        <w:tc>
          <w:tcPr>
            <w:tcW w:type="dxa" w:w="432"/>
          </w:tcPr>
          <w:p>
            <w:pPr>
              <w:jc w:val="center"/>
            </w:pPr>
            <w:r/>
            <w:r>
              <w:rPr>
                <w:rFonts w:ascii="宋体" w:hAnsi="宋体" w:eastAsia="宋体"/>
                <w:sz w:val="21"/>
              </w:rPr>
              <w:t>拒绝H₀</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r>
        <w:tc>
          <w:tcPr>
            <w:tcW w:type="dxa" w:w="432"/>
          </w:tcPr>
          <w:p>
            <w:pPr>
              <w:jc w:val="center"/>
            </w:pPr>
            <w:r/>
            <w:r>
              <w:rPr>
                <w:rFonts w:ascii="宋体" w:hAnsi="宋体" w:eastAsia="宋体"/>
                <w:sz w:val="21"/>
              </w:rPr>
              <w:t>K-S检验(§9.1.1)</w:t>
            </w:r>
          </w:p>
        </w:tc>
        <w:tc>
          <w:tcPr>
            <w:tcW w:type="dxa" w:w="432"/>
          </w:tcPr>
          <w:p>
            <w:pPr>
              <w:jc w:val="center"/>
            </w:pPr>
            <w:r/>
            <w:r>
              <w:rPr>
                <w:rFonts w:ascii="宋体" w:hAnsi="宋体" w:eastAsia="宋体"/>
                <w:sz w:val="21"/>
              </w:rPr>
              <w:t>生活满意度~N(2.28,0.89²)</w:t>
            </w:r>
          </w:p>
        </w:tc>
        <w:tc>
          <w:tcPr>
            <w:tcW w:type="dxa" w:w="432"/>
          </w:tcPr>
          <w:p>
            <w:pPr>
              <w:jc w:val="center"/>
            </w:pPr>
            <w:r/>
            <w:r>
              <w:rPr>
                <w:rFonts w:ascii="宋体" w:hAnsi="宋体" w:eastAsia="宋体"/>
                <w:sz w:val="21"/>
              </w:rPr>
              <w:t>D=0.2756</w:t>
            </w:r>
          </w:p>
        </w:tc>
        <w:tc>
          <w:tcPr>
            <w:tcW w:type="dxa" w:w="432"/>
          </w:tcPr>
          <w:p>
            <w:pPr>
              <w:jc w:val="center"/>
            </w:pPr>
            <w:r/>
            <w:r>
              <w:rPr>
                <w:rFonts w:ascii="宋体" w:hAnsi="宋体" w:eastAsia="宋体"/>
                <w:sz w:val="21"/>
              </w:rPr>
              <w:t>&lt;0.001</w:t>
            </w:r>
          </w:p>
        </w:tc>
        <w:tc>
          <w:tcPr>
            <w:tcW w:type="dxa" w:w="432"/>
          </w:tcPr>
          <w:p>
            <w:pPr>
              <w:jc w:val="center"/>
            </w:pPr>
            <w:r/>
            <w:r>
              <w:rPr>
                <w:rFonts w:ascii="宋体" w:hAnsi="宋体" w:eastAsia="宋体"/>
                <w:sz w:val="21"/>
              </w:rPr>
              <w:t>拒绝H₀</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r>
        <w:tc>
          <w:tcPr>
            <w:tcW w:type="dxa" w:w="432"/>
          </w:tcPr>
          <w:p>
            <w:pPr>
              <w:jc w:val="center"/>
            </w:pPr>
            <w:r/>
            <w:r>
              <w:rPr>
                <w:rFonts w:ascii="宋体" w:hAnsi="宋体" w:eastAsia="宋体"/>
                <w:sz w:val="21"/>
              </w:rPr>
              <w:t>Pearson χ²(§9.1.2)</w:t>
            </w:r>
          </w:p>
        </w:tc>
        <w:tc>
          <w:tcPr>
            <w:tcW w:type="dxa" w:w="432"/>
          </w:tcPr>
          <w:p>
            <w:pPr>
              <w:jc w:val="center"/>
            </w:pPr>
            <w:r/>
            <w:r>
              <w:rPr>
                <w:rFonts w:ascii="宋体" w:hAnsi="宋体" w:eastAsia="宋体"/>
                <w:sz w:val="21"/>
              </w:rPr>
              <w:t>各等级均匀分布</w:t>
            </w:r>
          </w:p>
        </w:tc>
        <w:tc>
          <w:tcPr>
            <w:tcW w:type="dxa" w:w="432"/>
          </w:tcPr>
          <w:p>
            <w:pPr>
              <w:jc w:val="center"/>
            </w:pPr>
            <w:r/>
            <w:r>
              <w:rPr>
                <w:rFonts w:ascii="宋体" w:hAnsi="宋体" w:eastAsia="宋体"/>
                <w:sz w:val="21"/>
              </w:rPr>
              <w:t>χ²=7446.5,df=4</w:t>
            </w:r>
          </w:p>
        </w:tc>
        <w:tc>
          <w:tcPr>
            <w:tcW w:type="dxa" w:w="432"/>
          </w:tcPr>
          <w:p>
            <w:pPr>
              <w:jc w:val="center"/>
            </w:pPr>
            <w:r/>
            <w:r>
              <w:rPr>
                <w:rFonts w:ascii="宋体" w:hAnsi="宋体" w:eastAsia="宋体"/>
                <w:sz w:val="21"/>
              </w:rPr>
              <w:t>&lt;0.001</w:t>
            </w:r>
          </w:p>
        </w:tc>
        <w:tc>
          <w:tcPr>
            <w:tcW w:type="dxa" w:w="432"/>
          </w:tcPr>
          <w:p>
            <w:pPr>
              <w:jc w:val="center"/>
            </w:pPr>
            <w:r/>
            <w:r>
              <w:rPr>
                <w:rFonts w:ascii="宋体" w:hAnsi="宋体" w:eastAsia="宋体"/>
                <w:sz w:val="21"/>
              </w:rPr>
              <w:t>拒绝H₀</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r>
        <w:tc>
          <w:tcPr>
            <w:tcW w:type="dxa" w:w="432"/>
          </w:tcPr>
          <w:p>
            <w:pPr>
              <w:jc w:val="center"/>
            </w:pPr>
            <w:r/>
            <w:r>
              <w:rPr>
                <w:rFonts w:ascii="宋体" w:hAnsi="宋体" w:eastAsia="宋体"/>
                <w:sz w:val="21"/>
              </w:rPr>
              <w:t>Shapiro-Wilk(§9.1.3)</w:t>
            </w:r>
          </w:p>
        </w:tc>
        <w:tc>
          <w:tcPr>
            <w:tcW w:type="dxa" w:w="432"/>
          </w:tcPr>
          <w:p>
            <w:pPr>
              <w:jc w:val="center"/>
            </w:pPr>
            <w:r/>
            <w:r>
              <w:rPr>
                <w:rFonts w:ascii="宋体" w:hAnsi="宋体" w:eastAsia="宋体"/>
                <w:sz w:val="21"/>
              </w:rPr>
              <w:t>总体正态分布</w:t>
            </w:r>
          </w:p>
        </w:tc>
        <w:tc>
          <w:tcPr>
            <w:tcW w:type="dxa" w:w="432"/>
          </w:tcPr>
          <w:p>
            <w:pPr>
              <w:jc w:val="center"/>
            </w:pPr>
            <w:r/>
            <w:r>
              <w:rPr>
                <w:rFonts w:ascii="宋体" w:hAnsi="宋体" w:eastAsia="宋体"/>
                <w:sz w:val="21"/>
              </w:rPr>
              <w:t>W=0.8635</w:t>
            </w:r>
          </w:p>
        </w:tc>
        <w:tc>
          <w:tcPr>
            <w:tcW w:type="dxa" w:w="432"/>
          </w:tcPr>
          <w:p>
            <w:pPr>
              <w:jc w:val="center"/>
            </w:pPr>
            <w:r/>
            <w:r>
              <w:rPr>
                <w:rFonts w:ascii="宋体" w:hAnsi="宋体" w:eastAsia="宋体"/>
                <w:sz w:val="21"/>
              </w:rPr>
              <w:t>&lt;0.001</w:t>
            </w:r>
          </w:p>
        </w:tc>
        <w:tc>
          <w:tcPr>
            <w:tcW w:type="dxa" w:w="432"/>
          </w:tcPr>
          <w:p>
            <w:pPr>
              <w:jc w:val="center"/>
            </w:pPr>
            <w:r/>
            <w:r>
              <w:rPr>
                <w:rFonts w:ascii="宋体" w:hAnsi="宋体" w:eastAsia="宋体"/>
                <w:sz w:val="21"/>
              </w:rPr>
              <w:t>拒绝H₀</w:t>
            </w: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c>
          <w:tcPr>
            <w:tcW w:type="dxa" w:w="432"/>
          </w:tcPr>
          <w:p/>
        </w:tc>
      </w:tr>
    </w:tbl>
    <w:p>
      <w:pPr>
        <w:spacing w:line="360" w:lineRule="auto" w:before="0" w:after="0"/>
      </w:pPr>
      <w:r>
        <w:rPr>
          <w:rFonts w:ascii="宋体" w:hAnsi="宋体" w:eastAsia="宋体"/>
          <w:b w:val="0"/>
          <w:sz w:val="24"/>
        </w:rPr>
      </w:r>
    </w:p>
    <w:p>
      <w:pPr>
        <w:spacing w:line="360" w:lineRule="auto" w:before="0" w:after="0"/>
        <w:jc w:val="left"/>
      </w:pPr>
      <w:r>
        <w:rPr>
          <w:rFonts w:ascii="楷体" w:hAnsi="楷体" w:eastAsia="楷体"/>
          <w:b w:val="0"/>
          <w:sz w:val="32"/>
        </w:rPr>
        <w:t>（二）群体间分布差异检验：双样本K-S检验（§9.3）</w:t>
      </w:r>
    </w:p>
    <w:p>
      <w:pPr>
        <w:spacing w:line="360" w:lineRule="auto" w:before="0" w:after="0"/>
      </w:pPr>
      <w:r>
        <w:rPr>
          <w:rFonts w:ascii="宋体" w:hAnsi="宋体" w:eastAsia="宋体"/>
          <w:b w:val="0"/>
          <w:sz w:val="24"/>
        </w:rPr>
        <w:t>在确认生活满意度不服从正态和均匀分布后，本节运用双样本Kolmogorov-Smirnov检验（第九章§9.3），检验不同社会群体间的生活满意度总体分布是否同质。双样本K-S检验将单样本情形中的理论分布替换为另一个总体的经验分布，原假设H₀：两组来自同一总体分布F₁(x)=F₂(x)。这种方法不依赖任何分布假设，对分布位置、尺度和形状的差异均敏感。</w:t>
      </w:r>
    </w:p>
    <w:p>
      <w:pPr>
        <w:spacing w:line="360" w:lineRule="auto" w:before="0" w:after="0"/>
        <w:jc w:val="center"/>
      </w:pPr>
      <w:r>
        <w:rPr>
          <w:rFonts w:ascii="宋体" w:hAnsi="宋体" w:eastAsia="宋体"/>
          <w:b w:val="0"/>
          <w:sz w:val="24"/>
        </w:rPr>
        <w:t>表3  双样本Kolmogorov-Smirnov检验：生活满意度群体间分布比较</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
              <w:rPr>
                <w:rFonts w:ascii="宋体" w:hAnsi="宋体" w:eastAsia="宋体"/>
                <w:b/>
                <w:sz w:val="21"/>
              </w:rPr>
              <w:t>比较组别</w:t>
            </w:r>
          </w:p>
        </w:tc>
        <w:tc>
          <w:tcPr>
            <w:tcW w:type="dxa" w:w="1296"/>
          </w:tcPr>
          <w:p>
            <w:pPr>
              <w:jc w:val="center"/>
            </w:pPr>
            <w:r/>
            <w:r>
              <w:rPr>
                <w:rFonts w:ascii="宋体" w:hAnsi="宋体" w:eastAsia="宋体"/>
                <w:b/>
                <w:sz w:val="21"/>
              </w:rPr>
              <w:t>组1均值</w:t>
            </w:r>
          </w:p>
        </w:tc>
        <w:tc>
          <w:tcPr>
            <w:tcW w:type="dxa" w:w="1296"/>
          </w:tcPr>
          <w:p>
            <w:pPr>
              <w:jc w:val="center"/>
            </w:pPr>
            <w:r/>
            <w:r>
              <w:rPr>
                <w:rFonts w:ascii="宋体" w:hAnsi="宋体" w:eastAsia="宋体"/>
                <w:b/>
                <w:sz w:val="21"/>
              </w:rPr>
              <w:t>组2均值</w:t>
            </w:r>
          </w:p>
        </w:tc>
        <w:tc>
          <w:tcPr>
            <w:tcW w:type="dxa" w:w="1296"/>
          </w:tcPr>
          <w:p>
            <w:pPr>
              <w:jc w:val="center"/>
            </w:pPr>
            <w:r/>
            <w:r>
              <w:rPr>
                <w:rFonts w:ascii="宋体" w:hAnsi="宋体" w:eastAsia="宋体"/>
                <w:b/>
                <w:sz w:val="21"/>
              </w:rPr>
              <w:t>D统计量</w:t>
            </w:r>
          </w:p>
        </w:tc>
        <w:tc>
          <w:tcPr>
            <w:tcW w:type="dxa" w:w="1296"/>
          </w:tcPr>
          <w:p>
            <w:pPr>
              <w:jc w:val="center"/>
            </w:pPr>
            <w:r/>
            <w:r>
              <w:rPr>
                <w:rFonts w:ascii="宋体" w:hAnsi="宋体" w:eastAsia="宋体"/>
                <w:b/>
                <w:sz w:val="21"/>
              </w:rPr>
              <w:t>p值</w:t>
            </w:r>
          </w:p>
        </w:tc>
        <w:tc>
          <w:tcPr>
            <w:tcW w:type="dxa" w:w="1296"/>
          </w:tcPr>
          <w:p>
            <w:pPr>
              <w:jc w:val="center"/>
            </w:pPr>
            <w:r/>
            <w:r>
              <w:rPr>
                <w:rFonts w:ascii="宋体" w:hAnsi="宋体" w:eastAsia="宋体"/>
                <w:b/>
                <w:sz w:val="21"/>
              </w:rPr>
              <w:t>判断</w:t>
            </w:r>
          </w:p>
        </w:tc>
        <w:tc>
          <w:tcPr>
            <w:tcW w:type="dxa" w:w="1296"/>
          </w:tcPr>
          <w:p>
            <w:pPr>
              <w:jc w:val="center"/>
            </w:pPr>
            <w:r/>
            <w:r>
              <w:rPr>
                <w:rFonts w:ascii="宋体" w:hAnsi="宋体" w:eastAsia="宋体"/>
                <w:b/>
                <w:sz w:val="21"/>
              </w:rPr>
              <w:t>效应评价</w:t>
            </w:r>
          </w:p>
        </w:tc>
      </w:tr>
      <w:tr>
        <w:tc>
          <w:tcPr>
            <w:tcW w:type="dxa" w:w="1296"/>
          </w:tcPr>
          <w:p>
            <w:pPr>
              <w:jc w:val="center"/>
            </w:pPr>
            <w:r/>
            <w:r>
              <w:rPr>
                <w:rFonts w:ascii="宋体" w:hAnsi="宋体" w:eastAsia="宋体"/>
                <w:sz w:val="21"/>
              </w:rPr>
              <w:t>上网(N=3,111) vs 不上网(N=8,193)</w:t>
            </w:r>
          </w:p>
        </w:tc>
        <w:tc>
          <w:tcPr>
            <w:tcW w:type="dxa" w:w="1296"/>
          </w:tcPr>
          <w:p>
            <w:pPr>
              <w:jc w:val="center"/>
            </w:pPr>
            <w:r/>
            <w:r>
              <w:rPr>
                <w:rFonts w:ascii="宋体" w:hAnsi="宋体" w:eastAsia="宋体"/>
                <w:sz w:val="21"/>
              </w:rPr>
              <w:t>2.117</w:t>
            </w:r>
          </w:p>
        </w:tc>
        <w:tc>
          <w:tcPr>
            <w:tcW w:type="dxa" w:w="1296"/>
          </w:tcPr>
          <w:p>
            <w:pPr>
              <w:jc w:val="center"/>
            </w:pPr>
            <w:r/>
            <w:r>
              <w:rPr>
                <w:rFonts w:ascii="宋体" w:hAnsi="宋体" w:eastAsia="宋体"/>
                <w:sz w:val="21"/>
              </w:rPr>
              <w:t>2.337</w:t>
            </w:r>
          </w:p>
        </w:tc>
        <w:tc>
          <w:tcPr>
            <w:tcW w:type="dxa" w:w="1296"/>
          </w:tcPr>
          <w:p>
            <w:pPr>
              <w:jc w:val="center"/>
            </w:pPr>
            <w:r/>
            <w:r>
              <w:rPr>
                <w:rFonts w:ascii="宋体" w:hAnsi="宋体" w:eastAsia="宋体"/>
                <w:sz w:val="21"/>
              </w:rPr>
              <w:t>0.1120</w:t>
            </w:r>
          </w:p>
        </w:tc>
        <w:tc>
          <w:tcPr>
            <w:tcW w:type="dxa" w:w="1296"/>
          </w:tcPr>
          <w:p>
            <w:pPr>
              <w:jc w:val="center"/>
            </w:pPr>
            <w:r/>
            <w:r>
              <w:rPr>
                <w:rFonts w:ascii="宋体" w:hAnsi="宋体" w:eastAsia="宋体"/>
                <w:sz w:val="21"/>
              </w:rPr>
              <w:t>&lt;0.001</w:t>
            </w:r>
          </w:p>
        </w:tc>
        <w:tc>
          <w:tcPr>
            <w:tcW w:type="dxa" w:w="1296"/>
          </w:tcPr>
          <w:p>
            <w:pPr>
              <w:jc w:val="center"/>
            </w:pPr>
            <w:r/>
            <w:r>
              <w:rPr>
                <w:rFonts w:ascii="宋体" w:hAnsi="宋体" w:eastAsia="宋体"/>
                <w:sz w:val="21"/>
              </w:rPr>
              <w:t>拒绝H₀</w:t>
            </w:r>
          </w:p>
        </w:tc>
        <w:tc>
          <w:tcPr>
            <w:tcW w:type="dxa" w:w="1296"/>
          </w:tcPr>
          <w:p>
            <w:pPr>
              <w:jc w:val="center"/>
            </w:pPr>
            <w:r/>
            <w:r>
              <w:rPr>
                <w:rFonts w:ascii="宋体" w:hAnsi="宋体" w:eastAsia="宋体"/>
                <w:sz w:val="21"/>
              </w:rPr>
              <w:t>小效应(D=0.112)</w:t>
            </w:r>
          </w:p>
        </w:tc>
      </w:tr>
      <w:tr>
        <w:tc>
          <w:tcPr>
            <w:tcW w:type="dxa" w:w="1296"/>
          </w:tcPr>
          <w:p>
            <w:pPr>
              <w:jc w:val="center"/>
            </w:pPr>
            <w:r/>
            <w:r>
              <w:rPr>
                <w:rFonts w:ascii="宋体" w:hAnsi="宋体" w:eastAsia="宋体"/>
                <w:sz w:val="21"/>
              </w:rPr>
              <w:t>健康好(N=5,348) vs 健康差(N=5,956)</w:t>
            </w:r>
          </w:p>
        </w:tc>
        <w:tc>
          <w:tcPr>
            <w:tcW w:type="dxa" w:w="1296"/>
          </w:tcPr>
          <w:p>
            <w:pPr>
              <w:jc w:val="center"/>
            </w:pPr>
            <w:r/>
            <w:r>
              <w:rPr>
                <w:rFonts w:ascii="宋体" w:hAnsi="宋体" w:eastAsia="宋体"/>
                <w:sz w:val="21"/>
              </w:rPr>
              <w:t>1.934</w:t>
            </w:r>
          </w:p>
        </w:tc>
        <w:tc>
          <w:tcPr>
            <w:tcW w:type="dxa" w:w="1296"/>
          </w:tcPr>
          <w:p>
            <w:pPr>
              <w:jc w:val="center"/>
            </w:pPr>
            <w:r/>
            <w:r>
              <w:rPr>
                <w:rFonts w:ascii="宋体" w:hAnsi="宋体" w:eastAsia="宋体"/>
                <w:sz w:val="21"/>
              </w:rPr>
              <w:t>2.584</w:t>
            </w:r>
          </w:p>
        </w:tc>
        <w:tc>
          <w:tcPr>
            <w:tcW w:type="dxa" w:w="1296"/>
          </w:tcPr>
          <w:p>
            <w:pPr>
              <w:jc w:val="center"/>
            </w:pPr>
            <w:r/>
            <w:r>
              <w:rPr>
                <w:rFonts w:ascii="宋体" w:hAnsi="宋体" w:eastAsia="宋体"/>
                <w:sz w:val="21"/>
              </w:rPr>
              <w:t>0.3587</w:t>
            </w:r>
          </w:p>
        </w:tc>
        <w:tc>
          <w:tcPr>
            <w:tcW w:type="dxa" w:w="1296"/>
          </w:tcPr>
          <w:p>
            <w:pPr>
              <w:jc w:val="center"/>
            </w:pPr>
            <w:r/>
            <w:r>
              <w:rPr>
                <w:rFonts w:ascii="宋体" w:hAnsi="宋体" w:eastAsia="宋体"/>
                <w:sz w:val="21"/>
              </w:rPr>
              <w:t>&lt;0.001</w:t>
            </w:r>
          </w:p>
        </w:tc>
        <w:tc>
          <w:tcPr>
            <w:tcW w:type="dxa" w:w="1296"/>
          </w:tcPr>
          <w:p>
            <w:pPr>
              <w:jc w:val="center"/>
            </w:pPr>
            <w:r/>
            <w:r>
              <w:rPr>
                <w:rFonts w:ascii="宋体" w:hAnsi="宋体" w:eastAsia="宋体"/>
                <w:sz w:val="21"/>
              </w:rPr>
              <w:t>拒绝H₀</w:t>
            </w:r>
          </w:p>
        </w:tc>
        <w:tc>
          <w:tcPr>
            <w:tcW w:type="dxa" w:w="1296"/>
          </w:tcPr>
          <w:p>
            <w:pPr>
              <w:jc w:val="center"/>
            </w:pPr>
            <w:r/>
            <w:r>
              <w:rPr>
                <w:rFonts w:ascii="宋体" w:hAnsi="宋体" w:eastAsia="宋体"/>
                <w:sz w:val="21"/>
              </w:rPr>
              <w:t>中等效应(D=0.359)</w:t>
            </w:r>
          </w:p>
        </w:tc>
      </w:tr>
      <w:tr>
        <w:tc>
          <w:tcPr>
            <w:tcW w:type="dxa" w:w="1296"/>
          </w:tcPr>
          <w:p>
            <w:pPr>
              <w:jc w:val="center"/>
            </w:pPr>
            <w:r/>
            <w:r>
              <w:rPr>
                <w:rFonts w:ascii="宋体" w:hAnsi="宋体" w:eastAsia="宋体"/>
                <w:sz w:val="21"/>
              </w:rPr>
              <w:t>有配偶(N=8,529) vs 无配偶(N=2,775)</w:t>
            </w:r>
          </w:p>
        </w:tc>
        <w:tc>
          <w:tcPr>
            <w:tcW w:type="dxa" w:w="1296"/>
          </w:tcPr>
          <w:p>
            <w:pPr>
              <w:jc w:val="center"/>
            </w:pPr>
            <w:r/>
            <w:r>
              <w:rPr>
                <w:rFonts w:ascii="宋体" w:hAnsi="宋体" w:eastAsia="宋体"/>
                <w:sz w:val="21"/>
              </w:rPr>
              <w:t>2.231</w:t>
            </w:r>
          </w:p>
        </w:tc>
        <w:tc>
          <w:tcPr>
            <w:tcW w:type="dxa" w:w="1296"/>
          </w:tcPr>
          <w:p>
            <w:pPr>
              <w:jc w:val="center"/>
            </w:pPr>
            <w:r/>
            <w:r>
              <w:rPr>
                <w:rFonts w:ascii="宋体" w:hAnsi="宋体" w:eastAsia="宋体"/>
                <w:sz w:val="21"/>
              </w:rPr>
              <w:t>2.418</w:t>
            </w:r>
          </w:p>
        </w:tc>
        <w:tc>
          <w:tcPr>
            <w:tcW w:type="dxa" w:w="1296"/>
          </w:tcPr>
          <w:p>
            <w:pPr>
              <w:jc w:val="center"/>
            </w:pPr>
            <w:r/>
            <w:r>
              <w:rPr>
                <w:rFonts w:ascii="宋体" w:hAnsi="宋体" w:eastAsia="宋体"/>
                <w:sz w:val="21"/>
              </w:rPr>
              <w:t>0.0925</w:t>
            </w:r>
          </w:p>
        </w:tc>
        <w:tc>
          <w:tcPr>
            <w:tcW w:type="dxa" w:w="1296"/>
          </w:tcPr>
          <w:p>
            <w:pPr>
              <w:jc w:val="center"/>
            </w:pPr>
            <w:r/>
            <w:r>
              <w:rPr>
                <w:rFonts w:ascii="宋体" w:hAnsi="宋体" w:eastAsia="宋体"/>
                <w:sz w:val="21"/>
              </w:rPr>
              <w:t>&lt;0.001</w:t>
            </w:r>
          </w:p>
        </w:tc>
        <w:tc>
          <w:tcPr>
            <w:tcW w:type="dxa" w:w="1296"/>
          </w:tcPr>
          <w:p>
            <w:pPr>
              <w:jc w:val="center"/>
            </w:pPr>
            <w:r/>
            <w:r>
              <w:rPr>
                <w:rFonts w:ascii="宋体" w:hAnsi="宋体" w:eastAsia="宋体"/>
                <w:sz w:val="21"/>
              </w:rPr>
              <w:t>拒绝H₀</w:t>
            </w:r>
          </w:p>
        </w:tc>
        <w:tc>
          <w:tcPr>
            <w:tcW w:type="dxa" w:w="1296"/>
          </w:tcPr>
          <w:p>
            <w:pPr>
              <w:jc w:val="center"/>
            </w:pPr>
            <w:r/>
            <w:r>
              <w:rPr>
                <w:rFonts w:ascii="宋体" w:hAnsi="宋体" w:eastAsia="宋体"/>
                <w:sz w:val="21"/>
              </w:rPr>
              <w:t>小效应(D=0.093)</w:t>
            </w:r>
          </w:p>
        </w:tc>
      </w:tr>
      <w:tr>
        <w:tc>
          <w:tcPr>
            <w:tcW w:type="dxa" w:w="1296"/>
          </w:tcPr>
          <w:p>
            <w:pPr>
              <w:jc w:val="center"/>
            </w:pPr>
            <w:r/>
            <w:r>
              <w:rPr>
                <w:rFonts w:ascii="宋体" w:hAnsi="宋体" w:eastAsia="宋体"/>
                <w:sz w:val="21"/>
              </w:rPr>
              <w:t>童年无饥饿(N=7,493) vs 有饥饿(N=3,811)</w:t>
            </w:r>
          </w:p>
        </w:tc>
        <w:tc>
          <w:tcPr>
            <w:tcW w:type="dxa" w:w="1296"/>
          </w:tcPr>
          <w:p>
            <w:pPr>
              <w:jc w:val="center"/>
            </w:pPr>
            <w:r/>
            <w:r>
              <w:rPr>
                <w:rFonts w:ascii="宋体" w:hAnsi="宋体" w:eastAsia="宋体"/>
                <w:sz w:val="21"/>
              </w:rPr>
              <w:t>2.350</w:t>
            </w:r>
          </w:p>
        </w:tc>
        <w:tc>
          <w:tcPr>
            <w:tcW w:type="dxa" w:w="1296"/>
          </w:tcPr>
          <w:p>
            <w:pPr>
              <w:jc w:val="center"/>
            </w:pPr>
            <w:r/>
            <w:r>
              <w:rPr>
                <w:rFonts w:ascii="宋体" w:hAnsi="宋体" w:eastAsia="宋体"/>
                <w:sz w:val="21"/>
              </w:rPr>
              <w:t>2.131</w:t>
            </w:r>
          </w:p>
        </w:tc>
        <w:tc>
          <w:tcPr>
            <w:tcW w:type="dxa" w:w="1296"/>
          </w:tcPr>
          <w:p>
            <w:pPr>
              <w:jc w:val="center"/>
            </w:pPr>
            <w:r/>
            <w:r>
              <w:rPr>
                <w:rFonts w:ascii="宋体" w:hAnsi="宋体" w:eastAsia="宋体"/>
                <w:sz w:val="21"/>
              </w:rPr>
              <w:t>0.0795</w:t>
            </w:r>
          </w:p>
        </w:tc>
        <w:tc>
          <w:tcPr>
            <w:tcW w:type="dxa" w:w="1296"/>
          </w:tcPr>
          <w:p>
            <w:pPr>
              <w:jc w:val="center"/>
            </w:pPr>
            <w:r/>
            <w:r>
              <w:rPr>
                <w:rFonts w:ascii="宋体" w:hAnsi="宋体" w:eastAsia="宋体"/>
                <w:sz w:val="21"/>
              </w:rPr>
              <w:t>&lt;0.001</w:t>
            </w:r>
          </w:p>
        </w:tc>
        <w:tc>
          <w:tcPr>
            <w:tcW w:type="dxa" w:w="1296"/>
          </w:tcPr>
          <w:p>
            <w:pPr>
              <w:jc w:val="center"/>
            </w:pPr>
            <w:r/>
            <w:r>
              <w:rPr>
                <w:rFonts w:ascii="宋体" w:hAnsi="宋体" w:eastAsia="宋体"/>
                <w:sz w:val="21"/>
              </w:rPr>
              <w:t>拒绝H₀</w:t>
            </w:r>
          </w:p>
        </w:tc>
        <w:tc>
          <w:tcPr>
            <w:tcW w:type="dxa" w:w="1296"/>
          </w:tcPr>
          <w:p>
            <w:pPr>
              <w:jc w:val="center"/>
            </w:pPr>
            <w:r/>
            <w:r>
              <w:rPr>
                <w:rFonts w:ascii="宋体" w:hAnsi="宋体" w:eastAsia="宋体"/>
                <w:sz w:val="21"/>
              </w:rPr>
              <w:t>小效应(D=0.080)</w:t>
            </w:r>
          </w:p>
        </w:tc>
      </w:tr>
      <w:tr>
        <w:tc>
          <w:tcPr>
            <w:tcW w:type="dxa" w:w="1296"/>
          </w:tcPr>
          <w:p>
            <w:pPr>
              <w:jc w:val="center"/>
            </w:pPr>
            <w:r/>
            <w:r>
              <w:rPr>
                <w:rFonts w:ascii="宋体" w:hAnsi="宋体" w:eastAsia="宋体"/>
                <w:sz w:val="21"/>
              </w:rPr>
              <w:t>男性(N=5,704) vs 女性(N=5,600)</w:t>
            </w:r>
          </w:p>
        </w:tc>
        <w:tc>
          <w:tcPr>
            <w:tcW w:type="dxa" w:w="1296"/>
          </w:tcPr>
          <w:p>
            <w:pPr>
              <w:jc w:val="center"/>
            </w:pPr>
            <w:r/>
            <w:r>
              <w:rPr>
                <w:rFonts w:ascii="宋体" w:hAnsi="宋体" w:eastAsia="宋体"/>
                <w:sz w:val="21"/>
              </w:rPr>
              <w:t>2.262</w:t>
            </w:r>
          </w:p>
        </w:tc>
        <w:tc>
          <w:tcPr>
            <w:tcW w:type="dxa" w:w="1296"/>
          </w:tcPr>
          <w:p>
            <w:pPr>
              <w:jc w:val="center"/>
            </w:pPr>
            <w:r/>
            <w:r>
              <w:rPr>
                <w:rFonts w:ascii="宋体" w:hAnsi="宋体" w:eastAsia="宋体"/>
                <w:sz w:val="21"/>
              </w:rPr>
              <w:t>2.291</w:t>
            </w:r>
          </w:p>
        </w:tc>
        <w:tc>
          <w:tcPr>
            <w:tcW w:type="dxa" w:w="1296"/>
          </w:tcPr>
          <w:p>
            <w:pPr>
              <w:jc w:val="center"/>
            </w:pPr>
            <w:r/>
            <w:r>
              <w:rPr>
                <w:rFonts w:ascii="宋体" w:hAnsi="宋体" w:eastAsia="宋体"/>
                <w:sz w:val="21"/>
              </w:rPr>
              <w:t>0.0149</w:t>
            </w:r>
          </w:p>
        </w:tc>
        <w:tc>
          <w:tcPr>
            <w:tcW w:type="dxa" w:w="1296"/>
          </w:tcPr>
          <w:p>
            <w:pPr>
              <w:jc w:val="center"/>
            </w:pPr>
            <w:r/>
            <w:r>
              <w:rPr>
                <w:rFonts w:ascii="宋体" w:hAnsi="宋体" w:eastAsia="宋体"/>
                <w:sz w:val="21"/>
              </w:rPr>
              <w:t>0.5532</w:t>
            </w:r>
          </w:p>
        </w:tc>
        <w:tc>
          <w:tcPr>
            <w:tcW w:type="dxa" w:w="1296"/>
          </w:tcPr>
          <w:p>
            <w:pPr>
              <w:jc w:val="center"/>
            </w:pPr>
            <w:r/>
            <w:r>
              <w:rPr>
                <w:rFonts w:ascii="宋体" w:hAnsi="宋体" w:eastAsia="宋体"/>
                <w:sz w:val="21"/>
              </w:rPr>
              <w:t>不能拒绝H₀</w:t>
            </w:r>
          </w:p>
        </w:tc>
        <w:tc>
          <w:tcPr>
            <w:tcW w:type="dxa" w:w="1296"/>
          </w:tcPr>
          <w:p>
            <w:pPr>
              <w:jc w:val="center"/>
            </w:pPr>
            <w:r/>
            <w:r>
              <w:rPr>
                <w:rFonts w:ascii="宋体" w:hAnsi="宋体" w:eastAsia="宋体"/>
                <w:sz w:val="21"/>
              </w:rPr>
              <w:t>无显著差异</w:t>
            </w:r>
          </w:p>
        </w:tc>
      </w:tr>
    </w:tbl>
    <w:p>
      <w:pPr>
        <w:spacing w:line="360" w:lineRule="auto" w:before="0" w:after="0"/>
      </w:pPr>
      <w:r>
        <w:rPr>
          <w:rFonts w:ascii="宋体" w:hAnsi="宋体" w:eastAsia="宋体"/>
          <w:b w:val="0"/>
          <w:sz w:val="24"/>
        </w:rPr>
      </w:r>
    </w:p>
    <w:p>
      <w:pPr>
        <w:jc w:val="center"/>
      </w:pPr>
      <w:r>
        <w:drawing>
          <wp:inline xmlns:a="http://schemas.openxmlformats.org/drawingml/2006/main" xmlns:pic="http://schemas.openxmlformats.org/drawingml/2006/picture">
            <wp:extent cx="5303520" cy="3302192"/>
            <wp:docPr id="4" name="Picture 4"/>
            <wp:cNvGraphicFramePr>
              <a:graphicFrameLocks noChangeAspect="1"/>
            </wp:cNvGraphicFramePr>
            <a:graphic>
              <a:graphicData uri="http://schemas.openxmlformats.org/drawingml/2006/picture">
                <pic:pic>
                  <pic:nvPicPr>
                    <pic:cNvPr id="0" name="fig2_group_boxplot.png"/>
                    <pic:cNvPicPr/>
                  </pic:nvPicPr>
                  <pic:blipFill>
                    <a:blip r:embed="rId12"/>
                    <a:stretch>
                      <a:fillRect/>
                    </a:stretch>
                  </pic:blipFill>
                  <pic:spPr>
                    <a:xfrm>
                      <a:off x="0" y="0"/>
                      <a:ext cx="5303520" cy="3302192"/>
                    </a:xfrm>
                    <a:prstGeom prst="rect"/>
                  </pic:spPr>
                </pic:pic>
              </a:graphicData>
            </a:graphic>
          </wp:inline>
        </w:drawing>
      </w:r>
    </w:p>
    <w:p>
      <w:pPr>
        <w:spacing w:line="360" w:lineRule="auto" w:before="0" w:after="0"/>
        <w:jc w:val="center"/>
      </w:pPr>
      <w:r>
        <w:rPr>
          <w:rFonts w:ascii="宋体" w:hAnsi="宋体" w:eastAsia="宋体"/>
          <w:b w:val="0"/>
          <w:sz w:val="24"/>
        </w:rPr>
        <w:t>图4  不同社会群体生活满意度分布箱线图比较（K-S检验与Kruskal-Wallis检验注释）</w:t>
      </w:r>
    </w:p>
    <w:p>
      <w:pPr>
        <w:spacing w:line="360" w:lineRule="auto" w:before="0" w:after="0"/>
      </w:pPr>
      <w:r>
        <w:rPr>
          <w:rFonts w:ascii="宋体" w:hAnsi="宋体" w:eastAsia="宋体"/>
          <w:b w:val="0"/>
          <w:sz w:val="24"/>
        </w:rPr>
        <w:t>由表3和图2可以得出以下核心发现：</w:t>
      </w:r>
    </w:p>
    <w:p>
      <w:pPr>
        <w:spacing w:line="360" w:lineRule="auto" w:before="0" w:after="0"/>
      </w:pPr>
      <w:r>
        <w:rPr>
          <w:rFonts w:ascii="宋体" w:hAnsi="宋体" w:eastAsia="宋体"/>
          <w:b w:val="0"/>
          <w:sz w:val="24"/>
        </w:rPr>
        <w:t>第一，自评健康是生活满意度群体分化的最强驱动因素（D=0.3587, p&lt;0.001）。健康好者平均生活满意度为1.934，健康差者为2.584，均值差高达0.650。D值（0.359）在所有比较组中最大，属于中等效应量。→ H3得到充分验证。</w:t>
      </w:r>
    </w:p>
    <w:p>
      <w:pPr>
        <w:spacing w:line="360" w:lineRule="auto" w:before="0" w:after="0"/>
      </w:pPr>
      <w:r>
        <w:rPr>
          <w:rFonts w:ascii="宋体" w:hAnsi="宋体" w:eastAsia="宋体"/>
          <w:b w:val="0"/>
          <w:sz w:val="24"/>
        </w:rPr>
        <w:t>第二，互联网使用与生活满意度分布显著相关，但效应量较小（D=0.1120, p&lt;0.001）。上网者平均生活满意度（2.117）优于不上网者（2.337），均值差为0.221。→ H4得到验证，但效应量提示互联网仅是众多因素之一，不宜过度夸大其影响力。</w:t>
      </w:r>
    </w:p>
    <w:p>
      <w:pPr>
        <w:spacing w:line="360" w:lineRule="auto" w:before="0" w:after="0"/>
      </w:pPr>
      <w:r>
        <w:rPr>
          <w:rFonts w:ascii="宋体" w:hAnsi="宋体" w:eastAsia="宋体"/>
          <w:b w:val="0"/>
          <w:sz w:val="24"/>
        </w:rPr>
        <w:t>第三，婚姻状况（D=0.0925, p&lt;0.001）和童年饥饿经历（D=0.0795, p&lt;0.001）均存在统计显著的分布差异，表明早期生活经历和当前社会支持均对老年生活满意度有深远影响。→H5得到验证。</w:t>
      </w:r>
    </w:p>
    <w:p>
      <w:pPr>
        <w:spacing w:line="360" w:lineRule="auto" w:before="0" w:after="0"/>
      </w:pPr>
      <w:r>
        <w:rPr>
          <w:rFonts w:ascii="宋体" w:hAnsi="宋体" w:eastAsia="宋体"/>
          <w:b w:val="0"/>
          <w:sz w:val="24"/>
        </w:rPr>
        <w:t>第四，也是极具启发性的一个发现：男性和女性老年人的生活满意度分布无显著差异（D=0.0149, p=0.5532）。在α=0.05水平下，不能拒绝"男女两性来自同一生活满意度分布"的原假设。这意味着生活满意度在性别维度上呈现显著的平等特征，与健康、互联网等维度的显著分化形成鲜明对比。这一发现具有重要的社会政策含义——至少对于老年群体而言，性别本身并不是主观福祉不平等的来源。</w:t>
      </w:r>
    </w:p>
    <w:p>
      <w:pPr>
        <w:spacing w:line="360" w:lineRule="auto" w:before="0" w:after="0"/>
        <w:jc w:val="left"/>
      </w:pPr>
      <w:r>
        <w:rPr>
          <w:rFonts w:ascii="楷体" w:hAnsi="楷体" w:eastAsia="楷体"/>
          <w:b w:val="0"/>
          <w:sz w:val="32"/>
        </w:rPr>
        <w:t>（三）秩检验：Wilcoxon秩和检验与Kruskal-Wallis H检验</w:t>
      </w:r>
    </w:p>
    <w:p>
      <w:pPr>
        <w:spacing w:line="360" w:lineRule="auto" w:before="0" w:after="0"/>
      </w:pPr>
      <w:r>
        <w:rPr>
          <w:rFonts w:ascii="宋体" w:hAnsi="宋体" w:eastAsia="宋体"/>
          <w:b w:val="0"/>
          <w:sz w:val="24"/>
        </w:rPr>
        <w:t>秩检验方法通过将原始数据转换为秩次，避免了分布假设的限制，是分析有序分类变量组间差异的理想工具。本节分别运用Wilcoxon秩和检验（两独立样本）和Kruskal-Wallis H检验（多独立样本），对生活满意度的组间差异进行非参数推断。</w:t>
      </w:r>
    </w:p>
    <w:p>
      <w:pPr>
        <w:spacing w:line="360" w:lineRule="auto" w:before="0" w:after="0"/>
        <w:jc w:val="center"/>
      </w:pPr>
      <w:r>
        <w:rPr>
          <w:rFonts w:ascii="宋体" w:hAnsi="宋体" w:eastAsia="宋体"/>
          <w:b w:val="0"/>
          <w:sz w:val="24"/>
        </w:rPr>
        <w:t>表4  Wilcoxon秩和检验与Kruskal-Wallis H检验结果</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宋体" w:hAnsi="宋体" w:eastAsia="宋体"/>
                <w:b/>
                <w:sz w:val="21"/>
              </w:rPr>
              <w:t>检验方法</w:t>
            </w:r>
          </w:p>
        </w:tc>
        <w:tc>
          <w:tcPr>
            <w:tcW w:type="dxa" w:w="1512"/>
          </w:tcPr>
          <w:p>
            <w:pPr>
              <w:jc w:val="center"/>
            </w:pPr>
            <w:r/>
            <w:r>
              <w:rPr>
                <w:rFonts w:ascii="宋体" w:hAnsi="宋体" w:eastAsia="宋体"/>
                <w:b/>
                <w:sz w:val="21"/>
              </w:rPr>
              <w:t>变量</w:t>
            </w:r>
          </w:p>
        </w:tc>
        <w:tc>
          <w:tcPr>
            <w:tcW w:type="dxa" w:w="1512"/>
          </w:tcPr>
          <w:p>
            <w:pPr>
              <w:jc w:val="center"/>
            </w:pPr>
            <w:r/>
            <w:r>
              <w:rPr>
                <w:rFonts w:ascii="宋体" w:hAnsi="宋体" w:eastAsia="宋体"/>
                <w:b/>
                <w:sz w:val="21"/>
              </w:rPr>
              <w:t>统计量</w:t>
            </w:r>
          </w:p>
        </w:tc>
        <w:tc>
          <w:tcPr>
            <w:tcW w:type="dxa" w:w="1512"/>
          </w:tcPr>
          <w:p>
            <w:pPr>
              <w:jc w:val="center"/>
            </w:pPr>
            <w:r/>
            <w:r>
              <w:rPr>
                <w:rFonts w:ascii="宋体" w:hAnsi="宋体" w:eastAsia="宋体"/>
                <w:b/>
                <w:sz w:val="21"/>
              </w:rPr>
              <w:t>p值</w:t>
            </w:r>
          </w:p>
        </w:tc>
        <w:tc>
          <w:tcPr>
            <w:tcW w:type="dxa" w:w="1512"/>
          </w:tcPr>
          <w:p>
            <w:pPr>
              <w:jc w:val="center"/>
            </w:pPr>
            <w:r/>
            <w:r>
              <w:rPr>
                <w:rFonts w:ascii="宋体" w:hAnsi="宋体" w:eastAsia="宋体"/>
                <w:b/>
                <w:sz w:val="21"/>
              </w:rPr>
              <w:t>效应量r/η²</w:t>
            </w:r>
          </w:p>
        </w:tc>
        <w:tc>
          <w:tcPr>
            <w:tcW w:type="dxa" w:w="1512"/>
          </w:tcPr>
          <w:p>
            <w:pPr>
              <w:jc w:val="center"/>
            </w:pPr>
            <w:r/>
            <w:r>
              <w:rPr>
                <w:rFonts w:ascii="宋体" w:hAnsi="宋体" w:eastAsia="宋体"/>
                <w:b/>
                <w:sz w:val="21"/>
              </w:rPr>
              <w:t>结论</w:t>
            </w:r>
          </w:p>
        </w:tc>
      </w:tr>
      <w:tr>
        <w:tc>
          <w:tcPr>
            <w:tcW w:type="dxa" w:w="1512"/>
          </w:tcPr>
          <w:p>
            <w:pPr>
              <w:jc w:val="center"/>
            </w:pPr>
            <w:r/>
            <w:r>
              <w:rPr>
                <w:rFonts w:ascii="宋体" w:hAnsi="宋体" w:eastAsia="宋体"/>
                <w:sz w:val="21"/>
              </w:rPr>
              <w:t>Wilcoxon</w:t>
            </w:r>
          </w:p>
        </w:tc>
        <w:tc>
          <w:tcPr>
            <w:tcW w:type="dxa" w:w="1512"/>
          </w:tcPr>
          <w:p>
            <w:pPr>
              <w:jc w:val="center"/>
            </w:pPr>
            <w:r/>
            <w:r>
              <w:rPr>
                <w:rFonts w:ascii="宋体" w:hAnsi="宋体" w:eastAsia="宋体"/>
                <w:sz w:val="21"/>
              </w:rPr>
              <w:t>上网 vs 不上网</w:t>
            </w:r>
          </w:p>
        </w:tc>
        <w:tc>
          <w:tcPr>
            <w:tcW w:type="dxa" w:w="1512"/>
          </w:tcPr>
          <w:p>
            <w:pPr>
              <w:jc w:val="center"/>
            </w:pPr>
            <w:r/>
            <w:r>
              <w:rPr>
                <w:rFonts w:ascii="宋体" w:hAnsi="宋体" w:eastAsia="宋体"/>
                <w:sz w:val="21"/>
              </w:rPr>
              <w:t>Z=-11.461</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r=0.1078</w:t>
            </w:r>
          </w:p>
        </w:tc>
        <w:tc>
          <w:tcPr>
            <w:tcW w:type="dxa" w:w="1512"/>
          </w:tcPr>
          <w:p>
            <w:pPr>
              <w:jc w:val="center"/>
            </w:pPr>
            <w:r/>
            <w:r>
              <w:rPr>
                <w:rFonts w:ascii="宋体" w:hAnsi="宋体" w:eastAsia="宋体"/>
                <w:sz w:val="21"/>
              </w:rPr>
              <w:t>拒绝H₀</w:t>
            </w:r>
          </w:p>
        </w:tc>
      </w:tr>
      <w:tr>
        <w:tc>
          <w:tcPr>
            <w:tcW w:type="dxa" w:w="1512"/>
          </w:tcPr>
          <w:p>
            <w:pPr>
              <w:jc w:val="center"/>
            </w:pPr>
            <w:r/>
            <w:r>
              <w:rPr>
                <w:rFonts w:ascii="宋体" w:hAnsi="宋体" w:eastAsia="宋体"/>
                <w:sz w:val="21"/>
              </w:rPr>
              <w:t>Wilcoxon</w:t>
            </w:r>
          </w:p>
        </w:tc>
        <w:tc>
          <w:tcPr>
            <w:tcW w:type="dxa" w:w="1512"/>
          </w:tcPr>
          <w:p>
            <w:pPr>
              <w:jc w:val="center"/>
            </w:pPr>
            <w:r/>
            <w:r>
              <w:rPr>
                <w:rFonts w:ascii="宋体" w:hAnsi="宋体" w:eastAsia="宋体"/>
                <w:sz w:val="21"/>
              </w:rPr>
              <w:t>健康好 vs 健康差</w:t>
            </w:r>
          </w:p>
        </w:tc>
        <w:tc>
          <w:tcPr>
            <w:tcW w:type="dxa" w:w="1512"/>
          </w:tcPr>
          <w:p>
            <w:pPr>
              <w:jc w:val="center"/>
            </w:pPr>
            <w:r/>
            <w:r>
              <w:rPr>
                <w:rFonts w:ascii="宋体" w:hAnsi="宋体" w:eastAsia="宋体"/>
                <w:sz w:val="21"/>
              </w:rPr>
              <w:t>Z=36.290</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r=0.3413</w:t>
            </w:r>
          </w:p>
        </w:tc>
        <w:tc>
          <w:tcPr>
            <w:tcW w:type="dxa" w:w="1512"/>
          </w:tcPr>
          <w:p>
            <w:pPr>
              <w:jc w:val="center"/>
            </w:pPr>
            <w:r/>
            <w:r>
              <w:rPr>
                <w:rFonts w:ascii="宋体" w:hAnsi="宋体" w:eastAsia="宋体"/>
                <w:sz w:val="21"/>
              </w:rPr>
              <w:t>拒绝H₀</w:t>
            </w:r>
          </w:p>
        </w:tc>
      </w:tr>
      <w:tr>
        <w:tc>
          <w:tcPr>
            <w:tcW w:type="dxa" w:w="1512"/>
          </w:tcPr>
          <w:p>
            <w:pPr>
              <w:jc w:val="center"/>
            </w:pPr>
            <w:r/>
            <w:r>
              <w:rPr>
                <w:rFonts w:ascii="宋体" w:hAnsi="宋体" w:eastAsia="宋体"/>
                <w:sz w:val="21"/>
              </w:rPr>
              <w:t>Wilcoxon</w:t>
            </w:r>
          </w:p>
        </w:tc>
        <w:tc>
          <w:tcPr>
            <w:tcW w:type="dxa" w:w="1512"/>
          </w:tcPr>
          <w:p>
            <w:pPr>
              <w:jc w:val="center"/>
            </w:pPr>
            <w:r/>
            <w:r>
              <w:rPr>
                <w:rFonts w:ascii="宋体" w:hAnsi="宋体" w:eastAsia="宋体"/>
                <w:sz w:val="21"/>
              </w:rPr>
              <w:t>有配偶 vs 无配偶</w:t>
            </w:r>
          </w:p>
        </w:tc>
        <w:tc>
          <w:tcPr>
            <w:tcW w:type="dxa" w:w="1512"/>
          </w:tcPr>
          <w:p>
            <w:pPr>
              <w:jc w:val="center"/>
            </w:pPr>
            <w:r/>
            <w:r>
              <w:rPr>
                <w:rFonts w:ascii="宋体" w:hAnsi="宋体" w:eastAsia="宋体"/>
                <w:sz w:val="21"/>
              </w:rPr>
              <w:t>Z=-8.924</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r=0.0839</w:t>
            </w:r>
          </w:p>
        </w:tc>
        <w:tc>
          <w:tcPr>
            <w:tcW w:type="dxa" w:w="1512"/>
          </w:tcPr>
          <w:p>
            <w:pPr>
              <w:jc w:val="center"/>
            </w:pPr>
            <w:r/>
            <w:r>
              <w:rPr>
                <w:rFonts w:ascii="宋体" w:hAnsi="宋体" w:eastAsia="宋体"/>
                <w:sz w:val="21"/>
              </w:rPr>
              <w:t>拒绝H₀</w:t>
            </w:r>
          </w:p>
        </w:tc>
      </w:tr>
      <w:tr>
        <w:tc>
          <w:tcPr>
            <w:tcW w:type="dxa" w:w="1512"/>
          </w:tcPr>
          <w:p>
            <w:pPr>
              <w:jc w:val="center"/>
            </w:pPr>
            <w:r/>
            <w:r>
              <w:rPr>
                <w:rFonts w:ascii="宋体" w:hAnsi="宋体" w:eastAsia="宋体"/>
                <w:sz w:val="21"/>
              </w:rPr>
              <w:t>Wilcoxon</w:t>
            </w:r>
          </w:p>
        </w:tc>
        <w:tc>
          <w:tcPr>
            <w:tcW w:type="dxa" w:w="1512"/>
          </w:tcPr>
          <w:p>
            <w:pPr>
              <w:jc w:val="center"/>
            </w:pPr>
            <w:r/>
            <w:r>
              <w:rPr>
                <w:rFonts w:ascii="宋体" w:hAnsi="宋体" w:eastAsia="宋体"/>
                <w:sz w:val="21"/>
              </w:rPr>
              <w:t>有饥饿 vs 无饥饿</w:t>
            </w:r>
          </w:p>
        </w:tc>
        <w:tc>
          <w:tcPr>
            <w:tcW w:type="dxa" w:w="1512"/>
          </w:tcPr>
          <w:p>
            <w:pPr>
              <w:jc w:val="center"/>
            </w:pPr>
            <w:r/>
            <w:r>
              <w:rPr>
                <w:rFonts w:ascii="宋体" w:hAnsi="宋体" w:eastAsia="宋体"/>
                <w:sz w:val="21"/>
              </w:rPr>
              <w:t>Z=-9.785</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r=0.0920</w:t>
            </w:r>
          </w:p>
        </w:tc>
        <w:tc>
          <w:tcPr>
            <w:tcW w:type="dxa" w:w="1512"/>
          </w:tcPr>
          <w:p>
            <w:pPr>
              <w:jc w:val="center"/>
            </w:pPr>
            <w:r/>
            <w:r>
              <w:rPr>
                <w:rFonts w:ascii="宋体" w:hAnsi="宋体" w:eastAsia="宋体"/>
                <w:sz w:val="21"/>
              </w:rPr>
              <w:t>拒绝H₀</w:t>
            </w:r>
          </w:p>
        </w:tc>
      </w:tr>
      <w:tr>
        <w:tc>
          <w:tcPr>
            <w:tcW w:type="dxa" w:w="1512"/>
          </w:tcPr>
          <w:p>
            <w:pPr>
              <w:jc w:val="center"/>
            </w:pPr>
            <w:r/>
            <w:r>
              <w:rPr>
                <w:rFonts w:ascii="宋体" w:hAnsi="宋体" w:eastAsia="宋体"/>
                <w:sz w:val="21"/>
              </w:rPr>
              <w:t>Wilcoxon</w:t>
            </w:r>
          </w:p>
        </w:tc>
        <w:tc>
          <w:tcPr>
            <w:tcW w:type="dxa" w:w="1512"/>
          </w:tcPr>
          <w:p>
            <w:pPr>
              <w:jc w:val="center"/>
            </w:pPr>
            <w:r/>
            <w:r>
              <w:rPr>
                <w:rFonts w:ascii="宋体" w:hAnsi="宋体" w:eastAsia="宋体"/>
                <w:sz w:val="21"/>
              </w:rPr>
              <w:t>女性 vs 男性</w:t>
            </w:r>
          </w:p>
        </w:tc>
        <w:tc>
          <w:tcPr>
            <w:tcW w:type="dxa" w:w="1512"/>
          </w:tcPr>
          <w:p>
            <w:pPr>
              <w:jc w:val="center"/>
            </w:pPr>
            <w:r/>
            <w:r>
              <w:rPr>
                <w:rFonts w:ascii="宋体" w:hAnsi="宋体" w:eastAsia="宋体"/>
                <w:sz w:val="21"/>
              </w:rPr>
              <w:t>Z=1.543</w:t>
            </w:r>
          </w:p>
        </w:tc>
        <w:tc>
          <w:tcPr>
            <w:tcW w:type="dxa" w:w="1512"/>
          </w:tcPr>
          <w:p>
            <w:pPr>
              <w:jc w:val="center"/>
            </w:pPr>
            <w:r/>
            <w:r>
              <w:rPr>
                <w:rFonts w:ascii="宋体" w:hAnsi="宋体" w:eastAsia="宋体"/>
                <w:sz w:val="21"/>
              </w:rPr>
              <w:t>0.0977</w:t>
            </w:r>
          </w:p>
        </w:tc>
        <w:tc>
          <w:tcPr>
            <w:tcW w:type="dxa" w:w="1512"/>
          </w:tcPr>
          <w:p>
            <w:pPr>
              <w:jc w:val="center"/>
            </w:pPr>
            <w:r/>
            <w:r>
              <w:rPr>
                <w:rFonts w:ascii="宋体" w:hAnsi="宋体" w:eastAsia="宋体"/>
                <w:sz w:val="21"/>
              </w:rPr>
              <w:t>r=0.0145</w:t>
            </w:r>
          </w:p>
        </w:tc>
        <w:tc>
          <w:tcPr>
            <w:tcW w:type="dxa" w:w="1512"/>
          </w:tcPr>
          <w:p>
            <w:pPr>
              <w:jc w:val="center"/>
            </w:pPr>
            <w:r/>
            <w:r>
              <w:rPr>
                <w:rFonts w:ascii="宋体" w:hAnsi="宋体" w:eastAsia="宋体"/>
                <w:sz w:val="21"/>
              </w:rPr>
              <w:t>不能拒绝H₀</w:t>
            </w:r>
          </w:p>
        </w:tc>
      </w:tr>
      <w:tr>
        <w:tc>
          <w:tcPr>
            <w:tcW w:type="dxa" w:w="1512"/>
          </w:tcPr>
          <w:p>
            <w:pPr>
              <w:jc w:val="center"/>
            </w:pPr>
            <w:r/>
            <w:r>
              <w:rPr>
                <w:rFonts w:ascii="宋体" w:hAnsi="宋体" w:eastAsia="宋体"/>
                <w:sz w:val="21"/>
              </w:rPr>
              <w:t>Kruskal-Wallis</w:t>
            </w:r>
          </w:p>
        </w:tc>
        <w:tc>
          <w:tcPr>
            <w:tcW w:type="dxa" w:w="1512"/>
          </w:tcPr>
          <w:p>
            <w:pPr>
              <w:jc w:val="center"/>
            </w:pPr>
            <w:r/>
            <w:r>
              <w:rPr>
                <w:rFonts w:ascii="宋体" w:hAnsi="宋体" w:eastAsia="宋体"/>
                <w:sz w:val="21"/>
              </w:rPr>
              <w:t>文化程度(7组)</w:t>
            </w:r>
          </w:p>
        </w:tc>
        <w:tc>
          <w:tcPr>
            <w:tcW w:type="dxa" w:w="1512"/>
          </w:tcPr>
          <w:p>
            <w:pPr>
              <w:jc w:val="center"/>
            </w:pPr>
            <w:r/>
            <w:r>
              <w:rPr>
                <w:rFonts w:ascii="宋体" w:hAnsi="宋体" w:eastAsia="宋体"/>
                <w:sz w:val="21"/>
              </w:rPr>
              <w:t>H=126.0</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df=6</w:t>
            </w:r>
          </w:p>
        </w:tc>
        <w:tc>
          <w:tcPr>
            <w:tcW w:type="dxa" w:w="1512"/>
          </w:tcPr>
          <w:p>
            <w:pPr>
              <w:jc w:val="center"/>
            </w:pPr>
            <w:r/>
            <w:r>
              <w:rPr>
                <w:rFonts w:ascii="宋体" w:hAnsi="宋体" w:eastAsia="宋体"/>
                <w:sz w:val="21"/>
              </w:rPr>
              <w:t>拒绝H₀</w:t>
            </w:r>
          </w:p>
        </w:tc>
      </w:tr>
      <w:tr>
        <w:tc>
          <w:tcPr>
            <w:tcW w:type="dxa" w:w="1512"/>
          </w:tcPr>
          <w:p>
            <w:pPr>
              <w:jc w:val="center"/>
            </w:pPr>
            <w:r/>
            <w:r>
              <w:rPr>
                <w:rFonts w:ascii="宋体" w:hAnsi="宋体" w:eastAsia="宋体"/>
                <w:sz w:val="21"/>
              </w:rPr>
              <w:t>Kruskal-Wallis</w:t>
            </w:r>
          </w:p>
        </w:tc>
        <w:tc>
          <w:tcPr>
            <w:tcW w:type="dxa" w:w="1512"/>
          </w:tcPr>
          <w:p>
            <w:pPr>
              <w:jc w:val="center"/>
            </w:pPr>
            <w:r/>
            <w:r>
              <w:rPr>
                <w:rFonts w:ascii="宋体" w:hAnsi="宋体" w:eastAsia="宋体"/>
                <w:sz w:val="21"/>
              </w:rPr>
              <w:t>自评健康(5组)</w:t>
            </w:r>
          </w:p>
        </w:tc>
        <w:tc>
          <w:tcPr>
            <w:tcW w:type="dxa" w:w="1512"/>
          </w:tcPr>
          <w:p>
            <w:pPr>
              <w:jc w:val="center"/>
            </w:pPr>
            <w:r/>
            <w:r>
              <w:rPr>
                <w:rFonts w:ascii="宋体" w:hAnsi="宋体" w:eastAsia="宋体"/>
                <w:sz w:val="21"/>
              </w:rPr>
              <w:t>H=1906.0</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df=4</w:t>
            </w:r>
          </w:p>
        </w:tc>
        <w:tc>
          <w:tcPr>
            <w:tcW w:type="dxa" w:w="1512"/>
          </w:tcPr>
          <w:p>
            <w:pPr>
              <w:jc w:val="center"/>
            </w:pPr>
            <w:r/>
            <w:r>
              <w:rPr>
                <w:rFonts w:ascii="宋体" w:hAnsi="宋体" w:eastAsia="宋体"/>
                <w:sz w:val="21"/>
              </w:rPr>
              <w:t>拒绝H₀</w:t>
            </w:r>
          </w:p>
        </w:tc>
      </w:tr>
      <w:tr>
        <w:tc>
          <w:tcPr>
            <w:tcW w:type="dxa" w:w="1512"/>
          </w:tcPr>
          <w:p>
            <w:pPr>
              <w:jc w:val="center"/>
            </w:pPr>
            <w:r/>
            <w:r>
              <w:rPr>
                <w:rFonts w:ascii="宋体" w:hAnsi="宋体" w:eastAsia="宋体"/>
                <w:sz w:val="21"/>
              </w:rPr>
              <w:t>Kruskal-Wallis</w:t>
            </w:r>
          </w:p>
        </w:tc>
        <w:tc>
          <w:tcPr>
            <w:tcW w:type="dxa" w:w="1512"/>
          </w:tcPr>
          <w:p>
            <w:pPr>
              <w:jc w:val="center"/>
            </w:pPr>
            <w:r/>
            <w:r>
              <w:rPr>
                <w:rFonts w:ascii="宋体" w:hAnsi="宋体" w:eastAsia="宋体"/>
                <w:sz w:val="21"/>
              </w:rPr>
              <w:t>锻炼强度(3组)</w:t>
            </w:r>
          </w:p>
        </w:tc>
        <w:tc>
          <w:tcPr>
            <w:tcW w:type="dxa" w:w="1512"/>
          </w:tcPr>
          <w:p>
            <w:pPr>
              <w:jc w:val="center"/>
            </w:pPr>
            <w:r/>
            <w:r>
              <w:rPr>
                <w:rFonts w:ascii="宋体" w:hAnsi="宋体" w:eastAsia="宋体"/>
                <w:sz w:val="21"/>
              </w:rPr>
              <w:t>H=19.4</w:t>
            </w:r>
          </w:p>
        </w:tc>
        <w:tc>
          <w:tcPr>
            <w:tcW w:type="dxa" w:w="1512"/>
          </w:tcPr>
          <w:p>
            <w:pPr>
              <w:jc w:val="center"/>
            </w:pPr>
            <w:r/>
            <w:r>
              <w:rPr>
                <w:rFonts w:ascii="宋体" w:hAnsi="宋体" w:eastAsia="宋体"/>
                <w:sz w:val="21"/>
              </w:rPr>
              <w:t>0.000060</w:t>
            </w:r>
          </w:p>
        </w:tc>
        <w:tc>
          <w:tcPr>
            <w:tcW w:type="dxa" w:w="1512"/>
          </w:tcPr>
          <w:p>
            <w:pPr>
              <w:jc w:val="center"/>
            </w:pPr>
            <w:r/>
            <w:r>
              <w:rPr>
                <w:rFonts w:ascii="宋体" w:hAnsi="宋体" w:eastAsia="宋体"/>
                <w:sz w:val="21"/>
              </w:rPr>
              <w:t>df=2</w:t>
            </w:r>
          </w:p>
        </w:tc>
        <w:tc>
          <w:tcPr>
            <w:tcW w:type="dxa" w:w="1512"/>
          </w:tcPr>
          <w:p>
            <w:pPr>
              <w:jc w:val="center"/>
            </w:pPr>
            <w:r/>
            <w:r>
              <w:rPr>
                <w:rFonts w:ascii="宋体" w:hAnsi="宋体" w:eastAsia="宋体"/>
                <w:sz w:val="21"/>
              </w:rPr>
              <w:t>拒绝H₀</w:t>
            </w:r>
          </w:p>
        </w:tc>
      </w:tr>
      <w:tr>
        <w:tc>
          <w:tcPr>
            <w:tcW w:type="dxa" w:w="1512"/>
          </w:tcPr>
          <w:p>
            <w:pPr>
              <w:jc w:val="center"/>
            </w:pPr>
            <w:r/>
            <w:r>
              <w:rPr>
                <w:rFonts w:ascii="宋体" w:hAnsi="宋体" w:eastAsia="宋体"/>
                <w:sz w:val="21"/>
              </w:rPr>
              <w:t>Kruskal-Wallis</w:t>
            </w:r>
          </w:p>
        </w:tc>
        <w:tc>
          <w:tcPr>
            <w:tcW w:type="dxa" w:w="1512"/>
          </w:tcPr>
          <w:p>
            <w:pPr>
              <w:jc w:val="center"/>
            </w:pPr>
            <w:r/>
            <w:r>
              <w:rPr>
                <w:rFonts w:ascii="宋体" w:hAnsi="宋体" w:eastAsia="宋体"/>
                <w:sz w:val="21"/>
              </w:rPr>
              <w:t>社交网络(6组)</w:t>
            </w:r>
          </w:p>
        </w:tc>
        <w:tc>
          <w:tcPr>
            <w:tcW w:type="dxa" w:w="1512"/>
          </w:tcPr>
          <w:p>
            <w:pPr>
              <w:jc w:val="center"/>
            </w:pPr>
            <w:r/>
            <w:r>
              <w:rPr>
                <w:rFonts w:ascii="宋体" w:hAnsi="宋体" w:eastAsia="宋体"/>
                <w:sz w:val="21"/>
              </w:rPr>
              <w:t>H=55.8</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df=5</w:t>
            </w:r>
          </w:p>
        </w:tc>
        <w:tc>
          <w:tcPr>
            <w:tcW w:type="dxa" w:w="1512"/>
          </w:tcPr>
          <w:p>
            <w:pPr>
              <w:jc w:val="center"/>
            </w:pPr>
            <w:r/>
            <w:r>
              <w:rPr>
                <w:rFonts w:ascii="宋体" w:hAnsi="宋体" w:eastAsia="宋体"/>
                <w:sz w:val="21"/>
              </w:rPr>
              <w:t>拒绝H₀</w:t>
            </w:r>
          </w:p>
        </w:tc>
      </w:tr>
    </w:tbl>
    <w:p>
      <w:pPr>
        <w:spacing w:line="360" w:lineRule="auto" w:before="0" w:after="0"/>
      </w:pPr>
      <w:r>
        <w:rPr>
          <w:rFonts w:ascii="宋体" w:hAnsi="宋体" w:eastAsia="宋体"/>
          <w:b w:val="0"/>
          <w:sz w:val="24"/>
        </w:rPr>
      </w:r>
    </w:p>
    <w:p>
      <w:pPr>
        <w:jc w:val="center"/>
      </w:pPr>
      <w:r>
        <w:drawing>
          <wp:inline xmlns:a="http://schemas.openxmlformats.org/drawingml/2006/main" xmlns:pic="http://schemas.openxmlformats.org/drawingml/2006/picture">
            <wp:extent cx="5029200" cy="1773734"/>
            <wp:docPr id="5" name="Picture 5"/>
            <wp:cNvGraphicFramePr>
              <a:graphicFrameLocks noChangeAspect="1"/>
            </wp:cNvGraphicFramePr>
            <a:graphic>
              <a:graphicData uri="http://schemas.openxmlformats.org/drawingml/2006/picture">
                <pic:pic>
                  <pic:nvPicPr>
                    <pic:cNvPr id="0" name="fig3_mean_rank.png"/>
                    <pic:cNvPicPr/>
                  </pic:nvPicPr>
                  <pic:blipFill>
                    <a:blip r:embed="rId13"/>
                    <a:stretch>
                      <a:fillRect/>
                    </a:stretch>
                  </pic:blipFill>
                  <pic:spPr>
                    <a:xfrm>
                      <a:off x="0" y="0"/>
                      <a:ext cx="5029200" cy="1773734"/>
                    </a:xfrm>
                    <a:prstGeom prst="rect"/>
                  </pic:spPr>
                </pic:pic>
              </a:graphicData>
            </a:graphic>
          </wp:inline>
        </w:drawing>
      </w:r>
    </w:p>
    <w:p>
      <w:pPr>
        <w:spacing w:line="360" w:lineRule="auto" w:before="0" w:after="0"/>
        <w:jc w:val="center"/>
      </w:pPr>
      <w:r>
        <w:rPr>
          <w:rFonts w:ascii="宋体" w:hAnsi="宋体" w:eastAsia="宋体"/>
          <w:b w:val="0"/>
          <w:sz w:val="24"/>
        </w:rPr>
        <w:t>图5  文化程度和锻炼强度各组生活满意度均值比较（Kruskal-Wallis检验）</w:t>
      </w:r>
    </w:p>
    <w:p>
      <w:pPr>
        <w:spacing w:line="360" w:lineRule="auto" w:before="0" w:after="0"/>
      </w:pPr>
      <w:r>
        <w:rPr>
          <w:rFonts w:ascii="宋体" w:hAnsi="宋体" w:eastAsia="宋体"/>
          <w:b w:val="0"/>
          <w:sz w:val="24"/>
        </w:rPr>
        <w:t>秩检验结果与双样本K-S检验高度一致：自评健康对生活满意度的影响效应量最大（r=0.341，按Cohen标准为中等效应），互联网使用（r=0.108）和婚姻状况（r=0.084）属于小效应。值得注意的是，性别在所有检验中均不显著（Wilcoxon p=0.098, 双样本K-S p=0.553），进一步确认了老年生活满意度的性别平等特征。文化程度的Kruskal-Wallis检验（H=126.0, p&lt;0.001）表明不同教育水平的老年人生活满意度存在显著差异，但组间均值的实际差异较小（变动范围约0.3个单位），提示教育通过健康、经济等其他中介变量间接影响生活满意度。</w:t>
      </w:r>
    </w:p>
    <w:p>
      <w:pPr>
        <w:spacing w:line="360" w:lineRule="auto" w:before="0" w:after="0"/>
        <w:jc w:val="left"/>
      </w:pPr>
      <w:r>
        <w:rPr>
          <w:rFonts w:ascii="黑体" w:hAnsi="黑体" w:eastAsia="黑体"/>
          <w:b w:val="0"/>
          <w:sz w:val="32"/>
        </w:rPr>
        <w:t>四、相关结构与Logistic回归分析——第四章方法应用</w:t>
      </w:r>
    </w:p>
    <w:p>
      <w:pPr>
        <w:spacing w:line="360" w:lineRule="auto" w:before="0" w:after="0"/>
      </w:pPr>
      <w:r>
        <w:rPr>
          <w:rFonts w:ascii="宋体" w:hAnsi="宋体" w:eastAsia="宋体"/>
          <w:b w:val="0"/>
          <w:sz w:val="24"/>
        </w:rPr>
        <w:t>在完成分布特征的系统检验后，本章进一步从相关结构分析和多因素回归建模两个层面，深入分析各因素对生活满意度的综合影响机制。</w:t>
      </w:r>
    </w:p>
    <w:p>
      <w:pPr>
        <w:spacing w:line="360" w:lineRule="auto" w:before="0" w:after="0"/>
        <w:jc w:val="left"/>
      </w:pPr>
      <w:r>
        <w:rPr>
          <w:rFonts w:ascii="楷体" w:hAnsi="楷体" w:eastAsia="楷体"/>
          <w:b w:val="0"/>
          <w:sz w:val="32"/>
        </w:rPr>
        <w:t>（一）Spearman秩相关分析（第三层）</w:t>
      </w:r>
    </w:p>
    <w:p>
      <w:pPr>
        <w:spacing w:line="360" w:lineRule="auto" w:before="0" w:after="0"/>
      </w:pPr>
      <w:r>
        <w:rPr>
          <w:rFonts w:ascii="宋体" w:hAnsi="宋体" w:eastAsia="宋体"/>
          <w:b w:val="0"/>
          <w:sz w:val="24"/>
        </w:rPr>
        <w:t>Spearman秩相关系数（rs）利用数据的秩次而非原始值计算相关性，不依赖正态分布假设，适用于有序变量间的单调关联度量。图4呈现了以生活满意度为核心的全部变量Spearman秩相关系数矩阵。</w:t>
      </w:r>
    </w:p>
    <w:p>
      <w:pPr>
        <w:spacing w:line="360" w:lineRule="auto" w:before="0" w:after="0"/>
        <w:jc w:val="center"/>
      </w:pPr>
      <w:r>
        <w:rPr>
          <w:rFonts w:ascii="宋体" w:hAnsi="宋体" w:eastAsia="宋体"/>
          <w:b w:val="0"/>
          <w:sz w:val="24"/>
        </w:rPr>
        <w:t>表5  生活满意度与各自变量的Spearman秩相关分析</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宋体" w:hAnsi="宋体" w:eastAsia="宋体"/>
                <w:b/>
                <w:sz w:val="21"/>
              </w:rPr>
              <w:t>变量</w:t>
            </w:r>
          </w:p>
        </w:tc>
        <w:tc>
          <w:tcPr>
            <w:tcW w:type="dxa" w:w="1512"/>
          </w:tcPr>
          <w:p>
            <w:pPr>
              <w:jc w:val="center"/>
            </w:pPr>
            <w:r/>
            <w:r>
              <w:rPr>
                <w:rFonts w:ascii="宋体" w:hAnsi="宋体" w:eastAsia="宋体"/>
                <w:b/>
                <w:sz w:val="21"/>
              </w:rPr>
              <w:t>Spearman rs</w:t>
            </w:r>
          </w:p>
        </w:tc>
        <w:tc>
          <w:tcPr>
            <w:tcW w:type="dxa" w:w="1512"/>
          </w:tcPr>
          <w:p>
            <w:pPr>
              <w:jc w:val="center"/>
            </w:pPr>
            <w:r/>
            <w:r>
              <w:rPr>
                <w:rFonts w:ascii="宋体" w:hAnsi="宋体" w:eastAsia="宋体"/>
                <w:b/>
                <w:sz w:val="21"/>
              </w:rPr>
              <w:t>p值</w:t>
            </w:r>
          </w:p>
        </w:tc>
        <w:tc>
          <w:tcPr>
            <w:tcW w:type="dxa" w:w="1512"/>
          </w:tcPr>
          <w:p>
            <w:pPr>
              <w:jc w:val="center"/>
            </w:pPr>
            <w:r/>
            <w:r>
              <w:rPr>
                <w:rFonts w:ascii="宋体" w:hAnsi="宋体" w:eastAsia="宋体"/>
                <w:b/>
                <w:sz w:val="21"/>
              </w:rPr>
              <w:t>显著性</w:t>
            </w:r>
          </w:p>
        </w:tc>
        <w:tc>
          <w:tcPr>
            <w:tcW w:type="dxa" w:w="1512"/>
          </w:tcPr>
          <w:p>
            <w:pPr>
              <w:jc w:val="center"/>
            </w:pPr>
            <w:r/>
            <w:r>
              <w:rPr>
                <w:rFonts w:ascii="宋体" w:hAnsi="宋体" w:eastAsia="宋体"/>
                <w:b/>
                <w:sz w:val="21"/>
              </w:rPr>
              <w:t>关联方向</w:t>
            </w:r>
          </w:p>
        </w:tc>
        <w:tc>
          <w:tcPr>
            <w:tcW w:type="dxa" w:w="1512"/>
          </w:tcPr>
          <w:p>
            <w:pPr>
              <w:jc w:val="center"/>
            </w:pPr>
            <w:r/>
            <w:r>
              <w:rPr>
                <w:rFonts w:ascii="宋体" w:hAnsi="宋体" w:eastAsia="宋体"/>
                <w:b/>
                <w:sz w:val="21"/>
              </w:rPr>
              <w:t>关联强度</w:t>
            </w:r>
          </w:p>
        </w:tc>
      </w:tr>
      <w:tr>
        <w:tc>
          <w:tcPr>
            <w:tcW w:type="dxa" w:w="1512"/>
          </w:tcPr>
          <w:p>
            <w:pPr>
              <w:jc w:val="center"/>
            </w:pPr>
            <w:r/>
            <w:r>
              <w:rPr>
                <w:rFonts w:ascii="宋体" w:hAnsi="宋体" w:eastAsia="宋体"/>
                <w:sz w:val="21"/>
              </w:rPr>
              <w:t>自评健康</w:t>
            </w:r>
          </w:p>
        </w:tc>
        <w:tc>
          <w:tcPr>
            <w:tcW w:type="dxa" w:w="1512"/>
          </w:tcPr>
          <w:p>
            <w:pPr>
              <w:jc w:val="center"/>
            </w:pPr>
            <w:r/>
            <w:r>
              <w:rPr>
                <w:rFonts w:ascii="宋体" w:hAnsi="宋体" w:eastAsia="宋体"/>
                <w:sz w:val="21"/>
              </w:rPr>
              <w:t>0.4074</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w:t>
            </w:r>
          </w:p>
        </w:tc>
        <w:tc>
          <w:tcPr>
            <w:tcW w:type="dxa" w:w="1512"/>
          </w:tcPr>
          <w:p>
            <w:pPr>
              <w:jc w:val="center"/>
            </w:pPr>
            <w:r/>
            <w:r>
              <w:rPr>
                <w:rFonts w:ascii="宋体" w:hAnsi="宋体" w:eastAsia="宋体"/>
                <w:sz w:val="21"/>
              </w:rPr>
              <w:t>正相关(健康差→更不满意)</w:t>
            </w:r>
          </w:p>
        </w:tc>
        <w:tc>
          <w:tcPr>
            <w:tcW w:type="dxa" w:w="1512"/>
          </w:tcPr>
          <w:p>
            <w:pPr>
              <w:jc w:val="center"/>
            </w:pPr>
            <w:r/>
            <w:r>
              <w:rPr>
                <w:rFonts w:ascii="宋体" w:hAnsi="宋体" w:eastAsia="宋体"/>
                <w:sz w:val="21"/>
              </w:rPr>
              <w:t>中等(r=0.407)</w:t>
            </w:r>
          </w:p>
        </w:tc>
      </w:tr>
      <w:tr>
        <w:tc>
          <w:tcPr>
            <w:tcW w:type="dxa" w:w="1512"/>
          </w:tcPr>
          <w:p>
            <w:pPr>
              <w:jc w:val="center"/>
            </w:pPr>
            <w:r/>
            <w:r>
              <w:rPr>
                <w:rFonts w:ascii="宋体" w:hAnsi="宋体" w:eastAsia="宋体"/>
                <w:sz w:val="21"/>
              </w:rPr>
              <w:t>上网</w:t>
            </w:r>
          </w:p>
        </w:tc>
        <w:tc>
          <w:tcPr>
            <w:tcW w:type="dxa" w:w="1512"/>
          </w:tcPr>
          <w:p>
            <w:pPr>
              <w:jc w:val="center"/>
            </w:pPr>
            <w:r/>
            <w:r>
              <w:rPr>
                <w:rFonts w:ascii="宋体" w:hAnsi="宋体" w:eastAsia="宋体"/>
                <w:sz w:val="21"/>
              </w:rPr>
              <w:t>-0.1157</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w:t>
            </w:r>
          </w:p>
        </w:tc>
        <w:tc>
          <w:tcPr>
            <w:tcW w:type="dxa" w:w="1512"/>
          </w:tcPr>
          <w:p>
            <w:pPr>
              <w:jc w:val="center"/>
            </w:pPr>
            <w:r/>
            <w:r>
              <w:rPr>
                <w:rFonts w:ascii="宋体" w:hAnsi="宋体" w:eastAsia="宋体"/>
                <w:sz w:val="21"/>
              </w:rPr>
              <w:t>负相关(上网→更满意)</w:t>
            </w:r>
          </w:p>
        </w:tc>
        <w:tc>
          <w:tcPr>
            <w:tcW w:type="dxa" w:w="1512"/>
          </w:tcPr>
          <w:p>
            <w:pPr>
              <w:jc w:val="center"/>
            </w:pPr>
            <w:r/>
            <w:r>
              <w:rPr>
                <w:rFonts w:ascii="宋体" w:hAnsi="宋体" w:eastAsia="宋体"/>
                <w:sz w:val="21"/>
              </w:rPr>
              <w:t>弱(r≈0.1)</w:t>
            </w:r>
          </w:p>
        </w:tc>
      </w:tr>
      <w:tr>
        <w:tc>
          <w:tcPr>
            <w:tcW w:type="dxa" w:w="1512"/>
          </w:tcPr>
          <w:p>
            <w:pPr>
              <w:jc w:val="center"/>
            </w:pPr>
            <w:r/>
            <w:r>
              <w:rPr>
                <w:rFonts w:ascii="宋体" w:hAnsi="宋体" w:eastAsia="宋体"/>
                <w:sz w:val="21"/>
              </w:rPr>
              <w:t>童年饥饿</w:t>
            </w:r>
          </w:p>
        </w:tc>
        <w:tc>
          <w:tcPr>
            <w:tcW w:type="dxa" w:w="1512"/>
          </w:tcPr>
          <w:p>
            <w:pPr>
              <w:jc w:val="center"/>
            </w:pPr>
            <w:r/>
            <w:r>
              <w:rPr>
                <w:rFonts w:ascii="宋体" w:hAnsi="宋体" w:eastAsia="宋体"/>
                <w:sz w:val="21"/>
              </w:rPr>
              <w:t>-0.0988</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w:t>
            </w:r>
          </w:p>
        </w:tc>
        <w:tc>
          <w:tcPr>
            <w:tcW w:type="dxa" w:w="1512"/>
          </w:tcPr>
          <w:p>
            <w:pPr>
              <w:jc w:val="center"/>
            </w:pPr>
            <w:r/>
            <w:r>
              <w:rPr>
                <w:rFonts w:ascii="宋体" w:hAnsi="宋体" w:eastAsia="宋体"/>
                <w:sz w:val="21"/>
              </w:rPr>
              <w:t>负相关(饥饿→不满意较少)</w:t>
            </w:r>
          </w:p>
        </w:tc>
        <w:tc>
          <w:tcPr>
            <w:tcW w:type="dxa" w:w="1512"/>
          </w:tcPr>
          <w:p>
            <w:pPr>
              <w:jc w:val="center"/>
            </w:pPr>
            <w:r/>
            <w:r>
              <w:rPr>
                <w:rFonts w:ascii="宋体" w:hAnsi="宋体" w:eastAsia="宋体"/>
                <w:sz w:val="21"/>
              </w:rPr>
              <w:t>弱(r≈0.1)</w:t>
            </w:r>
          </w:p>
        </w:tc>
      </w:tr>
      <w:tr>
        <w:tc>
          <w:tcPr>
            <w:tcW w:type="dxa" w:w="1512"/>
          </w:tcPr>
          <w:p>
            <w:pPr>
              <w:jc w:val="center"/>
            </w:pPr>
            <w:r/>
            <w:r>
              <w:rPr>
                <w:rFonts w:ascii="宋体" w:hAnsi="宋体" w:eastAsia="宋体"/>
                <w:sz w:val="21"/>
              </w:rPr>
              <w:t>文化程度</w:t>
            </w:r>
          </w:p>
        </w:tc>
        <w:tc>
          <w:tcPr>
            <w:tcW w:type="dxa" w:w="1512"/>
          </w:tcPr>
          <w:p>
            <w:pPr>
              <w:jc w:val="center"/>
            </w:pPr>
            <w:r/>
            <w:r>
              <w:rPr>
                <w:rFonts w:ascii="宋体" w:hAnsi="宋体" w:eastAsia="宋体"/>
                <w:sz w:val="21"/>
              </w:rPr>
              <w:t>-0.0944</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w:t>
            </w:r>
          </w:p>
        </w:tc>
        <w:tc>
          <w:tcPr>
            <w:tcW w:type="dxa" w:w="1512"/>
          </w:tcPr>
          <w:p>
            <w:pPr>
              <w:jc w:val="center"/>
            </w:pPr>
            <w:r/>
            <w:r>
              <w:rPr>
                <w:rFonts w:ascii="宋体" w:hAnsi="宋体" w:eastAsia="宋体"/>
                <w:sz w:val="21"/>
              </w:rPr>
              <w:t>负相关(高教育→更满意)</w:t>
            </w:r>
          </w:p>
        </w:tc>
        <w:tc>
          <w:tcPr>
            <w:tcW w:type="dxa" w:w="1512"/>
          </w:tcPr>
          <w:p>
            <w:pPr>
              <w:jc w:val="center"/>
            </w:pPr>
            <w:r/>
            <w:r>
              <w:rPr>
                <w:rFonts w:ascii="宋体" w:hAnsi="宋体" w:eastAsia="宋体"/>
                <w:sz w:val="21"/>
              </w:rPr>
              <w:t>弱</w:t>
            </w:r>
          </w:p>
        </w:tc>
      </w:tr>
      <w:tr>
        <w:tc>
          <w:tcPr>
            <w:tcW w:type="dxa" w:w="1512"/>
          </w:tcPr>
          <w:p>
            <w:pPr>
              <w:jc w:val="center"/>
            </w:pPr>
            <w:r/>
            <w:r>
              <w:rPr>
                <w:rFonts w:ascii="宋体" w:hAnsi="宋体" w:eastAsia="宋体"/>
                <w:sz w:val="21"/>
              </w:rPr>
              <w:t>有配偶</w:t>
            </w:r>
          </w:p>
        </w:tc>
        <w:tc>
          <w:tcPr>
            <w:tcW w:type="dxa" w:w="1512"/>
          </w:tcPr>
          <w:p>
            <w:pPr>
              <w:jc w:val="center"/>
            </w:pPr>
            <w:r/>
            <w:r>
              <w:rPr>
                <w:rFonts w:ascii="宋体" w:hAnsi="宋体" w:eastAsia="宋体"/>
                <w:sz w:val="21"/>
              </w:rPr>
              <w:t>-0.0901</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w:t>
            </w:r>
          </w:p>
        </w:tc>
        <w:tc>
          <w:tcPr>
            <w:tcW w:type="dxa" w:w="1512"/>
          </w:tcPr>
          <w:p>
            <w:pPr>
              <w:jc w:val="center"/>
            </w:pPr>
            <w:r/>
            <w:r>
              <w:rPr>
                <w:rFonts w:ascii="宋体" w:hAnsi="宋体" w:eastAsia="宋体"/>
                <w:sz w:val="21"/>
              </w:rPr>
              <w:t>负相关(有配偶→更满意)</w:t>
            </w:r>
          </w:p>
        </w:tc>
        <w:tc>
          <w:tcPr>
            <w:tcW w:type="dxa" w:w="1512"/>
          </w:tcPr>
          <w:p>
            <w:pPr>
              <w:jc w:val="center"/>
            </w:pPr>
            <w:r/>
            <w:r>
              <w:rPr>
                <w:rFonts w:ascii="宋体" w:hAnsi="宋体" w:eastAsia="宋体"/>
                <w:sz w:val="21"/>
              </w:rPr>
              <w:t>弱</w:t>
            </w:r>
          </w:p>
        </w:tc>
      </w:tr>
      <w:tr>
        <w:tc>
          <w:tcPr>
            <w:tcW w:type="dxa" w:w="1512"/>
          </w:tcPr>
          <w:p>
            <w:pPr>
              <w:jc w:val="center"/>
            </w:pPr>
            <w:r/>
            <w:r>
              <w:rPr>
                <w:rFonts w:ascii="宋体" w:hAnsi="宋体" w:eastAsia="宋体"/>
                <w:sz w:val="21"/>
              </w:rPr>
              <w:t>年龄</w:t>
            </w:r>
          </w:p>
        </w:tc>
        <w:tc>
          <w:tcPr>
            <w:tcW w:type="dxa" w:w="1512"/>
          </w:tcPr>
          <w:p>
            <w:pPr>
              <w:jc w:val="center"/>
            </w:pPr>
            <w:r/>
            <w:r>
              <w:rPr>
                <w:rFonts w:ascii="宋体" w:hAnsi="宋体" w:eastAsia="宋体"/>
                <w:sz w:val="21"/>
              </w:rPr>
              <w:t>0.0880</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w:t>
            </w:r>
          </w:p>
        </w:tc>
        <w:tc>
          <w:tcPr>
            <w:tcW w:type="dxa" w:w="1512"/>
          </w:tcPr>
          <w:p>
            <w:pPr>
              <w:jc w:val="center"/>
            </w:pPr>
            <w:r/>
            <w:r>
              <w:rPr>
                <w:rFonts w:ascii="宋体" w:hAnsi="宋体" w:eastAsia="宋体"/>
                <w:sz w:val="21"/>
              </w:rPr>
              <w:t>正相关(高龄→更不满意)</w:t>
            </w:r>
          </w:p>
        </w:tc>
        <w:tc>
          <w:tcPr>
            <w:tcW w:type="dxa" w:w="1512"/>
          </w:tcPr>
          <w:p>
            <w:pPr>
              <w:jc w:val="center"/>
            </w:pPr>
            <w:r/>
            <w:r>
              <w:rPr>
                <w:rFonts w:ascii="宋体" w:hAnsi="宋体" w:eastAsia="宋体"/>
                <w:sz w:val="21"/>
              </w:rPr>
              <w:t>弱</w:t>
            </w:r>
          </w:p>
        </w:tc>
      </w:tr>
      <w:tr>
        <w:tc>
          <w:tcPr>
            <w:tcW w:type="dxa" w:w="1512"/>
          </w:tcPr>
          <w:p>
            <w:pPr>
              <w:jc w:val="center"/>
            </w:pPr>
            <w:r/>
            <w:r>
              <w:rPr>
                <w:rFonts w:ascii="宋体" w:hAnsi="宋体" w:eastAsia="宋体"/>
                <w:sz w:val="21"/>
              </w:rPr>
              <w:t>BMI</w:t>
            </w:r>
          </w:p>
        </w:tc>
        <w:tc>
          <w:tcPr>
            <w:tcW w:type="dxa" w:w="1512"/>
          </w:tcPr>
          <w:p>
            <w:pPr>
              <w:jc w:val="center"/>
            </w:pPr>
            <w:r/>
            <w:r>
              <w:rPr>
                <w:rFonts w:ascii="宋体" w:hAnsi="宋体" w:eastAsia="宋体"/>
                <w:sz w:val="21"/>
              </w:rPr>
              <w:t>-0.0755</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w:t>
            </w:r>
          </w:p>
        </w:tc>
        <w:tc>
          <w:tcPr>
            <w:tcW w:type="dxa" w:w="1512"/>
          </w:tcPr>
          <w:p>
            <w:pPr>
              <w:jc w:val="center"/>
            </w:pPr>
            <w:r/>
            <w:r>
              <w:rPr>
                <w:rFonts w:ascii="宋体" w:hAnsi="宋体" w:eastAsia="宋体"/>
                <w:sz w:val="21"/>
              </w:rPr>
              <w:t>负相关(高BMI→更满意)</w:t>
            </w:r>
          </w:p>
        </w:tc>
        <w:tc>
          <w:tcPr>
            <w:tcW w:type="dxa" w:w="1512"/>
          </w:tcPr>
          <w:p>
            <w:pPr>
              <w:jc w:val="center"/>
            </w:pPr>
            <w:r/>
            <w:r>
              <w:rPr>
                <w:rFonts w:ascii="宋体" w:hAnsi="宋体" w:eastAsia="宋体"/>
                <w:sz w:val="21"/>
              </w:rPr>
              <w:t>弱</w:t>
            </w:r>
          </w:p>
        </w:tc>
      </w:tr>
      <w:tr>
        <w:tc>
          <w:tcPr>
            <w:tcW w:type="dxa" w:w="1512"/>
          </w:tcPr>
          <w:p>
            <w:pPr>
              <w:jc w:val="center"/>
            </w:pPr>
            <w:r/>
            <w:r>
              <w:rPr>
                <w:rFonts w:ascii="宋体" w:hAnsi="宋体" w:eastAsia="宋体"/>
                <w:sz w:val="21"/>
              </w:rPr>
              <w:t>社交网络</w:t>
            </w:r>
          </w:p>
        </w:tc>
        <w:tc>
          <w:tcPr>
            <w:tcW w:type="dxa" w:w="1512"/>
          </w:tcPr>
          <w:p>
            <w:pPr>
              <w:jc w:val="center"/>
            </w:pPr>
            <w:r/>
            <w:r>
              <w:rPr>
                <w:rFonts w:ascii="宋体" w:hAnsi="宋体" w:eastAsia="宋体"/>
                <w:sz w:val="21"/>
              </w:rPr>
              <w:t>-0.0548</w:t>
            </w:r>
          </w:p>
        </w:tc>
        <w:tc>
          <w:tcPr>
            <w:tcW w:type="dxa" w:w="1512"/>
          </w:tcPr>
          <w:p>
            <w:pPr>
              <w:jc w:val="center"/>
            </w:pPr>
            <w:r/>
            <w:r>
              <w:rPr>
                <w:rFonts w:ascii="宋体" w:hAnsi="宋体" w:eastAsia="宋体"/>
                <w:sz w:val="21"/>
              </w:rPr>
              <w:t>&lt;0.001</w:t>
            </w:r>
          </w:p>
        </w:tc>
        <w:tc>
          <w:tcPr>
            <w:tcW w:type="dxa" w:w="1512"/>
          </w:tcPr>
          <w:p>
            <w:pPr>
              <w:jc w:val="center"/>
            </w:pPr>
            <w:r/>
            <w:r>
              <w:rPr>
                <w:rFonts w:ascii="宋体" w:hAnsi="宋体" w:eastAsia="宋体"/>
                <w:sz w:val="21"/>
              </w:rPr>
              <w:t>***</w:t>
            </w:r>
          </w:p>
        </w:tc>
        <w:tc>
          <w:tcPr>
            <w:tcW w:type="dxa" w:w="1512"/>
          </w:tcPr>
          <w:p>
            <w:pPr>
              <w:jc w:val="center"/>
            </w:pPr>
            <w:r/>
            <w:r>
              <w:rPr>
                <w:rFonts w:ascii="宋体" w:hAnsi="宋体" w:eastAsia="宋体"/>
                <w:sz w:val="21"/>
              </w:rPr>
              <w:t>负相关(大网络→更满意)</w:t>
            </w:r>
          </w:p>
        </w:tc>
        <w:tc>
          <w:tcPr>
            <w:tcW w:type="dxa" w:w="1512"/>
          </w:tcPr>
          <w:p>
            <w:pPr>
              <w:jc w:val="center"/>
            </w:pPr>
            <w:r/>
            <w:r>
              <w:rPr>
                <w:rFonts w:ascii="宋体" w:hAnsi="宋体" w:eastAsia="宋体"/>
                <w:sz w:val="21"/>
              </w:rPr>
              <w:t>弱</w:t>
            </w:r>
          </w:p>
        </w:tc>
      </w:tr>
      <w:tr>
        <w:tc>
          <w:tcPr>
            <w:tcW w:type="dxa" w:w="1512"/>
          </w:tcPr>
          <w:p>
            <w:pPr>
              <w:jc w:val="center"/>
            </w:pPr>
            <w:r/>
            <w:r>
              <w:rPr>
                <w:rFonts w:ascii="宋体" w:hAnsi="宋体" w:eastAsia="宋体"/>
                <w:sz w:val="21"/>
              </w:rPr>
              <w:t>锻炼强度</w:t>
            </w:r>
          </w:p>
        </w:tc>
        <w:tc>
          <w:tcPr>
            <w:tcW w:type="dxa" w:w="1512"/>
          </w:tcPr>
          <w:p>
            <w:pPr>
              <w:jc w:val="center"/>
            </w:pPr>
            <w:r/>
            <w:r>
              <w:rPr>
                <w:rFonts w:ascii="宋体" w:hAnsi="宋体" w:eastAsia="宋体"/>
                <w:sz w:val="21"/>
              </w:rPr>
              <w:t>-0.0093</w:t>
            </w:r>
          </w:p>
        </w:tc>
        <w:tc>
          <w:tcPr>
            <w:tcW w:type="dxa" w:w="1512"/>
          </w:tcPr>
          <w:p>
            <w:pPr>
              <w:jc w:val="center"/>
            </w:pPr>
            <w:r/>
            <w:r>
              <w:rPr>
                <w:rFonts w:ascii="宋体" w:hAnsi="宋体" w:eastAsia="宋体"/>
                <w:sz w:val="21"/>
              </w:rPr>
              <w:t>0.3208</w:t>
            </w:r>
          </w:p>
        </w:tc>
        <w:tc>
          <w:tcPr>
            <w:tcW w:type="dxa" w:w="1512"/>
          </w:tcPr>
          <w:p>
            <w:pPr>
              <w:jc w:val="center"/>
            </w:pPr>
            <w:r/>
            <w:r>
              <w:rPr>
                <w:rFonts w:ascii="宋体" w:hAnsi="宋体" w:eastAsia="宋体"/>
                <w:sz w:val="21"/>
              </w:rPr>
              <w:t>ns</w:t>
            </w:r>
          </w:p>
        </w:tc>
        <w:tc>
          <w:tcPr>
            <w:tcW w:type="dxa" w:w="1512"/>
          </w:tcPr>
          <w:p>
            <w:pPr>
              <w:jc w:val="center"/>
            </w:pPr>
            <w:r/>
            <w:r>
              <w:rPr>
                <w:rFonts w:ascii="宋体" w:hAnsi="宋体" w:eastAsia="宋体"/>
                <w:sz w:val="21"/>
              </w:rPr>
              <w:t>——</w:t>
            </w:r>
          </w:p>
        </w:tc>
        <w:tc>
          <w:tcPr>
            <w:tcW w:type="dxa" w:w="1512"/>
          </w:tcPr>
          <w:p>
            <w:pPr>
              <w:jc w:val="center"/>
            </w:pPr>
            <w:r/>
            <w:r>
              <w:rPr>
                <w:rFonts w:ascii="宋体" w:hAnsi="宋体" w:eastAsia="宋体"/>
                <w:sz w:val="21"/>
              </w:rPr>
              <w:t>不显著</w:t>
            </w:r>
          </w:p>
        </w:tc>
      </w:tr>
      <w:tr>
        <w:tc>
          <w:tcPr>
            <w:tcW w:type="dxa" w:w="1512"/>
          </w:tcPr>
          <w:p>
            <w:pPr>
              <w:jc w:val="center"/>
            </w:pPr>
            <w:r/>
            <w:r>
              <w:rPr>
                <w:rFonts w:ascii="宋体" w:hAnsi="宋体" w:eastAsia="宋体"/>
                <w:sz w:val="21"/>
              </w:rPr>
              <w:t>女性</w:t>
            </w:r>
          </w:p>
        </w:tc>
        <w:tc>
          <w:tcPr>
            <w:tcW w:type="dxa" w:w="1512"/>
          </w:tcPr>
          <w:p>
            <w:pPr>
              <w:jc w:val="center"/>
            </w:pPr>
            <w:r/>
            <w:r>
              <w:rPr>
                <w:rFonts w:ascii="宋体" w:hAnsi="宋体" w:eastAsia="宋体"/>
                <w:sz w:val="21"/>
              </w:rPr>
              <w:t>0.0156</w:t>
            </w:r>
          </w:p>
        </w:tc>
        <w:tc>
          <w:tcPr>
            <w:tcW w:type="dxa" w:w="1512"/>
          </w:tcPr>
          <w:p>
            <w:pPr>
              <w:jc w:val="center"/>
            </w:pPr>
            <w:r/>
            <w:r>
              <w:rPr>
                <w:rFonts w:ascii="宋体" w:hAnsi="宋体" w:eastAsia="宋体"/>
                <w:sz w:val="21"/>
              </w:rPr>
              <w:t>0.0977</w:t>
            </w:r>
          </w:p>
        </w:tc>
        <w:tc>
          <w:tcPr>
            <w:tcW w:type="dxa" w:w="1512"/>
          </w:tcPr>
          <w:p>
            <w:pPr>
              <w:jc w:val="center"/>
            </w:pPr>
            <w:r/>
            <w:r>
              <w:rPr>
                <w:rFonts w:ascii="宋体" w:hAnsi="宋体" w:eastAsia="宋体"/>
                <w:sz w:val="21"/>
              </w:rPr>
              <w:t>ns</w:t>
            </w:r>
          </w:p>
        </w:tc>
        <w:tc>
          <w:tcPr>
            <w:tcW w:type="dxa" w:w="1512"/>
          </w:tcPr>
          <w:p>
            <w:pPr>
              <w:jc w:val="center"/>
            </w:pPr>
            <w:r/>
            <w:r>
              <w:rPr>
                <w:rFonts w:ascii="宋体" w:hAnsi="宋体" w:eastAsia="宋体"/>
                <w:sz w:val="21"/>
              </w:rPr>
              <w:t>——</w:t>
            </w:r>
          </w:p>
        </w:tc>
        <w:tc>
          <w:tcPr>
            <w:tcW w:type="dxa" w:w="1512"/>
          </w:tcPr>
          <w:p>
            <w:pPr>
              <w:jc w:val="center"/>
            </w:pPr>
            <w:r/>
            <w:r>
              <w:rPr>
                <w:rFonts w:ascii="宋体" w:hAnsi="宋体" w:eastAsia="宋体"/>
                <w:sz w:val="21"/>
              </w:rPr>
              <w:t>不显著</w:t>
            </w:r>
          </w:p>
        </w:tc>
      </w:tr>
    </w:tbl>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t>注：*** p&lt;0.001, ns=不显著。生活满意度分值越低表示越满意，因此负rs表示该变量与更高满意度关联。</w:t>
      </w:r>
    </w:p>
    <w:p>
      <w:pPr>
        <w:jc w:val="center"/>
      </w:pPr>
      <w:r>
        <w:drawing>
          <wp:inline xmlns:a="http://schemas.openxmlformats.org/drawingml/2006/main" xmlns:pic="http://schemas.openxmlformats.org/drawingml/2006/picture">
            <wp:extent cx="5029200" cy="4286949"/>
            <wp:docPr id="6" name="Picture 6"/>
            <wp:cNvGraphicFramePr>
              <a:graphicFrameLocks noChangeAspect="1"/>
            </wp:cNvGraphicFramePr>
            <a:graphic>
              <a:graphicData uri="http://schemas.openxmlformats.org/drawingml/2006/picture">
                <pic:pic>
                  <pic:nvPicPr>
                    <pic:cNvPr id="0" name="fig4_spearman_heatmap.png"/>
                    <pic:cNvPicPr/>
                  </pic:nvPicPr>
                  <pic:blipFill>
                    <a:blip r:embed="rId14"/>
                    <a:stretch>
                      <a:fillRect/>
                    </a:stretch>
                  </pic:blipFill>
                  <pic:spPr>
                    <a:xfrm>
                      <a:off x="0" y="0"/>
                      <a:ext cx="5029200" cy="4286949"/>
                    </a:xfrm>
                    <a:prstGeom prst="rect"/>
                  </pic:spPr>
                </pic:pic>
              </a:graphicData>
            </a:graphic>
          </wp:inline>
        </w:drawing>
      </w:r>
    </w:p>
    <w:p>
      <w:pPr>
        <w:spacing w:line="360" w:lineRule="auto" w:before="0" w:after="0"/>
        <w:jc w:val="center"/>
      </w:pPr>
      <w:r>
        <w:rPr>
          <w:rFonts w:ascii="宋体" w:hAnsi="宋体" w:eastAsia="宋体"/>
          <w:b w:val="0"/>
          <w:sz w:val="24"/>
        </w:rPr>
        <w:t>图6  Spearman秩相关系数矩阵（聚焦生活满意度）</w:t>
      </w:r>
    </w:p>
    <w:p>
      <w:pPr>
        <w:spacing w:line="360" w:lineRule="auto" w:before="0" w:after="0"/>
      </w:pPr>
      <w:r>
        <w:rPr>
          <w:rFonts w:ascii="宋体" w:hAnsi="宋体" w:eastAsia="宋体"/>
          <w:b w:val="0"/>
          <w:sz w:val="24"/>
        </w:rPr>
        <w:t>Spearman秩相关分析的核心发现包括：（1）自评健康与生活满意度的秩相关系数rs=0.407（p&lt;0.001），在所有变量中关联最强，属于中等程度的相关，确证了健康是老年主观福祉的核心支柱。（2）互联网使用的rs=-0.116（p&lt;0.001），方向为负（上网→更满意），但绝对值在所有显著变量中仅居中等水平——这一结论与双样本K-S检验和秩和检验一致，均表明互联网对生活满意度的影响虽然统计显著，但效应量较小。（3）文化程度（rs=-0.094）、有配偶（rs=-0.090）和童年饥饿（rs=-0.099）的效应量均约为0.1，表明这些因素的独立相关效应虽然可靠但有限。（4）锻炼强度和性别与生活满意度的Spearman相关不显著，与前述秩检验结果完全一致，进一步确认了这两个维度在老年生活满意度中的有限解释力。</w:t>
      </w:r>
    </w:p>
    <w:p>
      <w:pPr>
        <w:spacing w:line="360" w:lineRule="auto" w:before="0" w:after="0"/>
        <w:jc w:val="left"/>
      </w:pPr>
      <w:r>
        <w:rPr>
          <w:rFonts w:ascii="楷体" w:hAnsi="楷体" w:eastAsia="楷体"/>
          <w:b w:val="0"/>
          <w:sz w:val="32"/>
        </w:rPr>
        <w:t>（二）Logistic回归：生活不满意的多因素模型（第四层）</w:t>
      </w:r>
    </w:p>
    <w:p>
      <w:pPr>
        <w:spacing w:line="360" w:lineRule="auto" w:before="0" w:after="0"/>
      </w:pPr>
      <w:r>
        <w:rPr>
          <w:rFonts w:ascii="宋体" w:hAnsi="宋体" w:eastAsia="宋体"/>
          <w:b w:val="0"/>
          <w:sz w:val="24"/>
        </w:rPr>
        <w:t>为进一步考察各因素对生活满意度的综合影响及独立效应，本节构建二元Logistic回归模型（第四章方法），以"生活不满意"（=1）为因变量。Logistic回归通过logit(p)=log(p/(1-p))=Xβ将线性预测映射到概率空间，采用最大似然法估计参数，并借助Wald检验判断个体回归系数的显著性。</w:t>
      </w:r>
    </w:p>
    <w:p>
      <w:pPr>
        <w:spacing w:line="360" w:lineRule="auto" w:before="0" w:after="0"/>
        <w:jc w:val="left"/>
      </w:pPr>
      <w:r>
        <w:rPr>
          <w:rFonts w:ascii="宋体" w:hAnsi="宋体" w:eastAsia="宋体"/>
          <w:b w:val="0"/>
          <w:sz w:val="28"/>
        </w:rPr>
        <w:t>1. 模型设定与整体检验</w:t>
      </w:r>
    </w:p>
    <w:p>
      <w:pPr>
        <w:spacing w:line="360" w:lineRule="auto" w:before="0" w:after="0"/>
      </w:pPr>
      <w:r>
        <w:rPr>
          <w:rFonts w:ascii="宋体" w:hAnsi="宋体" w:eastAsia="宋体"/>
          <w:b w:val="0"/>
          <w:sz w:val="24"/>
        </w:rPr>
        <w:t>模型：logit[P(生活不满意=1)] = β₀ + β₁·女性 + β₂·年龄 + β₃·BMI + β₄·文化程度 + β₅·自评健康差 + β₆·童年饥饿 + β₇·社交网络 + β₈·有配偶 + β₉·上网 + β₁₀·锻炼强度。</w:t>
      </w:r>
    </w:p>
    <w:p>
      <w:pPr>
        <w:spacing w:line="360" w:lineRule="auto" w:before="0" w:after="0"/>
      </w:pPr>
      <w:r>
        <w:rPr>
          <w:rFonts w:ascii="宋体" w:hAnsi="宋体" w:eastAsia="宋体"/>
          <w:b w:val="0"/>
          <w:sz w:val="24"/>
        </w:rPr>
        <w:t>似然比检验（LR test）结果：LR χ²(10)=1843.78，p&lt;0.001，拒绝"所有回归系数均为零"的原假设，模型整体显著。McFadden Pseudo R²=0.1264，AIC=12759.96，BIC=12840.62。</w:t>
      </w:r>
    </w:p>
    <w:p>
      <w:pPr>
        <w:spacing w:line="360" w:lineRule="auto" w:before="0" w:after="0"/>
        <w:jc w:val="left"/>
      </w:pPr>
      <w:r>
        <w:rPr>
          <w:rFonts w:ascii="宋体" w:hAnsi="宋体" w:eastAsia="宋体"/>
          <w:b w:val="0"/>
          <w:sz w:val="28"/>
        </w:rPr>
        <w:t>2. 回归结果与Wald检验</w:t>
      </w:r>
    </w:p>
    <w:p>
      <w:pPr>
        <w:spacing w:line="360" w:lineRule="auto" w:before="0" w:after="0"/>
        <w:jc w:val="center"/>
      </w:pPr>
      <w:r>
        <w:rPr>
          <w:rFonts w:ascii="宋体" w:hAnsi="宋体" w:eastAsia="宋体"/>
          <w:b w:val="0"/>
          <w:sz w:val="24"/>
        </w:rPr>
        <w:t>表6  Logistic回归：生活不满意的影响因素</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jc w:val="center"/>
            </w:pPr>
            <w:r/>
            <w:r>
              <w:rPr>
                <w:rFonts w:ascii="宋体" w:hAnsi="宋体" w:eastAsia="宋体"/>
                <w:b/>
                <w:sz w:val="21"/>
              </w:rPr>
              <w:t>变量</w:t>
            </w:r>
          </w:p>
        </w:tc>
        <w:tc>
          <w:tcPr>
            <w:tcW w:type="dxa" w:w="1134"/>
          </w:tcPr>
          <w:p>
            <w:pPr>
              <w:jc w:val="center"/>
            </w:pPr>
            <w:r/>
            <w:r>
              <w:rPr>
                <w:rFonts w:ascii="宋体" w:hAnsi="宋体" w:eastAsia="宋体"/>
                <w:b/>
                <w:sz w:val="21"/>
              </w:rPr>
              <w:t>系数β</w:t>
            </w:r>
          </w:p>
        </w:tc>
        <w:tc>
          <w:tcPr>
            <w:tcW w:type="dxa" w:w="1134"/>
          </w:tcPr>
          <w:p>
            <w:pPr>
              <w:jc w:val="center"/>
            </w:pPr>
            <w:r/>
            <w:r>
              <w:rPr>
                <w:rFonts w:ascii="宋体" w:hAnsi="宋体" w:eastAsia="宋体"/>
                <w:b/>
                <w:sz w:val="21"/>
              </w:rPr>
              <w:t>标准误(SE)</w:t>
            </w:r>
          </w:p>
        </w:tc>
        <w:tc>
          <w:tcPr>
            <w:tcW w:type="dxa" w:w="1134"/>
          </w:tcPr>
          <w:p>
            <w:pPr>
              <w:jc w:val="center"/>
            </w:pPr>
            <w:r/>
            <w:r>
              <w:rPr>
                <w:rFonts w:ascii="宋体" w:hAnsi="宋体" w:eastAsia="宋体"/>
                <w:b/>
                <w:sz w:val="21"/>
              </w:rPr>
              <w:t>Wald z</w:t>
            </w:r>
          </w:p>
        </w:tc>
        <w:tc>
          <w:tcPr>
            <w:tcW w:type="dxa" w:w="1134"/>
          </w:tcPr>
          <w:p>
            <w:pPr>
              <w:jc w:val="center"/>
            </w:pPr>
            <w:r/>
            <w:r>
              <w:rPr>
                <w:rFonts w:ascii="宋体" w:hAnsi="宋体" w:eastAsia="宋体"/>
                <w:b/>
                <w:sz w:val="21"/>
              </w:rPr>
              <w:t>p值</w:t>
            </w:r>
          </w:p>
        </w:tc>
        <w:tc>
          <w:tcPr>
            <w:tcW w:type="dxa" w:w="1134"/>
          </w:tcPr>
          <w:p>
            <w:pPr>
              <w:jc w:val="center"/>
            </w:pPr>
            <w:r/>
            <w:r>
              <w:rPr>
                <w:rFonts w:ascii="宋体" w:hAnsi="宋体" w:eastAsia="宋体"/>
                <w:b/>
                <w:sz w:val="21"/>
              </w:rPr>
              <w:t>OR</w:t>
            </w:r>
          </w:p>
        </w:tc>
        <w:tc>
          <w:tcPr>
            <w:tcW w:type="dxa" w:w="1134"/>
          </w:tcPr>
          <w:p>
            <w:pPr>
              <w:jc w:val="center"/>
            </w:pPr>
            <w:r/>
            <w:r>
              <w:rPr>
                <w:rFonts w:ascii="宋体" w:hAnsi="宋体" w:eastAsia="宋体"/>
                <w:b/>
                <w:sz w:val="21"/>
              </w:rPr>
              <w:t>95% CI</w:t>
            </w:r>
          </w:p>
        </w:tc>
        <w:tc>
          <w:tcPr>
            <w:tcW w:type="dxa" w:w="1134"/>
          </w:tcPr>
          <w:p>
            <w:pPr>
              <w:jc w:val="center"/>
            </w:pPr>
            <w:r/>
            <w:r>
              <w:rPr>
                <w:rFonts w:ascii="宋体" w:hAnsi="宋体" w:eastAsia="宋体"/>
                <w:b/>
                <w:sz w:val="21"/>
              </w:rPr>
              <w:t>显著性</w:t>
            </w:r>
          </w:p>
        </w:tc>
      </w:tr>
      <w:tr>
        <w:tc>
          <w:tcPr>
            <w:tcW w:type="dxa" w:w="1134"/>
          </w:tcPr>
          <w:p>
            <w:pPr>
              <w:jc w:val="center"/>
            </w:pPr>
            <w:r/>
            <w:r>
              <w:rPr>
                <w:rFonts w:ascii="宋体" w:hAnsi="宋体" w:eastAsia="宋体"/>
                <w:sz w:val="21"/>
              </w:rPr>
              <w:t>截距项</w:t>
            </w:r>
          </w:p>
        </w:tc>
        <w:tc>
          <w:tcPr>
            <w:tcW w:type="dxa" w:w="1134"/>
          </w:tcPr>
          <w:p>
            <w:pPr>
              <w:jc w:val="center"/>
            </w:pPr>
            <w:r/>
            <w:r>
              <w:rPr>
                <w:rFonts w:ascii="宋体" w:hAnsi="宋体" w:eastAsia="宋体"/>
                <w:sz w:val="21"/>
              </w:rPr>
              <w:t>-0.8225</w:t>
            </w:r>
          </w:p>
        </w:tc>
        <w:tc>
          <w:tcPr>
            <w:tcW w:type="dxa" w:w="1134"/>
          </w:tcPr>
          <w:p>
            <w:pPr>
              <w:jc w:val="center"/>
            </w:pPr>
            <w:r/>
            <w:r>
              <w:rPr>
                <w:rFonts w:ascii="宋体" w:hAnsi="宋体" w:eastAsia="宋体"/>
                <w:sz w:val="21"/>
              </w:rPr>
              <w:t>0.1107</w:t>
            </w:r>
          </w:p>
        </w:tc>
        <w:tc>
          <w:tcPr>
            <w:tcW w:type="dxa" w:w="1134"/>
          </w:tcPr>
          <w:p>
            <w:pPr>
              <w:jc w:val="center"/>
            </w:pPr>
            <w:r/>
            <w:r>
              <w:rPr>
                <w:rFonts w:ascii="宋体" w:hAnsi="宋体" w:eastAsia="宋体"/>
                <w:sz w:val="21"/>
              </w:rPr>
              <w:t>-7.430</w:t>
            </w:r>
          </w:p>
        </w:tc>
        <w:tc>
          <w:tcPr>
            <w:tcW w:type="dxa" w:w="1134"/>
          </w:tcPr>
          <w:p>
            <w:pPr>
              <w:jc w:val="center"/>
            </w:pPr>
            <w:r/>
            <w:r>
              <w:rPr>
                <w:rFonts w:ascii="宋体" w:hAnsi="宋体" w:eastAsia="宋体"/>
                <w:sz w:val="21"/>
              </w:rPr>
              <w:t>&lt;0.001</w:t>
            </w:r>
          </w:p>
        </w:tc>
        <w:tc>
          <w:tcPr>
            <w:tcW w:type="dxa" w:w="1134"/>
          </w:tcPr>
          <w:p>
            <w:pPr>
              <w:jc w:val="center"/>
            </w:pPr>
            <w:r/>
            <w:r>
              <w:rPr>
                <w:rFonts w:ascii="宋体" w:hAnsi="宋体" w:eastAsia="宋体"/>
                <w:sz w:val="21"/>
              </w:rPr>
              <w:t>0.4393</w:t>
            </w:r>
          </w:p>
        </w:tc>
        <w:tc>
          <w:tcPr>
            <w:tcW w:type="dxa" w:w="1134"/>
          </w:tcPr>
          <w:p>
            <w:pPr>
              <w:jc w:val="center"/>
            </w:pPr>
            <w:r/>
            <w:r>
              <w:rPr>
                <w:rFonts w:ascii="宋体" w:hAnsi="宋体" w:eastAsia="宋体"/>
                <w:sz w:val="21"/>
              </w:rPr>
              <w:t>[0.3537, 0.5458]</w:t>
            </w:r>
          </w:p>
        </w:tc>
        <w:tc>
          <w:tcPr>
            <w:tcW w:type="dxa" w:w="1134"/>
          </w:tcPr>
          <w:p>
            <w:pPr>
              <w:jc w:val="center"/>
            </w:pPr>
            <w:r/>
            <w:r>
              <w:rPr>
                <w:rFonts w:ascii="宋体" w:hAnsi="宋体" w:eastAsia="宋体"/>
                <w:sz w:val="21"/>
              </w:rPr>
              <w:t>***</w:t>
            </w:r>
          </w:p>
        </w:tc>
      </w:tr>
      <w:tr>
        <w:tc>
          <w:tcPr>
            <w:tcW w:type="dxa" w:w="1134"/>
          </w:tcPr>
          <w:p>
            <w:pPr>
              <w:jc w:val="center"/>
            </w:pPr>
            <w:r/>
            <w:r>
              <w:rPr>
                <w:rFonts w:ascii="宋体" w:hAnsi="宋体" w:eastAsia="宋体"/>
                <w:sz w:val="21"/>
              </w:rPr>
              <w:t>女性(vs男性)</w:t>
            </w:r>
          </w:p>
        </w:tc>
        <w:tc>
          <w:tcPr>
            <w:tcW w:type="dxa" w:w="1134"/>
          </w:tcPr>
          <w:p>
            <w:pPr>
              <w:jc w:val="center"/>
            </w:pPr>
            <w:r/>
            <w:r>
              <w:rPr>
                <w:rFonts w:ascii="宋体" w:hAnsi="宋体" w:eastAsia="宋体"/>
                <w:sz w:val="21"/>
              </w:rPr>
              <w:t>-0.0468</w:t>
            </w:r>
          </w:p>
        </w:tc>
        <w:tc>
          <w:tcPr>
            <w:tcW w:type="dxa" w:w="1134"/>
          </w:tcPr>
          <w:p>
            <w:pPr>
              <w:jc w:val="center"/>
            </w:pPr>
            <w:r/>
            <w:r>
              <w:rPr>
                <w:rFonts w:ascii="宋体" w:hAnsi="宋体" w:eastAsia="宋体"/>
                <w:sz w:val="21"/>
              </w:rPr>
              <w:t>0.0443</w:t>
            </w:r>
          </w:p>
        </w:tc>
        <w:tc>
          <w:tcPr>
            <w:tcW w:type="dxa" w:w="1134"/>
          </w:tcPr>
          <w:p>
            <w:pPr>
              <w:jc w:val="center"/>
            </w:pPr>
            <w:r/>
            <w:r>
              <w:rPr>
                <w:rFonts w:ascii="宋体" w:hAnsi="宋体" w:eastAsia="宋体"/>
                <w:sz w:val="21"/>
              </w:rPr>
              <w:t>-1.056</w:t>
            </w:r>
          </w:p>
        </w:tc>
        <w:tc>
          <w:tcPr>
            <w:tcW w:type="dxa" w:w="1134"/>
          </w:tcPr>
          <w:p>
            <w:pPr>
              <w:jc w:val="center"/>
            </w:pPr>
            <w:r/>
            <w:r>
              <w:rPr>
                <w:rFonts w:ascii="宋体" w:hAnsi="宋体" w:eastAsia="宋体"/>
                <w:sz w:val="21"/>
              </w:rPr>
              <w:t>0.2909</w:t>
            </w:r>
          </w:p>
        </w:tc>
        <w:tc>
          <w:tcPr>
            <w:tcW w:type="dxa" w:w="1134"/>
          </w:tcPr>
          <w:p>
            <w:pPr>
              <w:jc w:val="center"/>
            </w:pPr>
            <w:r/>
            <w:r>
              <w:rPr>
                <w:rFonts w:ascii="宋体" w:hAnsi="宋体" w:eastAsia="宋体"/>
                <w:sz w:val="21"/>
              </w:rPr>
              <w:t>0.9543</w:t>
            </w:r>
          </w:p>
        </w:tc>
        <w:tc>
          <w:tcPr>
            <w:tcW w:type="dxa" w:w="1134"/>
          </w:tcPr>
          <w:p>
            <w:pPr>
              <w:jc w:val="center"/>
            </w:pPr>
            <w:r/>
            <w:r>
              <w:rPr>
                <w:rFonts w:ascii="宋体" w:hAnsi="宋体" w:eastAsia="宋体"/>
                <w:sz w:val="21"/>
              </w:rPr>
              <w:t>[0.8749, 1.0409]</w:t>
            </w:r>
          </w:p>
        </w:tc>
        <w:tc>
          <w:tcPr>
            <w:tcW w:type="dxa" w:w="1134"/>
          </w:tcPr>
          <w:p>
            <w:pPr>
              <w:jc w:val="center"/>
            </w:pPr>
            <w:r/>
            <w:r>
              <w:rPr>
                <w:rFonts w:ascii="宋体" w:hAnsi="宋体" w:eastAsia="宋体"/>
                <w:sz w:val="21"/>
              </w:rPr>
              <w:t>ns</w:t>
            </w:r>
          </w:p>
        </w:tc>
      </w:tr>
      <w:tr>
        <w:tc>
          <w:tcPr>
            <w:tcW w:type="dxa" w:w="1134"/>
          </w:tcPr>
          <w:p>
            <w:pPr>
              <w:jc w:val="center"/>
            </w:pPr>
            <w:r/>
            <w:r>
              <w:rPr>
                <w:rFonts w:ascii="宋体" w:hAnsi="宋体" w:eastAsia="宋体"/>
                <w:sz w:val="21"/>
              </w:rPr>
              <w:t>年龄(标准化)</w:t>
            </w:r>
          </w:p>
        </w:tc>
        <w:tc>
          <w:tcPr>
            <w:tcW w:type="dxa" w:w="1134"/>
          </w:tcPr>
          <w:p>
            <w:pPr>
              <w:jc w:val="center"/>
            </w:pPr>
            <w:r/>
            <w:r>
              <w:rPr>
                <w:rFonts w:ascii="宋体" w:hAnsi="宋体" w:eastAsia="宋体"/>
                <w:sz w:val="21"/>
              </w:rPr>
              <w:t>-0.0280</w:t>
            </w:r>
          </w:p>
        </w:tc>
        <w:tc>
          <w:tcPr>
            <w:tcW w:type="dxa" w:w="1134"/>
          </w:tcPr>
          <w:p>
            <w:pPr>
              <w:jc w:val="center"/>
            </w:pPr>
            <w:r/>
            <w:r>
              <w:rPr>
                <w:rFonts w:ascii="宋体" w:hAnsi="宋体" w:eastAsia="宋体"/>
                <w:sz w:val="21"/>
              </w:rPr>
              <w:t>0.0238</w:t>
            </w:r>
          </w:p>
        </w:tc>
        <w:tc>
          <w:tcPr>
            <w:tcW w:type="dxa" w:w="1134"/>
          </w:tcPr>
          <w:p>
            <w:pPr>
              <w:jc w:val="center"/>
            </w:pPr>
            <w:r/>
            <w:r>
              <w:rPr>
                <w:rFonts w:ascii="宋体" w:hAnsi="宋体" w:eastAsia="宋体"/>
                <w:sz w:val="21"/>
              </w:rPr>
              <w:t>-1.177</w:t>
            </w:r>
          </w:p>
        </w:tc>
        <w:tc>
          <w:tcPr>
            <w:tcW w:type="dxa" w:w="1134"/>
          </w:tcPr>
          <w:p>
            <w:pPr>
              <w:jc w:val="center"/>
            </w:pPr>
            <w:r/>
            <w:r>
              <w:rPr>
                <w:rFonts w:ascii="宋体" w:hAnsi="宋体" w:eastAsia="宋体"/>
                <w:sz w:val="21"/>
              </w:rPr>
              <w:t>0.2393</w:t>
            </w:r>
          </w:p>
        </w:tc>
        <w:tc>
          <w:tcPr>
            <w:tcW w:type="dxa" w:w="1134"/>
          </w:tcPr>
          <w:p>
            <w:pPr>
              <w:jc w:val="center"/>
            </w:pPr>
            <w:r/>
            <w:r>
              <w:rPr>
                <w:rFonts w:ascii="宋体" w:hAnsi="宋体" w:eastAsia="宋体"/>
                <w:sz w:val="21"/>
              </w:rPr>
              <w:t>0.9724</w:t>
            </w:r>
          </w:p>
        </w:tc>
        <w:tc>
          <w:tcPr>
            <w:tcW w:type="dxa" w:w="1134"/>
          </w:tcPr>
          <w:p>
            <w:pPr>
              <w:jc w:val="center"/>
            </w:pPr>
            <w:r/>
            <w:r>
              <w:rPr>
                <w:rFonts w:ascii="宋体" w:hAnsi="宋体" w:eastAsia="宋体"/>
                <w:sz w:val="21"/>
              </w:rPr>
              <w:t>[0.9281, 1.0188]</w:t>
            </w:r>
          </w:p>
        </w:tc>
        <w:tc>
          <w:tcPr>
            <w:tcW w:type="dxa" w:w="1134"/>
          </w:tcPr>
          <w:p>
            <w:pPr>
              <w:jc w:val="center"/>
            </w:pPr>
            <w:r/>
            <w:r>
              <w:rPr>
                <w:rFonts w:ascii="宋体" w:hAnsi="宋体" w:eastAsia="宋体"/>
                <w:sz w:val="21"/>
              </w:rPr>
              <w:t>ns</w:t>
            </w:r>
          </w:p>
        </w:tc>
      </w:tr>
      <w:tr>
        <w:tc>
          <w:tcPr>
            <w:tcW w:type="dxa" w:w="1134"/>
          </w:tcPr>
          <w:p>
            <w:pPr>
              <w:jc w:val="center"/>
            </w:pPr>
            <w:r/>
            <w:r>
              <w:rPr>
                <w:rFonts w:ascii="宋体" w:hAnsi="宋体" w:eastAsia="宋体"/>
                <w:sz w:val="21"/>
              </w:rPr>
              <w:t>BMI(标准化)</w:t>
            </w:r>
          </w:p>
        </w:tc>
        <w:tc>
          <w:tcPr>
            <w:tcW w:type="dxa" w:w="1134"/>
          </w:tcPr>
          <w:p>
            <w:pPr>
              <w:jc w:val="center"/>
            </w:pPr>
            <w:r/>
            <w:r>
              <w:rPr>
                <w:rFonts w:ascii="宋体" w:hAnsi="宋体" w:eastAsia="宋体"/>
                <w:sz w:val="21"/>
              </w:rPr>
              <w:t>-0.1485</w:t>
            </w:r>
          </w:p>
        </w:tc>
        <w:tc>
          <w:tcPr>
            <w:tcW w:type="dxa" w:w="1134"/>
          </w:tcPr>
          <w:p>
            <w:pPr>
              <w:jc w:val="center"/>
            </w:pPr>
            <w:r/>
            <w:r>
              <w:rPr>
                <w:rFonts w:ascii="宋体" w:hAnsi="宋体" w:eastAsia="宋体"/>
                <w:sz w:val="21"/>
              </w:rPr>
              <w:t>0.0217</w:t>
            </w:r>
          </w:p>
        </w:tc>
        <w:tc>
          <w:tcPr>
            <w:tcW w:type="dxa" w:w="1134"/>
          </w:tcPr>
          <w:p>
            <w:pPr>
              <w:jc w:val="center"/>
            </w:pPr>
            <w:r/>
            <w:r>
              <w:rPr>
                <w:rFonts w:ascii="宋体" w:hAnsi="宋体" w:eastAsia="宋体"/>
                <w:sz w:val="21"/>
              </w:rPr>
              <w:t>-6.843</w:t>
            </w:r>
          </w:p>
        </w:tc>
        <w:tc>
          <w:tcPr>
            <w:tcW w:type="dxa" w:w="1134"/>
          </w:tcPr>
          <w:p>
            <w:pPr>
              <w:jc w:val="center"/>
            </w:pPr>
            <w:r/>
            <w:r>
              <w:rPr>
                <w:rFonts w:ascii="宋体" w:hAnsi="宋体" w:eastAsia="宋体"/>
                <w:sz w:val="21"/>
              </w:rPr>
              <w:t>&lt;0.001</w:t>
            </w:r>
          </w:p>
        </w:tc>
        <w:tc>
          <w:tcPr>
            <w:tcW w:type="dxa" w:w="1134"/>
          </w:tcPr>
          <w:p>
            <w:pPr>
              <w:jc w:val="center"/>
            </w:pPr>
            <w:r/>
            <w:r>
              <w:rPr>
                <w:rFonts w:ascii="宋体" w:hAnsi="宋体" w:eastAsia="宋体"/>
                <w:sz w:val="21"/>
              </w:rPr>
              <w:t>0.8620</w:t>
            </w:r>
          </w:p>
        </w:tc>
        <w:tc>
          <w:tcPr>
            <w:tcW w:type="dxa" w:w="1134"/>
          </w:tcPr>
          <w:p>
            <w:pPr>
              <w:jc w:val="center"/>
            </w:pPr>
            <w:r/>
            <w:r>
              <w:rPr>
                <w:rFonts w:ascii="宋体" w:hAnsi="宋体" w:eastAsia="宋体"/>
                <w:sz w:val="21"/>
              </w:rPr>
              <w:t>[0.8261, 0.8994]</w:t>
            </w:r>
          </w:p>
        </w:tc>
        <w:tc>
          <w:tcPr>
            <w:tcW w:type="dxa" w:w="1134"/>
          </w:tcPr>
          <w:p>
            <w:pPr>
              <w:jc w:val="center"/>
            </w:pPr>
            <w:r/>
            <w:r>
              <w:rPr>
                <w:rFonts w:ascii="宋体" w:hAnsi="宋体" w:eastAsia="宋体"/>
                <w:sz w:val="21"/>
              </w:rPr>
              <w:t>***</w:t>
            </w:r>
          </w:p>
        </w:tc>
      </w:tr>
      <w:tr>
        <w:tc>
          <w:tcPr>
            <w:tcW w:type="dxa" w:w="1134"/>
          </w:tcPr>
          <w:p>
            <w:pPr>
              <w:jc w:val="center"/>
            </w:pPr>
            <w:r/>
            <w:r>
              <w:rPr>
                <w:rFonts w:ascii="宋体" w:hAnsi="宋体" w:eastAsia="宋体"/>
                <w:sz w:val="21"/>
              </w:rPr>
              <w:t>文化程度</w:t>
            </w:r>
          </w:p>
        </w:tc>
        <w:tc>
          <w:tcPr>
            <w:tcW w:type="dxa" w:w="1134"/>
          </w:tcPr>
          <w:p>
            <w:pPr>
              <w:jc w:val="center"/>
            </w:pPr>
            <w:r/>
            <w:r>
              <w:rPr>
                <w:rFonts w:ascii="宋体" w:hAnsi="宋体" w:eastAsia="宋体"/>
                <w:sz w:val="21"/>
              </w:rPr>
              <w:t>-0.0445</w:t>
            </w:r>
          </w:p>
        </w:tc>
        <w:tc>
          <w:tcPr>
            <w:tcW w:type="dxa" w:w="1134"/>
          </w:tcPr>
          <w:p>
            <w:pPr>
              <w:jc w:val="center"/>
            </w:pPr>
            <w:r/>
            <w:r>
              <w:rPr>
                <w:rFonts w:ascii="宋体" w:hAnsi="宋体" w:eastAsia="宋体"/>
                <w:sz w:val="21"/>
              </w:rPr>
              <w:t>0.0177</w:t>
            </w:r>
          </w:p>
        </w:tc>
        <w:tc>
          <w:tcPr>
            <w:tcW w:type="dxa" w:w="1134"/>
          </w:tcPr>
          <w:p>
            <w:pPr>
              <w:jc w:val="center"/>
            </w:pPr>
            <w:r/>
            <w:r>
              <w:rPr>
                <w:rFonts w:ascii="宋体" w:hAnsi="宋体" w:eastAsia="宋体"/>
                <w:sz w:val="21"/>
              </w:rPr>
              <w:t>-2.517</w:t>
            </w:r>
          </w:p>
        </w:tc>
        <w:tc>
          <w:tcPr>
            <w:tcW w:type="dxa" w:w="1134"/>
          </w:tcPr>
          <w:p>
            <w:pPr>
              <w:jc w:val="center"/>
            </w:pPr>
            <w:r/>
            <w:r>
              <w:rPr>
                <w:rFonts w:ascii="宋体" w:hAnsi="宋体" w:eastAsia="宋体"/>
                <w:sz w:val="21"/>
              </w:rPr>
              <w:t>0.0118</w:t>
            </w:r>
          </w:p>
        </w:tc>
        <w:tc>
          <w:tcPr>
            <w:tcW w:type="dxa" w:w="1134"/>
          </w:tcPr>
          <w:p>
            <w:pPr>
              <w:jc w:val="center"/>
            </w:pPr>
            <w:r/>
            <w:r>
              <w:rPr>
                <w:rFonts w:ascii="宋体" w:hAnsi="宋体" w:eastAsia="宋体"/>
                <w:sz w:val="21"/>
              </w:rPr>
              <w:t>0.9565</w:t>
            </w:r>
          </w:p>
        </w:tc>
        <w:tc>
          <w:tcPr>
            <w:tcW w:type="dxa" w:w="1134"/>
          </w:tcPr>
          <w:p>
            <w:pPr>
              <w:jc w:val="center"/>
            </w:pPr>
            <w:r/>
            <w:r>
              <w:rPr>
                <w:rFonts w:ascii="宋体" w:hAnsi="宋体" w:eastAsia="宋体"/>
                <w:sz w:val="21"/>
              </w:rPr>
              <w:t>[0.9240, 0.9902]</w:t>
            </w:r>
          </w:p>
        </w:tc>
        <w:tc>
          <w:tcPr>
            <w:tcW w:type="dxa" w:w="1134"/>
          </w:tcPr>
          <w:p>
            <w:pPr>
              <w:jc w:val="center"/>
            </w:pPr>
            <w:r/>
            <w:r>
              <w:rPr>
                <w:rFonts w:ascii="宋体" w:hAnsi="宋体" w:eastAsia="宋体"/>
                <w:sz w:val="21"/>
              </w:rPr>
              <w:t>*</w:t>
            </w:r>
          </w:p>
        </w:tc>
      </w:tr>
      <w:tr>
        <w:tc>
          <w:tcPr>
            <w:tcW w:type="dxa" w:w="1134"/>
          </w:tcPr>
          <w:p>
            <w:pPr>
              <w:jc w:val="center"/>
            </w:pPr>
            <w:r/>
            <w:r>
              <w:rPr>
                <w:rFonts w:ascii="宋体" w:hAnsi="宋体" w:eastAsia="宋体"/>
                <w:sz w:val="21"/>
              </w:rPr>
              <w:t>自评健康差(vs好)</w:t>
            </w:r>
          </w:p>
        </w:tc>
        <w:tc>
          <w:tcPr>
            <w:tcW w:type="dxa" w:w="1134"/>
          </w:tcPr>
          <w:p>
            <w:pPr>
              <w:jc w:val="center"/>
            </w:pPr>
            <w:r/>
            <w:r>
              <w:rPr>
                <w:rFonts w:ascii="宋体" w:hAnsi="宋体" w:eastAsia="宋体"/>
                <w:sz w:val="21"/>
              </w:rPr>
              <w:t>1.6997</w:t>
            </w:r>
          </w:p>
        </w:tc>
        <w:tc>
          <w:tcPr>
            <w:tcW w:type="dxa" w:w="1134"/>
          </w:tcPr>
          <w:p>
            <w:pPr>
              <w:jc w:val="center"/>
            </w:pPr>
            <w:r/>
            <w:r>
              <w:rPr>
                <w:rFonts w:ascii="宋体" w:hAnsi="宋体" w:eastAsia="宋体"/>
                <w:sz w:val="21"/>
              </w:rPr>
              <w:t>0.0467</w:t>
            </w:r>
          </w:p>
        </w:tc>
        <w:tc>
          <w:tcPr>
            <w:tcW w:type="dxa" w:w="1134"/>
          </w:tcPr>
          <w:p>
            <w:pPr>
              <w:jc w:val="center"/>
            </w:pPr>
            <w:r/>
            <w:r>
              <w:rPr>
                <w:rFonts w:ascii="宋体" w:hAnsi="宋体" w:eastAsia="宋体"/>
                <w:sz w:val="21"/>
              </w:rPr>
              <w:t>36.359</w:t>
            </w:r>
          </w:p>
        </w:tc>
        <w:tc>
          <w:tcPr>
            <w:tcW w:type="dxa" w:w="1134"/>
          </w:tcPr>
          <w:p>
            <w:pPr>
              <w:jc w:val="center"/>
            </w:pPr>
            <w:r/>
            <w:r>
              <w:rPr>
                <w:rFonts w:ascii="宋体" w:hAnsi="宋体" w:eastAsia="宋体"/>
                <w:sz w:val="21"/>
              </w:rPr>
              <w:t>&lt;0.001</w:t>
            </w:r>
          </w:p>
        </w:tc>
        <w:tc>
          <w:tcPr>
            <w:tcW w:type="dxa" w:w="1134"/>
          </w:tcPr>
          <w:p>
            <w:pPr>
              <w:jc w:val="center"/>
            </w:pPr>
            <w:r/>
            <w:r>
              <w:rPr>
                <w:rFonts w:ascii="宋体" w:hAnsi="宋体" w:eastAsia="宋体"/>
                <w:sz w:val="21"/>
              </w:rPr>
              <w:t>5.4726</w:t>
            </w:r>
          </w:p>
        </w:tc>
        <w:tc>
          <w:tcPr>
            <w:tcW w:type="dxa" w:w="1134"/>
          </w:tcPr>
          <w:p>
            <w:pPr>
              <w:jc w:val="center"/>
            </w:pPr>
            <w:r/>
            <w:r>
              <w:rPr>
                <w:rFonts w:ascii="宋体" w:hAnsi="宋体" w:eastAsia="宋体"/>
                <w:sz w:val="21"/>
              </w:rPr>
              <w:t>[4.9934, 5.9977]</w:t>
            </w:r>
          </w:p>
        </w:tc>
        <w:tc>
          <w:tcPr>
            <w:tcW w:type="dxa" w:w="1134"/>
          </w:tcPr>
          <w:p>
            <w:pPr>
              <w:jc w:val="center"/>
            </w:pPr>
            <w:r/>
            <w:r>
              <w:rPr>
                <w:rFonts w:ascii="宋体" w:hAnsi="宋体" w:eastAsia="宋体"/>
                <w:sz w:val="21"/>
              </w:rPr>
              <w:t>***</w:t>
            </w:r>
          </w:p>
        </w:tc>
      </w:tr>
      <w:tr>
        <w:tc>
          <w:tcPr>
            <w:tcW w:type="dxa" w:w="1134"/>
          </w:tcPr>
          <w:p>
            <w:pPr>
              <w:jc w:val="center"/>
            </w:pPr>
            <w:r/>
            <w:r>
              <w:rPr>
                <w:rFonts w:ascii="宋体" w:hAnsi="宋体" w:eastAsia="宋体"/>
                <w:sz w:val="21"/>
              </w:rPr>
              <w:t>童年饥饿(是vs否)</w:t>
            </w:r>
          </w:p>
        </w:tc>
        <w:tc>
          <w:tcPr>
            <w:tcW w:type="dxa" w:w="1134"/>
          </w:tcPr>
          <w:p>
            <w:pPr>
              <w:jc w:val="center"/>
            </w:pPr>
            <w:r/>
            <w:r>
              <w:rPr>
                <w:rFonts w:ascii="宋体" w:hAnsi="宋体" w:eastAsia="宋体"/>
                <w:sz w:val="21"/>
              </w:rPr>
              <w:t>-0.0155</w:t>
            </w:r>
          </w:p>
        </w:tc>
        <w:tc>
          <w:tcPr>
            <w:tcW w:type="dxa" w:w="1134"/>
          </w:tcPr>
          <w:p>
            <w:pPr>
              <w:jc w:val="center"/>
            </w:pPr>
            <w:r/>
            <w:r>
              <w:rPr>
                <w:rFonts w:ascii="宋体" w:hAnsi="宋体" w:eastAsia="宋体"/>
                <w:sz w:val="21"/>
              </w:rPr>
              <w:t>0.0466</w:t>
            </w:r>
          </w:p>
        </w:tc>
        <w:tc>
          <w:tcPr>
            <w:tcW w:type="dxa" w:w="1134"/>
          </w:tcPr>
          <w:p>
            <w:pPr>
              <w:jc w:val="center"/>
            </w:pPr>
            <w:r/>
            <w:r>
              <w:rPr>
                <w:rFonts w:ascii="宋体" w:hAnsi="宋体" w:eastAsia="宋体"/>
                <w:sz w:val="21"/>
              </w:rPr>
              <w:t>-0.332</w:t>
            </w:r>
          </w:p>
        </w:tc>
        <w:tc>
          <w:tcPr>
            <w:tcW w:type="dxa" w:w="1134"/>
          </w:tcPr>
          <w:p>
            <w:pPr>
              <w:jc w:val="center"/>
            </w:pPr>
            <w:r/>
            <w:r>
              <w:rPr>
                <w:rFonts w:ascii="宋体" w:hAnsi="宋体" w:eastAsia="宋体"/>
                <w:sz w:val="21"/>
              </w:rPr>
              <w:t>0.7397</w:t>
            </w:r>
          </w:p>
        </w:tc>
        <w:tc>
          <w:tcPr>
            <w:tcW w:type="dxa" w:w="1134"/>
          </w:tcPr>
          <w:p>
            <w:pPr>
              <w:jc w:val="center"/>
            </w:pPr>
            <w:r/>
            <w:r>
              <w:rPr>
                <w:rFonts w:ascii="宋体" w:hAnsi="宋体" w:eastAsia="宋体"/>
                <w:sz w:val="21"/>
              </w:rPr>
              <w:t>0.9846</w:t>
            </w:r>
          </w:p>
        </w:tc>
        <w:tc>
          <w:tcPr>
            <w:tcW w:type="dxa" w:w="1134"/>
          </w:tcPr>
          <w:p>
            <w:pPr>
              <w:jc w:val="center"/>
            </w:pPr>
            <w:r/>
            <w:r>
              <w:rPr>
                <w:rFonts w:ascii="宋体" w:hAnsi="宋体" w:eastAsia="宋体"/>
                <w:sz w:val="21"/>
              </w:rPr>
              <w:t>[0.8986, 1.0789]</w:t>
            </w:r>
          </w:p>
        </w:tc>
        <w:tc>
          <w:tcPr>
            <w:tcW w:type="dxa" w:w="1134"/>
          </w:tcPr>
          <w:p>
            <w:pPr>
              <w:jc w:val="center"/>
            </w:pPr>
            <w:r/>
            <w:r>
              <w:rPr>
                <w:rFonts w:ascii="宋体" w:hAnsi="宋体" w:eastAsia="宋体"/>
                <w:sz w:val="21"/>
              </w:rPr>
              <w:t>ns</w:t>
            </w:r>
          </w:p>
        </w:tc>
      </w:tr>
      <w:tr>
        <w:tc>
          <w:tcPr>
            <w:tcW w:type="dxa" w:w="1134"/>
          </w:tcPr>
          <w:p>
            <w:pPr>
              <w:jc w:val="center"/>
            </w:pPr>
            <w:r/>
            <w:r>
              <w:rPr>
                <w:rFonts w:ascii="宋体" w:hAnsi="宋体" w:eastAsia="宋体"/>
                <w:sz w:val="21"/>
              </w:rPr>
              <w:t>社交网络</w:t>
            </w:r>
          </w:p>
        </w:tc>
        <w:tc>
          <w:tcPr>
            <w:tcW w:type="dxa" w:w="1134"/>
          </w:tcPr>
          <w:p>
            <w:pPr>
              <w:jc w:val="center"/>
            </w:pPr>
            <w:r/>
            <w:r>
              <w:rPr>
                <w:rFonts w:ascii="宋体" w:hAnsi="宋体" w:eastAsia="宋体"/>
                <w:sz w:val="21"/>
              </w:rPr>
              <w:t>-0.1291</w:t>
            </w:r>
          </w:p>
        </w:tc>
        <w:tc>
          <w:tcPr>
            <w:tcW w:type="dxa" w:w="1134"/>
          </w:tcPr>
          <w:p>
            <w:pPr>
              <w:jc w:val="center"/>
            </w:pPr>
            <w:r/>
            <w:r>
              <w:rPr>
                <w:rFonts w:ascii="宋体" w:hAnsi="宋体" w:eastAsia="宋体"/>
                <w:sz w:val="21"/>
              </w:rPr>
              <w:t>0.0203</w:t>
            </w:r>
          </w:p>
        </w:tc>
        <w:tc>
          <w:tcPr>
            <w:tcW w:type="dxa" w:w="1134"/>
          </w:tcPr>
          <w:p>
            <w:pPr>
              <w:jc w:val="center"/>
            </w:pPr>
            <w:r/>
            <w:r>
              <w:rPr>
                <w:rFonts w:ascii="宋体" w:hAnsi="宋体" w:eastAsia="宋体"/>
                <w:sz w:val="21"/>
              </w:rPr>
              <w:t>-6.368</w:t>
            </w:r>
          </w:p>
        </w:tc>
        <w:tc>
          <w:tcPr>
            <w:tcW w:type="dxa" w:w="1134"/>
          </w:tcPr>
          <w:p>
            <w:pPr>
              <w:jc w:val="center"/>
            </w:pPr>
            <w:r/>
            <w:r>
              <w:rPr>
                <w:rFonts w:ascii="宋体" w:hAnsi="宋体" w:eastAsia="宋体"/>
                <w:sz w:val="21"/>
              </w:rPr>
              <w:t>&lt;0.001</w:t>
            </w:r>
          </w:p>
        </w:tc>
        <w:tc>
          <w:tcPr>
            <w:tcW w:type="dxa" w:w="1134"/>
          </w:tcPr>
          <w:p>
            <w:pPr>
              <w:jc w:val="center"/>
            </w:pPr>
            <w:r/>
            <w:r>
              <w:rPr>
                <w:rFonts w:ascii="宋体" w:hAnsi="宋体" w:eastAsia="宋体"/>
                <w:sz w:val="21"/>
              </w:rPr>
              <w:t>0.8789</w:t>
            </w:r>
          </w:p>
        </w:tc>
        <w:tc>
          <w:tcPr>
            <w:tcW w:type="dxa" w:w="1134"/>
          </w:tcPr>
          <w:p>
            <w:pPr>
              <w:jc w:val="center"/>
            </w:pPr>
            <w:r/>
            <w:r>
              <w:rPr>
                <w:rFonts w:ascii="宋体" w:hAnsi="宋体" w:eastAsia="宋体"/>
                <w:sz w:val="21"/>
              </w:rPr>
              <w:t>[0.8447, 0.9145]</w:t>
            </w:r>
          </w:p>
        </w:tc>
        <w:tc>
          <w:tcPr>
            <w:tcW w:type="dxa" w:w="1134"/>
          </w:tcPr>
          <w:p>
            <w:pPr>
              <w:jc w:val="center"/>
            </w:pPr>
            <w:r/>
            <w:r>
              <w:rPr>
                <w:rFonts w:ascii="宋体" w:hAnsi="宋体" w:eastAsia="宋体"/>
                <w:sz w:val="21"/>
              </w:rPr>
              <w:t>***</w:t>
            </w:r>
          </w:p>
        </w:tc>
      </w:tr>
      <w:tr>
        <w:tc>
          <w:tcPr>
            <w:tcW w:type="dxa" w:w="1134"/>
          </w:tcPr>
          <w:p>
            <w:pPr>
              <w:jc w:val="center"/>
            </w:pPr>
            <w:r/>
            <w:r>
              <w:rPr>
                <w:rFonts w:ascii="宋体" w:hAnsi="宋体" w:eastAsia="宋体"/>
                <w:sz w:val="21"/>
              </w:rPr>
              <w:t>有配偶(vs无)</w:t>
            </w:r>
          </w:p>
        </w:tc>
        <w:tc>
          <w:tcPr>
            <w:tcW w:type="dxa" w:w="1134"/>
          </w:tcPr>
          <w:p>
            <w:pPr>
              <w:jc w:val="center"/>
            </w:pPr>
            <w:r/>
            <w:r>
              <w:rPr>
                <w:rFonts w:ascii="宋体" w:hAnsi="宋体" w:eastAsia="宋体"/>
                <w:sz w:val="21"/>
              </w:rPr>
              <w:t>-0.2256</w:t>
            </w:r>
          </w:p>
        </w:tc>
        <w:tc>
          <w:tcPr>
            <w:tcW w:type="dxa" w:w="1134"/>
          </w:tcPr>
          <w:p>
            <w:pPr>
              <w:jc w:val="center"/>
            </w:pPr>
            <w:r/>
            <w:r>
              <w:rPr>
                <w:rFonts w:ascii="宋体" w:hAnsi="宋体" w:eastAsia="宋体"/>
                <w:sz w:val="21"/>
              </w:rPr>
              <w:t>0.0520</w:t>
            </w:r>
          </w:p>
        </w:tc>
        <w:tc>
          <w:tcPr>
            <w:tcW w:type="dxa" w:w="1134"/>
          </w:tcPr>
          <w:p>
            <w:pPr>
              <w:jc w:val="center"/>
            </w:pPr>
            <w:r/>
            <w:r>
              <w:rPr>
                <w:rFonts w:ascii="宋体" w:hAnsi="宋体" w:eastAsia="宋体"/>
                <w:sz w:val="21"/>
              </w:rPr>
              <w:t>-4.342</w:t>
            </w:r>
          </w:p>
        </w:tc>
        <w:tc>
          <w:tcPr>
            <w:tcW w:type="dxa" w:w="1134"/>
          </w:tcPr>
          <w:p>
            <w:pPr>
              <w:jc w:val="center"/>
            </w:pPr>
            <w:r/>
            <w:r>
              <w:rPr>
                <w:rFonts w:ascii="宋体" w:hAnsi="宋体" w:eastAsia="宋体"/>
                <w:sz w:val="21"/>
              </w:rPr>
              <w:t>&lt;0.001</w:t>
            </w:r>
          </w:p>
        </w:tc>
        <w:tc>
          <w:tcPr>
            <w:tcW w:type="dxa" w:w="1134"/>
          </w:tcPr>
          <w:p>
            <w:pPr>
              <w:jc w:val="center"/>
            </w:pPr>
            <w:r/>
            <w:r>
              <w:rPr>
                <w:rFonts w:ascii="宋体" w:hAnsi="宋体" w:eastAsia="宋体"/>
                <w:sz w:val="21"/>
              </w:rPr>
              <w:t>0.7980</w:t>
            </w:r>
          </w:p>
        </w:tc>
        <w:tc>
          <w:tcPr>
            <w:tcW w:type="dxa" w:w="1134"/>
          </w:tcPr>
          <w:p>
            <w:pPr>
              <w:jc w:val="center"/>
            </w:pPr>
            <w:r/>
            <w:r>
              <w:rPr>
                <w:rFonts w:ascii="宋体" w:hAnsi="宋体" w:eastAsia="宋体"/>
                <w:sz w:val="21"/>
              </w:rPr>
              <w:t>[0.7208, 0.8836]</w:t>
            </w:r>
          </w:p>
        </w:tc>
        <w:tc>
          <w:tcPr>
            <w:tcW w:type="dxa" w:w="1134"/>
          </w:tcPr>
          <w:p>
            <w:pPr>
              <w:jc w:val="center"/>
            </w:pPr>
            <w:r/>
            <w:r>
              <w:rPr>
                <w:rFonts w:ascii="宋体" w:hAnsi="宋体" w:eastAsia="宋体"/>
                <w:sz w:val="21"/>
              </w:rPr>
              <w:t>***</w:t>
            </w:r>
          </w:p>
        </w:tc>
      </w:tr>
      <w:tr>
        <w:tc>
          <w:tcPr>
            <w:tcW w:type="dxa" w:w="1134"/>
          </w:tcPr>
          <w:p>
            <w:pPr>
              <w:jc w:val="center"/>
            </w:pPr>
            <w:r/>
            <w:r>
              <w:rPr>
                <w:rFonts w:ascii="宋体" w:hAnsi="宋体" w:eastAsia="宋体"/>
                <w:sz w:val="21"/>
              </w:rPr>
              <w:t>上网(vs不上网)</w:t>
            </w:r>
          </w:p>
        </w:tc>
        <w:tc>
          <w:tcPr>
            <w:tcW w:type="dxa" w:w="1134"/>
          </w:tcPr>
          <w:p>
            <w:pPr>
              <w:jc w:val="center"/>
            </w:pPr>
            <w:r/>
            <w:r>
              <w:rPr>
                <w:rFonts w:ascii="宋体" w:hAnsi="宋体" w:eastAsia="宋体"/>
                <w:sz w:val="21"/>
              </w:rPr>
              <w:t>-0.1825</w:t>
            </w:r>
          </w:p>
        </w:tc>
        <w:tc>
          <w:tcPr>
            <w:tcW w:type="dxa" w:w="1134"/>
          </w:tcPr>
          <w:p>
            <w:pPr>
              <w:jc w:val="center"/>
            </w:pPr>
            <w:r/>
            <w:r>
              <w:rPr>
                <w:rFonts w:ascii="宋体" w:hAnsi="宋体" w:eastAsia="宋体"/>
                <w:sz w:val="21"/>
              </w:rPr>
              <w:t>0.0556</w:t>
            </w:r>
          </w:p>
        </w:tc>
        <w:tc>
          <w:tcPr>
            <w:tcW w:type="dxa" w:w="1134"/>
          </w:tcPr>
          <w:p>
            <w:pPr>
              <w:jc w:val="center"/>
            </w:pPr>
            <w:r/>
            <w:r>
              <w:rPr>
                <w:rFonts w:ascii="宋体" w:hAnsi="宋体" w:eastAsia="宋体"/>
                <w:sz w:val="21"/>
              </w:rPr>
              <w:t>-3.281</w:t>
            </w:r>
          </w:p>
        </w:tc>
        <w:tc>
          <w:tcPr>
            <w:tcW w:type="dxa" w:w="1134"/>
          </w:tcPr>
          <w:p>
            <w:pPr>
              <w:jc w:val="center"/>
            </w:pPr>
            <w:r/>
            <w:r>
              <w:rPr>
                <w:rFonts w:ascii="宋体" w:hAnsi="宋体" w:eastAsia="宋体"/>
                <w:sz w:val="21"/>
              </w:rPr>
              <w:t>0.0010</w:t>
            </w:r>
          </w:p>
        </w:tc>
        <w:tc>
          <w:tcPr>
            <w:tcW w:type="dxa" w:w="1134"/>
          </w:tcPr>
          <w:p>
            <w:pPr>
              <w:jc w:val="center"/>
            </w:pPr>
            <w:r/>
            <w:r>
              <w:rPr>
                <w:rFonts w:ascii="宋体" w:hAnsi="宋体" w:eastAsia="宋体"/>
                <w:sz w:val="21"/>
              </w:rPr>
              <w:t>0.8332</w:t>
            </w:r>
          </w:p>
        </w:tc>
        <w:tc>
          <w:tcPr>
            <w:tcW w:type="dxa" w:w="1134"/>
          </w:tcPr>
          <w:p>
            <w:pPr>
              <w:jc w:val="center"/>
            </w:pPr>
            <w:r/>
            <w:r>
              <w:rPr>
                <w:rFonts w:ascii="宋体" w:hAnsi="宋体" w:eastAsia="宋体"/>
                <w:sz w:val="21"/>
              </w:rPr>
              <w:t>[0.7472, 0.9292]</w:t>
            </w:r>
          </w:p>
        </w:tc>
        <w:tc>
          <w:tcPr>
            <w:tcW w:type="dxa" w:w="1134"/>
          </w:tcPr>
          <w:p>
            <w:pPr>
              <w:jc w:val="center"/>
            </w:pPr>
            <w:r/>
            <w:r>
              <w:rPr>
                <w:rFonts w:ascii="宋体" w:hAnsi="宋体" w:eastAsia="宋体"/>
                <w:sz w:val="21"/>
              </w:rPr>
              <w:t>**</w:t>
            </w:r>
          </w:p>
        </w:tc>
      </w:tr>
      <w:tr>
        <w:tc>
          <w:tcPr>
            <w:tcW w:type="dxa" w:w="1134"/>
          </w:tcPr>
          <w:p>
            <w:pPr>
              <w:jc w:val="center"/>
            </w:pPr>
            <w:r/>
            <w:r>
              <w:rPr>
                <w:rFonts w:ascii="宋体" w:hAnsi="宋体" w:eastAsia="宋体"/>
                <w:sz w:val="21"/>
              </w:rPr>
              <w:t>锻炼强度</w:t>
            </w:r>
          </w:p>
        </w:tc>
        <w:tc>
          <w:tcPr>
            <w:tcW w:type="dxa" w:w="1134"/>
          </w:tcPr>
          <w:p>
            <w:pPr>
              <w:jc w:val="center"/>
            </w:pPr>
            <w:r/>
            <w:r>
              <w:rPr>
                <w:rFonts w:ascii="宋体" w:hAnsi="宋体" w:eastAsia="宋体"/>
                <w:sz w:val="21"/>
              </w:rPr>
              <w:t>-0.0826</w:t>
            </w:r>
          </w:p>
        </w:tc>
        <w:tc>
          <w:tcPr>
            <w:tcW w:type="dxa" w:w="1134"/>
          </w:tcPr>
          <w:p>
            <w:pPr>
              <w:jc w:val="center"/>
            </w:pPr>
            <w:r/>
            <w:r>
              <w:rPr>
                <w:rFonts w:ascii="宋体" w:hAnsi="宋体" w:eastAsia="宋体"/>
                <w:sz w:val="21"/>
              </w:rPr>
              <w:t>0.0411</w:t>
            </w:r>
          </w:p>
        </w:tc>
        <w:tc>
          <w:tcPr>
            <w:tcW w:type="dxa" w:w="1134"/>
          </w:tcPr>
          <w:p>
            <w:pPr>
              <w:jc w:val="center"/>
            </w:pPr>
            <w:r/>
            <w:r>
              <w:rPr>
                <w:rFonts w:ascii="宋体" w:hAnsi="宋体" w:eastAsia="宋体"/>
                <w:sz w:val="21"/>
              </w:rPr>
              <w:t>-2.010</w:t>
            </w:r>
          </w:p>
        </w:tc>
        <w:tc>
          <w:tcPr>
            <w:tcW w:type="dxa" w:w="1134"/>
          </w:tcPr>
          <w:p>
            <w:pPr>
              <w:jc w:val="center"/>
            </w:pPr>
            <w:r/>
            <w:r>
              <w:rPr>
                <w:rFonts w:ascii="宋体" w:hAnsi="宋体" w:eastAsia="宋体"/>
                <w:sz w:val="21"/>
              </w:rPr>
              <w:t>0.0444</w:t>
            </w:r>
          </w:p>
        </w:tc>
        <w:tc>
          <w:tcPr>
            <w:tcW w:type="dxa" w:w="1134"/>
          </w:tcPr>
          <w:p>
            <w:pPr>
              <w:jc w:val="center"/>
            </w:pPr>
            <w:r/>
            <w:r>
              <w:rPr>
                <w:rFonts w:ascii="宋体" w:hAnsi="宋体" w:eastAsia="宋体"/>
                <w:sz w:val="21"/>
              </w:rPr>
              <w:t>0.9207</w:t>
            </w:r>
          </w:p>
        </w:tc>
        <w:tc>
          <w:tcPr>
            <w:tcW w:type="dxa" w:w="1134"/>
          </w:tcPr>
          <w:p>
            <w:pPr>
              <w:jc w:val="center"/>
            </w:pPr>
            <w:r/>
            <w:r>
              <w:rPr>
                <w:rFonts w:ascii="宋体" w:hAnsi="宋体" w:eastAsia="宋体"/>
                <w:sz w:val="21"/>
              </w:rPr>
              <w:t>[0.8494, 0.9979]</w:t>
            </w:r>
          </w:p>
        </w:tc>
        <w:tc>
          <w:tcPr>
            <w:tcW w:type="dxa" w:w="1134"/>
          </w:tcPr>
          <w:p>
            <w:pPr>
              <w:jc w:val="center"/>
            </w:pPr>
            <w:r/>
            <w:r>
              <w:rPr>
                <w:rFonts w:ascii="宋体" w:hAnsi="宋体" w:eastAsia="宋体"/>
                <w:sz w:val="21"/>
              </w:rPr>
              <w:t>*</w:t>
            </w:r>
          </w:p>
        </w:tc>
      </w:tr>
    </w:tbl>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t>注：*** p&lt;0.001, ** p&lt;0.01, * p&lt;0.05, ns=不显著。年龄和BMI已标准化处理。OR&lt;1表示保护因素（不满意几率降低），OR&gt;1表示风险因素（不满意几率升高）。</w:t>
      </w:r>
    </w:p>
    <w:p>
      <w:pPr>
        <w:jc w:val="center"/>
      </w:pPr>
      <w:r>
        <w:drawing>
          <wp:inline xmlns:a="http://schemas.openxmlformats.org/drawingml/2006/main" xmlns:pic="http://schemas.openxmlformats.org/drawingml/2006/picture">
            <wp:extent cx="5029200" cy="4009813"/>
            <wp:docPr id="7" name="Picture 7"/>
            <wp:cNvGraphicFramePr>
              <a:graphicFrameLocks noChangeAspect="1"/>
            </wp:cNvGraphicFramePr>
            <a:graphic>
              <a:graphicData uri="http://schemas.openxmlformats.org/drawingml/2006/picture">
                <pic:pic>
                  <pic:nvPicPr>
                    <pic:cNvPr id="0" name="fig5_or_forest.png"/>
                    <pic:cNvPicPr/>
                  </pic:nvPicPr>
                  <pic:blipFill>
                    <a:blip r:embed="rId15"/>
                    <a:stretch>
                      <a:fillRect/>
                    </a:stretch>
                  </pic:blipFill>
                  <pic:spPr>
                    <a:xfrm>
                      <a:off x="0" y="0"/>
                      <a:ext cx="5029200" cy="4009813"/>
                    </a:xfrm>
                    <a:prstGeom prst="rect"/>
                  </pic:spPr>
                </pic:pic>
              </a:graphicData>
            </a:graphic>
          </wp:inline>
        </w:drawing>
      </w:r>
    </w:p>
    <w:p>
      <w:pPr>
        <w:spacing w:line="360" w:lineRule="auto" w:before="0" w:after="0"/>
        <w:jc w:val="center"/>
      </w:pPr>
      <w:r>
        <w:rPr>
          <w:rFonts w:ascii="宋体" w:hAnsi="宋体" w:eastAsia="宋体"/>
          <w:b w:val="0"/>
          <w:sz w:val="24"/>
        </w:rPr>
        <w:t>图7  Logistic回归优势比（OR）森林图</w:t>
      </w:r>
    </w:p>
    <w:p>
      <w:pPr>
        <w:spacing w:line="360" w:lineRule="auto" w:before="0" w:after="0"/>
        <w:jc w:val="left"/>
      </w:pPr>
      <w:r>
        <w:rPr>
          <w:rFonts w:ascii="宋体" w:hAnsi="宋体" w:eastAsia="宋体"/>
          <w:b w:val="0"/>
          <w:sz w:val="28"/>
        </w:rPr>
        <w:t>3. 结果解读</w:t>
      </w:r>
    </w:p>
    <w:p>
      <w:pPr>
        <w:spacing w:line="360" w:lineRule="auto" w:before="0" w:after="0"/>
      </w:pPr>
      <w:r>
        <w:rPr>
          <w:rFonts w:ascii="宋体" w:hAnsi="宋体" w:eastAsia="宋体"/>
          <w:b w:val="0"/>
          <w:sz w:val="24"/>
        </w:rPr>
        <w:t>自评健康差是生活不满意的最强预测因子（β=1.700, OR=5.473, p&lt;0.001, Wald z=36.359）：在控制所有其他变量后，自评健康差的老年人生活不满意的几率是自评健康好者的5.47倍。OR的95%置信区间为[4.993, 5.998]，区间宽度极窄且远大于1，表明该效应的估计非常精确。z统计量（36.359）远超1.96的临界值，是模型中所有变量中最大的Wald统计量，确证了健康在老年主观福祉中的不可替代的核心地位。</w:t>
      </w:r>
    </w:p>
    <w:p>
      <w:pPr>
        <w:spacing w:line="360" w:lineRule="auto" w:before="0" w:after="0"/>
      </w:pPr>
      <w:r>
        <w:rPr>
          <w:rFonts w:ascii="宋体" w:hAnsi="宋体" w:eastAsia="宋体"/>
          <w:b w:val="0"/>
          <w:sz w:val="24"/>
        </w:rPr>
        <w:t>有配偶是显著的保护因素（β=-0.226, OR=0.798, p&lt;0.001）：有配偶的老年人生活不满意的几率比无配偶者低20.2%。该效应在控制健康、教育、互联网使用等其他变量后依然显著，证实了婚姻关系作为一种亲密社会支持对老年生活质量的独立保护效应。</w:t>
      </w:r>
    </w:p>
    <w:p>
      <w:pPr>
        <w:spacing w:line="360" w:lineRule="auto" w:before="0" w:after="0"/>
      </w:pPr>
      <w:r>
        <w:rPr>
          <w:rFonts w:ascii="宋体" w:hAnsi="宋体" w:eastAsia="宋体"/>
          <w:b w:val="0"/>
          <w:sz w:val="24"/>
        </w:rPr>
        <w:t>互联网使用是显著的保护因素（β=-0.183, OR=0.833, p=0.001）：上网的老年人生活不满意的几率比非上网者低16.7%。与健康因素（OR=5.473）相比，互联网的效应量（OR=0.833）小得多，表明数字接入虽然是对老年人福祉有益的积极因素，但绝非主导因素——它应被视为健康的补充而非替代。</w:t>
      </w:r>
    </w:p>
    <w:p>
      <w:pPr>
        <w:spacing w:line="360" w:lineRule="auto" w:before="0" w:after="0"/>
      </w:pPr>
      <w:r>
        <w:rPr>
          <w:rFonts w:ascii="宋体" w:hAnsi="宋体" w:eastAsia="宋体"/>
          <w:b w:val="0"/>
          <w:sz w:val="24"/>
        </w:rPr>
        <w:t>社交网络（β=-0.129, OR=0.879, p&lt;0.001）、BMI（β=-0.149, OR=0.862, p&lt;0.001）、锻炼强度（β=-0.083, OR=0.921, p=0.044）和文化程度（β=-0.045, OR=0.956, p=0.012）均为显著但效应较小的保护因素。这些变量OR的置信区间接近1，表明其对生活不满意的预测力有限但方向一致。</w:t>
      </w:r>
    </w:p>
    <w:p>
      <w:pPr>
        <w:spacing w:line="360" w:lineRule="auto" w:before="0" w:after="0"/>
      </w:pPr>
      <w:r>
        <w:rPr>
          <w:rFonts w:ascii="宋体" w:hAnsi="宋体" w:eastAsia="宋体"/>
          <w:b w:val="0"/>
          <w:sz w:val="24"/>
        </w:rPr>
        <w:t>女性和年龄在控制其他变量后对生活不满意的独立效应不显著（性别p=0.291，年龄p=0.239），与前述分布检验和秩检验的结论一致——年龄对满意度的影响主要通过健康中介实现，而性别本身在老年阶段并非主观福祉差异的来源。童年饥饿在回归模型中的效应也不显著（p=0.740），表明早期生活经历的直接影响在控制当前健康和社会经济变量后消失。→ H6得到部分验证。</w:t>
      </w:r>
    </w:p>
    <w:p>
      <w:pPr>
        <w:spacing w:line="360" w:lineRule="auto" w:before="0" w:after="0"/>
        <w:jc w:val="left"/>
      </w:pPr>
      <w:r>
        <w:rPr>
          <w:rFonts w:ascii="宋体" w:hAnsi="宋体" w:eastAsia="宋体"/>
          <w:b w:val="0"/>
          <w:sz w:val="28"/>
        </w:rPr>
        <w:t>4. 模型诊断</w:t>
      </w:r>
    </w:p>
    <w:p>
      <w:pPr>
        <w:spacing w:line="360" w:lineRule="auto" w:before="0" w:after="0"/>
      </w:pPr>
      <w:r>
        <w:rPr>
          <w:rFonts w:ascii="宋体" w:hAnsi="宋体" w:eastAsia="宋体"/>
          <w:b w:val="0"/>
          <w:sz w:val="24"/>
        </w:rPr>
        <w:t>Hosmer-Lemeshow拟合优度检验结果为χ²=25.05, df=8, p=0.0015。p值小于0.05，提示模型的拟合优度有一定的改善空间，这在大样本（N=11,304）下并不罕见——大样本下微小的拟合偏差也可能导致统计显著的H-L检验结果。从实际角度看，伪R²（0.1264）表明模型的解释力处于社会科学的可接受范围。</w:t>
      </w:r>
    </w:p>
    <w:p>
      <w:pPr>
        <w:spacing w:line="360" w:lineRule="auto" w:before="0" w:after="0"/>
      </w:pPr>
      <w:r>
        <w:rPr>
          <w:rFonts w:ascii="宋体" w:hAnsi="宋体" w:eastAsia="宋体"/>
          <w:b w:val="0"/>
          <w:sz w:val="24"/>
        </w:rPr>
        <w:t>多重共线性诊断（VIF）显示所有自变量的VIF值均远小于10，不存在严重的多重共线性问题。模型分类预测准确率为68.9%，敏感度为50.2%，特异度为78.9%。</w:t>
      </w:r>
    </w:p>
    <w:p>
      <w:pPr>
        <w:jc w:val="center"/>
      </w:pPr>
      <w:r>
        <w:drawing>
          <wp:inline xmlns:a="http://schemas.openxmlformats.org/drawingml/2006/main" xmlns:pic="http://schemas.openxmlformats.org/drawingml/2006/picture">
            <wp:extent cx="5029200" cy="2068030"/>
            <wp:docPr id="8" name="Picture 8"/>
            <wp:cNvGraphicFramePr>
              <a:graphicFrameLocks noChangeAspect="1"/>
            </wp:cNvGraphicFramePr>
            <a:graphic>
              <a:graphicData uri="http://schemas.openxmlformats.org/drawingml/2006/picture">
                <pic:pic>
                  <pic:nvPicPr>
                    <pic:cNvPr id="0" name="fig6_internet_ls.png"/>
                    <pic:cNvPicPr/>
                  </pic:nvPicPr>
                  <pic:blipFill>
                    <a:blip r:embed="rId16"/>
                    <a:stretch>
                      <a:fillRect/>
                    </a:stretch>
                  </pic:blipFill>
                  <pic:spPr>
                    <a:xfrm>
                      <a:off x="0" y="0"/>
                      <a:ext cx="5029200" cy="2068030"/>
                    </a:xfrm>
                    <a:prstGeom prst="rect"/>
                  </pic:spPr>
                </pic:pic>
              </a:graphicData>
            </a:graphic>
          </wp:inline>
        </w:drawing>
      </w:r>
    </w:p>
    <w:p>
      <w:pPr>
        <w:spacing w:line="360" w:lineRule="auto" w:before="0" w:after="0"/>
        <w:jc w:val="center"/>
      </w:pPr>
      <w:r>
        <w:rPr>
          <w:rFonts w:ascii="宋体" w:hAnsi="宋体" w:eastAsia="宋体"/>
          <w:b w:val="0"/>
          <w:sz w:val="24"/>
        </w:rPr>
        <w:t>图8  上网与不上网老年人生活满意度分布比较（堆积百分比与核密度曲线）</w:t>
      </w:r>
    </w:p>
    <w:p>
      <w:pPr>
        <w:jc w:val="center"/>
      </w:pPr>
      <w:r>
        <w:drawing>
          <wp:inline xmlns:a="http://schemas.openxmlformats.org/drawingml/2006/main" xmlns:pic="http://schemas.openxmlformats.org/drawingml/2006/picture">
            <wp:extent cx="5486400" cy="3502587"/>
            <wp:docPr id="9" name="Picture 9"/>
            <wp:cNvGraphicFramePr>
              <a:graphicFrameLocks noChangeAspect="1"/>
            </wp:cNvGraphicFramePr>
            <a:graphic>
              <a:graphicData uri="http://schemas.openxmlformats.org/drawingml/2006/picture">
                <pic:pic>
                  <pic:nvPicPr>
                    <pic:cNvPr id="0" name="fig7_multidim.png"/>
                    <pic:cNvPicPr/>
                  </pic:nvPicPr>
                  <pic:blipFill>
                    <a:blip r:embed="rId17"/>
                    <a:stretch>
                      <a:fillRect/>
                    </a:stretch>
                  </pic:blipFill>
                  <pic:spPr>
                    <a:xfrm>
                      <a:off x="0" y="0"/>
                      <a:ext cx="5486400" cy="3502587"/>
                    </a:xfrm>
                    <a:prstGeom prst="rect"/>
                  </pic:spPr>
                </pic:pic>
              </a:graphicData>
            </a:graphic>
          </wp:inline>
        </w:drawing>
      </w:r>
    </w:p>
    <w:p>
      <w:pPr>
        <w:spacing w:line="360" w:lineRule="auto" w:before="0" w:after="0"/>
        <w:jc w:val="center"/>
      </w:pPr>
      <w:r>
        <w:rPr>
          <w:rFonts w:ascii="宋体" w:hAnsi="宋体" w:eastAsia="宋体"/>
          <w:b w:val="0"/>
          <w:sz w:val="24"/>
        </w:rPr>
        <w:t>图9  生活满意度多维交互分布热力图</w:t>
      </w:r>
    </w:p>
    <w:p>
      <w:pPr>
        <w:spacing w:line="360" w:lineRule="auto" w:before="0" w:after="0"/>
        <w:jc w:val="left"/>
      </w:pPr>
      <w:r>
        <w:rPr>
          <w:rFonts w:ascii="黑体" w:hAnsi="黑体" w:eastAsia="黑体"/>
          <w:b w:val="0"/>
          <w:sz w:val="32"/>
        </w:rPr>
        <w:t>五、结论与讨论</w:t>
      </w:r>
    </w:p>
    <w:p>
      <w:pPr>
        <w:spacing w:line="360" w:lineRule="auto" w:before="0" w:after="0"/>
        <w:jc w:val="left"/>
      </w:pPr>
      <w:r>
        <w:rPr>
          <w:rFonts w:ascii="楷体" w:hAnsi="楷体" w:eastAsia="楷体"/>
          <w:b w:val="0"/>
          <w:sz w:val="32"/>
        </w:rPr>
        <w:t>（一）假设验证结果总结</w:t>
      </w:r>
    </w:p>
    <w:p>
      <w:pPr>
        <w:spacing w:line="360" w:lineRule="auto" w:before="0" w:after="0"/>
        <w:jc w:val="center"/>
      </w:pPr>
      <w:r>
        <w:rPr>
          <w:rFonts w:ascii="宋体" w:hAnsi="宋体" w:eastAsia="宋体"/>
          <w:b w:val="0"/>
          <w:sz w:val="24"/>
        </w:rPr>
        <w:t>表7  六组研究假设验证结果汇总</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宋体" w:hAnsi="宋体" w:eastAsia="宋体"/>
                <w:b/>
                <w:sz w:val="21"/>
              </w:rPr>
              <w:t>假设</w:t>
            </w:r>
          </w:p>
        </w:tc>
        <w:tc>
          <w:tcPr>
            <w:tcW w:type="dxa" w:w="1814"/>
          </w:tcPr>
          <w:p>
            <w:pPr>
              <w:jc w:val="center"/>
            </w:pPr>
            <w:r/>
            <w:r>
              <w:rPr>
                <w:rFonts w:ascii="宋体" w:hAnsi="宋体" w:eastAsia="宋体"/>
                <w:b/>
                <w:sz w:val="21"/>
              </w:rPr>
              <w:t>核心命题</w:t>
            </w:r>
          </w:p>
        </w:tc>
        <w:tc>
          <w:tcPr>
            <w:tcW w:type="dxa" w:w="1814"/>
          </w:tcPr>
          <w:p>
            <w:pPr>
              <w:jc w:val="center"/>
            </w:pPr>
            <w:r/>
            <w:r>
              <w:rPr>
                <w:rFonts w:ascii="宋体" w:hAnsi="宋体" w:eastAsia="宋体"/>
                <w:b/>
                <w:sz w:val="21"/>
              </w:rPr>
              <w:t>检验方法</w:t>
            </w:r>
          </w:p>
        </w:tc>
        <w:tc>
          <w:tcPr>
            <w:tcW w:type="dxa" w:w="1814"/>
          </w:tcPr>
          <w:p>
            <w:pPr>
              <w:jc w:val="center"/>
            </w:pPr>
            <w:r/>
            <w:r>
              <w:rPr>
                <w:rFonts w:ascii="宋体" w:hAnsi="宋体" w:eastAsia="宋体"/>
                <w:b/>
                <w:sz w:val="21"/>
              </w:rPr>
              <w:t>关键统计量</w:t>
            </w:r>
          </w:p>
        </w:tc>
        <w:tc>
          <w:tcPr>
            <w:tcW w:type="dxa" w:w="1814"/>
          </w:tcPr>
          <w:p>
            <w:pPr>
              <w:jc w:val="center"/>
            </w:pPr>
            <w:r/>
            <w:r>
              <w:rPr>
                <w:rFonts w:ascii="宋体" w:hAnsi="宋体" w:eastAsia="宋体"/>
                <w:b/>
                <w:sz w:val="21"/>
              </w:rPr>
              <w:t>结果</w:t>
            </w:r>
          </w:p>
        </w:tc>
      </w:tr>
      <w:tr>
        <w:tc>
          <w:tcPr>
            <w:tcW w:type="dxa" w:w="1814"/>
          </w:tcPr>
          <w:p>
            <w:pPr>
              <w:jc w:val="center"/>
            </w:pPr>
            <w:r/>
            <w:r>
              <w:rPr>
                <w:rFonts w:ascii="宋体" w:hAnsi="宋体" w:eastAsia="宋体"/>
                <w:sz w:val="21"/>
              </w:rPr>
              <w:t>H1</w:t>
            </w:r>
          </w:p>
        </w:tc>
        <w:tc>
          <w:tcPr>
            <w:tcW w:type="dxa" w:w="1814"/>
          </w:tcPr>
          <w:p>
            <w:pPr>
              <w:jc w:val="center"/>
            </w:pPr>
            <w:r/>
            <w:r>
              <w:rPr>
                <w:rFonts w:ascii="宋体" w:hAnsi="宋体" w:eastAsia="宋体"/>
                <w:sz w:val="21"/>
              </w:rPr>
              <w:t>生活满意度不服从正态分布</w:t>
            </w:r>
          </w:p>
        </w:tc>
        <w:tc>
          <w:tcPr>
            <w:tcW w:type="dxa" w:w="1814"/>
          </w:tcPr>
          <w:p>
            <w:pPr>
              <w:jc w:val="center"/>
            </w:pPr>
            <w:r/>
            <w:r>
              <w:rPr>
                <w:rFonts w:ascii="宋体" w:hAnsi="宋体" w:eastAsia="宋体"/>
                <w:sz w:val="21"/>
              </w:rPr>
              <w:t>Shapiro-Wilk检验</w:t>
            </w:r>
          </w:p>
        </w:tc>
        <w:tc>
          <w:tcPr>
            <w:tcW w:type="dxa" w:w="1814"/>
          </w:tcPr>
          <w:p>
            <w:pPr>
              <w:jc w:val="center"/>
            </w:pPr>
            <w:r/>
            <w:r>
              <w:rPr>
                <w:rFonts w:ascii="宋体" w:hAnsi="宋体" w:eastAsia="宋体"/>
                <w:sz w:val="21"/>
              </w:rPr>
              <w:t>W=0.864, p&lt;0.001</w:t>
            </w:r>
          </w:p>
        </w:tc>
        <w:tc>
          <w:tcPr>
            <w:tcW w:type="dxa" w:w="1814"/>
          </w:tcPr>
          <w:p>
            <w:pPr>
              <w:jc w:val="center"/>
            </w:pPr>
            <w:r/>
            <w:r>
              <w:rPr>
                <w:rFonts w:ascii="宋体" w:hAnsi="宋体" w:eastAsia="宋体"/>
                <w:sz w:val="21"/>
              </w:rPr>
              <w:t>支持***</w:t>
            </w:r>
          </w:p>
        </w:tc>
      </w:tr>
      <w:tr>
        <w:tc>
          <w:tcPr>
            <w:tcW w:type="dxa" w:w="1814"/>
          </w:tcPr>
          <w:p>
            <w:pPr>
              <w:jc w:val="center"/>
            </w:pPr>
            <w:r/>
            <w:r>
              <w:rPr>
                <w:rFonts w:ascii="宋体" w:hAnsi="宋体" w:eastAsia="宋体"/>
                <w:sz w:val="21"/>
              </w:rPr>
              <w:t>H2</w:t>
            </w:r>
          </w:p>
        </w:tc>
        <w:tc>
          <w:tcPr>
            <w:tcW w:type="dxa" w:w="1814"/>
          </w:tcPr>
          <w:p>
            <w:pPr>
              <w:jc w:val="center"/>
            </w:pPr>
            <w:r/>
            <w:r>
              <w:rPr>
                <w:rFonts w:ascii="宋体" w:hAnsi="宋体" w:eastAsia="宋体"/>
                <w:sz w:val="21"/>
              </w:rPr>
              <w:t>生活满意度不服从均匀分布</w:t>
            </w:r>
          </w:p>
        </w:tc>
        <w:tc>
          <w:tcPr>
            <w:tcW w:type="dxa" w:w="1814"/>
          </w:tcPr>
          <w:p>
            <w:pPr>
              <w:jc w:val="center"/>
            </w:pPr>
            <w:r/>
            <w:r>
              <w:rPr>
                <w:rFonts w:ascii="宋体" w:hAnsi="宋体" w:eastAsia="宋体"/>
                <w:sz w:val="21"/>
              </w:rPr>
              <w:t>Pearson chi2 GOF</w:t>
            </w:r>
          </w:p>
        </w:tc>
        <w:tc>
          <w:tcPr>
            <w:tcW w:type="dxa" w:w="1814"/>
          </w:tcPr>
          <w:p>
            <w:pPr>
              <w:jc w:val="center"/>
            </w:pPr>
            <w:r/>
            <w:r>
              <w:rPr>
                <w:rFonts w:ascii="宋体" w:hAnsi="宋体" w:eastAsia="宋体"/>
                <w:sz w:val="21"/>
              </w:rPr>
              <w:t>chi2=7446.5, df=4, p&lt;0.001</w:t>
            </w:r>
          </w:p>
        </w:tc>
        <w:tc>
          <w:tcPr>
            <w:tcW w:type="dxa" w:w="1814"/>
          </w:tcPr>
          <w:p>
            <w:pPr>
              <w:jc w:val="center"/>
            </w:pPr>
            <w:r/>
            <w:r>
              <w:rPr>
                <w:rFonts w:ascii="宋体" w:hAnsi="宋体" w:eastAsia="宋体"/>
                <w:sz w:val="21"/>
              </w:rPr>
              <w:t>支持***</w:t>
            </w:r>
          </w:p>
        </w:tc>
      </w:tr>
      <w:tr>
        <w:tc>
          <w:tcPr>
            <w:tcW w:type="dxa" w:w="1814"/>
          </w:tcPr>
          <w:p>
            <w:pPr>
              <w:jc w:val="center"/>
            </w:pPr>
            <w:r/>
            <w:r>
              <w:rPr>
                <w:rFonts w:ascii="宋体" w:hAnsi="宋体" w:eastAsia="宋体"/>
                <w:sz w:val="21"/>
              </w:rPr>
              <w:t>H3</w:t>
            </w:r>
          </w:p>
        </w:tc>
        <w:tc>
          <w:tcPr>
            <w:tcW w:type="dxa" w:w="1814"/>
          </w:tcPr>
          <w:p>
            <w:pPr>
              <w:jc w:val="center"/>
            </w:pPr>
            <w:r/>
            <w:r>
              <w:rPr>
                <w:rFonts w:ascii="宋体" w:hAnsi="宋体" w:eastAsia="宋体"/>
                <w:sz w:val="21"/>
              </w:rPr>
              <w:t>健康驱动生活满意度群体分化</w:t>
            </w:r>
          </w:p>
        </w:tc>
        <w:tc>
          <w:tcPr>
            <w:tcW w:type="dxa" w:w="1814"/>
          </w:tcPr>
          <w:p>
            <w:pPr>
              <w:jc w:val="center"/>
            </w:pPr>
            <w:r/>
            <w:r>
              <w:rPr>
                <w:rFonts w:ascii="宋体" w:hAnsi="宋体" w:eastAsia="宋体"/>
                <w:sz w:val="21"/>
              </w:rPr>
              <w:t>双样本K-S检验</w:t>
            </w:r>
          </w:p>
        </w:tc>
        <w:tc>
          <w:tcPr>
            <w:tcW w:type="dxa" w:w="1814"/>
          </w:tcPr>
          <w:p>
            <w:pPr>
              <w:jc w:val="center"/>
            </w:pPr>
            <w:r/>
            <w:r>
              <w:rPr>
                <w:rFonts w:ascii="宋体" w:hAnsi="宋体" w:eastAsia="宋体"/>
                <w:sz w:val="21"/>
              </w:rPr>
              <w:t>D=0.359, p&lt;0.001</w:t>
            </w:r>
          </w:p>
        </w:tc>
        <w:tc>
          <w:tcPr>
            <w:tcW w:type="dxa" w:w="1814"/>
          </w:tcPr>
          <w:p>
            <w:pPr>
              <w:jc w:val="center"/>
            </w:pPr>
            <w:r/>
            <w:r>
              <w:rPr>
                <w:rFonts w:ascii="宋体" w:hAnsi="宋体" w:eastAsia="宋体"/>
                <w:sz w:val="21"/>
              </w:rPr>
              <w:t>支持***</w:t>
            </w:r>
          </w:p>
        </w:tc>
      </w:tr>
      <w:tr>
        <w:tc>
          <w:tcPr>
            <w:tcW w:type="dxa" w:w="1814"/>
          </w:tcPr>
          <w:p>
            <w:pPr>
              <w:jc w:val="center"/>
            </w:pPr>
            <w:r/>
            <w:r>
              <w:rPr>
                <w:rFonts w:ascii="宋体" w:hAnsi="宋体" w:eastAsia="宋体"/>
                <w:sz w:val="21"/>
              </w:rPr>
              <w:t>H4</w:t>
            </w:r>
          </w:p>
        </w:tc>
        <w:tc>
          <w:tcPr>
            <w:tcW w:type="dxa" w:w="1814"/>
          </w:tcPr>
          <w:p>
            <w:pPr>
              <w:jc w:val="center"/>
            </w:pPr>
            <w:r/>
            <w:r>
              <w:rPr>
                <w:rFonts w:ascii="宋体" w:hAnsi="宋体" w:eastAsia="宋体"/>
                <w:sz w:val="21"/>
              </w:rPr>
              <w:t>互联网接入存在分布差异</w:t>
            </w:r>
          </w:p>
        </w:tc>
        <w:tc>
          <w:tcPr>
            <w:tcW w:type="dxa" w:w="1814"/>
          </w:tcPr>
          <w:p>
            <w:pPr>
              <w:jc w:val="center"/>
            </w:pPr>
            <w:r/>
            <w:r>
              <w:rPr>
                <w:rFonts w:ascii="宋体" w:hAnsi="宋体" w:eastAsia="宋体"/>
                <w:sz w:val="21"/>
              </w:rPr>
              <w:t>双样本K-S+Wilcoxon</w:t>
            </w:r>
          </w:p>
        </w:tc>
        <w:tc>
          <w:tcPr>
            <w:tcW w:type="dxa" w:w="1814"/>
          </w:tcPr>
          <w:p>
            <w:pPr>
              <w:jc w:val="center"/>
            </w:pPr>
            <w:r/>
            <w:r>
              <w:rPr>
                <w:rFonts w:ascii="宋体" w:hAnsi="宋体" w:eastAsia="宋体"/>
                <w:sz w:val="21"/>
              </w:rPr>
              <w:t>D=0.112, Z=-11.461</w:t>
            </w:r>
          </w:p>
        </w:tc>
        <w:tc>
          <w:tcPr>
            <w:tcW w:type="dxa" w:w="1814"/>
          </w:tcPr>
          <w:p>
            <w:pPr>
              <w:jc w:val="center"/>
            </w:pPr>
            <w:r/>
            <w:r>
              <w:rPr>
                <w:rFonts w:ascii="宋体" w:hAnsi="宋体" w:eastAsia="宋体"/>
                <w:sz w:val="21"/>
              </w:rPr>
              <w:t>支持***</w:t>
            </w:r>
          </w:p>
        </w:tc>
      </w:tr>
      <w:tr>
        <w:tc>
          <w:tcPr>
            <w:tcW w:type="dxa" w:w="1814"/>
          </w:tcPr>
          <w:p>
            <w:pPr>
              <w:jc w:val="center"/>
            </w:pPr>
            <w:r/>
            <w:r>
              <w:rPr>
                <w:rFonts w:ascii="宋体" w:hAnsi="宋体" w:eastAsia="宋体"/>
                <w:sz w:val="21"/>
              </w:rPr>
              <w:t>H5</w:t>
            </w:r>
          </w:p>
        </w:tc>
        <w:tc>
          <w:tcPr>
            <w:tcW w:type="dxa" w:w="1814"/>
          </w:tcPr>
          <w:p>
            <w:pPr>
              <w:jc w:val="center"/>
            </w:pPr>
            <w:r/>
            <w:r>
              <w:rPr>
                <w:rFonts w:ascii="宋体" w:hAnsi="宋体" w:eastAsia="宋体"/>
                <w:sz w:val="21"/>
              </w:rPr>
              <w:t>婚姻状况存在分布差异</w:t>
            </w:r>
          </w:p>
        </w:tc>
        <w:tc>
          <w:tcPr>
            <w:tcW w:type="dxa" w:w="1814"/>
          </w:tcPr>
          <w:p>
            <w:pPr>
              <w:jc w:val="center"/>
            </w:pPr>
            <w:r/>
            <w:r>
              <w:rPr>
                <w:rFonts w:ascii="宋体" w:hAnsi="宋体" w:eastAsia="宋体"/>
                <w:sz w:val="21"/>
              </w:rPr>
              <w:t>双样本K-S+Wilcoxon</w:t>
            </w:r>
          </w:p>
        </w:tc>
        <w:tc>
          <w:tcPr>
            <w:tcW w:type="dxa" w:w="1814"/>
          </w:tcPr>
          <w:p>
            <w:pPr>
              <w:jc w:val="center"/>
            </w:pPr>
            <w:r/>
            <w:r>
              <w:rPr>
                <w:rFonts w:ascii="宋体" w:hAnsi="宋体" w:eastAsia="宋体"/>
                <w:sz w:val="21"/>
              </w:rPr>
              <w:t>D=0.093, Z=-8.924</w:t>
            </w:r>
          </w:p>
        </w:tc>
        <w:tc>
          <w:tcPr>
            <w:tcW w:type="dxa" w:w="1814"/>
          </w:tcPr>
          <w:p>
            <w:pPr>
              <w:jc w:val="center"/>
            </w:pPr>
            <w:r/>
            <w:r>
              <w:rPr>
                <w:rFonts w:ascii="宋体" w:hAnsi="宋体" w:eastAsia="宋体"/>
                <w:sz w:val="21"/>
              </w:rPr>
              <w:t>支持***</w:t>
            </w:r>
          </w:p>
        </w:tc>
      </w:tr>
      <w:tr>
        <w:tc>
          <w:tcPr>
            <w:tcW w:type="dxa" w:w="1814"/>
          </w:tcPr>
          <w:p>
            <w:pPr>
              <w:jc w:val="center"/>
            </w:pPr>
            <w:r/>
            <w:r>
              <w:rPr>
                <w:rFonts w:ascii="宋体" w:hAnsi="宋体" w:eastAsia="宋体"/>
                <w:sz w:val="21"/>
              </w:rPr>
              <w:t>H6</w:t>
            </w:r>
          </w:p>
        </w:tc>
        <w:tc>
          <w:tcPr>
            <w:tcW w:type="dxa" w:w="1814"/>
          </w:tcPr>
          <w:p>
            <w:pPr>
              <w:jc w:val="center"/>
            </w:pPr>
            <w:r/>
            <w:r>
              <w:rPr>
                <w:rFonts w:ascii="宋体" w:hAnsi="宋体" w:eastAsia="宋体"/>
                <w:sz w:val="21"/>
              </w:rPr>
              <w:t>多因素综合影响显著</w:t>
            </w:r>
          </w:p>
        </w:tc>
        <w:tc>
          <w:tcPr>
            <w:tcW w:type="dxa" w:w="1814"/>
          </w:tcPr>
          <w:p>
            <w:pPr>
              <w:jc w:val="center"/>
            </w:pPr>
            <w:r/>
            <w:r>
              <w:rPr>
                <w:rFonts w:ascii="宋体" w:hAnsi="宋体" w:eastAsia="宋体"/>
                <w:sz w:val="21"/>
              </w:rPr>
              <w:t>Logistic回归-LR检验</w:t>
            </w:r>
          </w:p>
        </w:tc>
        <w:tc>
          <w:tcPr>
            <w:tcW w:type="dxa" w:w="1814"/>
          </w:tcPr>
          <w:p>
            <w:pPr>
              <w:jc w:val="center"/>
            </w:pPr>
            <w:r/>
            <w:r>
              <w:rPr>
                <w:rFonts w:ascii="宋体" w:hAnsi="宋体" w:eastAsia="宋体"/>
                <w:sz w:val="21"/>
              </w:rPr>
              <w:t>LR chi2(10)=1843.78, p&lt;0.001</w:t>
            </w:r>
          </w:p>
        </w:tc>
        <w:tc>
          <w:tcPr>
            <w:tcW w:type="dxa" w:w="1814"/>
          </w:tcPr>
          <w:p>
            <w:pPr>
              <w:jc w:val="center"/>
            </w:pPr>
            <w:r/>
            <w:r>
              <w:rPr>
                <w:rFonts w:ascii="宋体" w:hAnsi="宋体" w:eastAsia="宋体"/>
                <w:sz w:val="21"/>
              </w:rPr>
              <w:t>支持***</w:t>
            </w:r>
          </w:p>
        </w:tc>
      </w:tr>
    </w:tbl>
    <w:p>
      <w:pPr>
        <w:spacing w:line="360" w:lineRule="auto" w:before="0" w:after="0"/>
      </w:pPr>
      <w:r>
        <w:rPr>
          <w:rFonts w:ascii="宋体" w:hAnsi="宋体" w:eastAsia="宋体"/>
          <w:b w:val="0"/>
          <w:sz w:val="24"/>
        </w:rPr>
      </w:r>
    </w:p>
    <w:p>
      <w:pPr>
        <w:spacing w:line="360" w:lineRule="auto" w:before="0" w:after="0"/>
      </w:pPr>
      <w:r>
        <w:rPr>
          <w:rFonts w:ascii="宋体" w:hAnsi="宋体" w:eastAsia="宋体"/>
          <w:b w:val="0"/>
          <w:sz w:val="24"/>
        </w:rPr>
        <w:t>注：*** p&lt;0.001。</w:t>
      </w:r>
    </w:p>
    <w:p>
      <w:pPr>
        <w:spacing w:line="360" w:lineRule="auto" w:before="0" w:after="0"/>
        <w:jc w:val="left"/>
      </w:pPr>
      <w:r>
        <w:rPr>
          <w:rFonts w:ascii="楷体" w:hAnsi="楷体" w:eastAsia="楷体"/>
          <w:b w:val="0"/>
          <w:sz w:val="32"/>
        </w:rPr>
        <w:t>（二）主要发现与讨论</w:t>
      </w:r>
    </w:p>
    <w:p>
      <w:pPr>
        <w:spacing w:line="360" w:lineRule="auto" w:before="0" w:after="0"/>
        <w:jc w:val="left"/>
      </w:pPr>
      <w:r>
        <w:rPr>
          <w:rFonts w:ascii="宋体" w:hAnsi="宋体" w:eastAsia="宋体"/>
          <w:b w:val="0"/>
          <w:sz w:val="28"/>
        </w:rPr>
        <w:t>1. 分布特征的方法论启示：非正态与非均匀的双重拒绝</w:t>
      </w:r>
    </w:p>
    <w:p>
      <w:pPr>
        <w:spacing w:line="360" w:lineRule="auto" w:before="0" w:after="0"/>
      </w:pPr>
      <w:r>
        <w:rPr>
          <w:rFonts w:ascii="宋体" w:hAnsi="宋体" w:eastAsia="宋体"/>
          <w:b w:val="0"/>
          <w:sz w:val="24"/>
        </w:rPr>
        <w:t>生活满意度同时被三种独立的分布检验方法拒绝正态性和均匀性假设，这一结果具有重要的方法论含义。在社会科学和健康研究中，生活满意度常被当作连续变量进行参数检验（t检验、ANOVA、OLS回归）。本研究基于大样本（N=11,304）的检验结果表明，这种做法存在方法论风险——生活满意度本质上是1-5级的有序离散变量，其分布呈现典型的右偏、尖峰特征。这为后续研究者提供了明确的指引：对类似有序变量的分析，应优先考虑非参数方法或适用于有序数据的模型（如有序Logit模型），而非假设正态分布的参数方法。</w:t>
      </w:r>
    </w:p>
    <w:p>
      <w:pPr>
        <w:spacing w:line="360" w:lineRule="auto" w:before="0" w:after="0"/>
        <w:jc w:val="left"/>
      </w:pPr>
      <w:r>
        <w:rPr>
          <w:rFonts w:ascii="宋体" w:hAnsi="宋体" w:eastAsia="宋体"/>
          <w:b w:val="0"/>
          <w:sz w:val="28"/>
        </w:rPr>
        <w:t>2. 健康主导的分布结构：效应量梯度分析</w:t>
      </w:r>
    </w:p>
    <w:p>
      <w:pPr>
        <w:spacing w:line="360" w:lineRule="auto" w:before="0" w:after="0"/>
      </w:pPr>
      <w:r>
        <w:rPr>
          <w:rFonts w:ascii="宋体" w:hAnsi="宋体" w:eastAsia="宋体"/>
          <w:b w:val="0"/>
          <w:sz w:val="24"/>
        </w:rPr>
        <w:t>本研究从双样本K-S检验（D=0.359）、Wilcoxon秩和检验（r=0.341）、Spearman相关（rs=0.407）到Logistic回归（OR=5.473, Wald z=36.359），四个分析层次呈现出高度一致的证据链：自评健康是生活满意度群体分化的最强驱动因素，其效应量远超所有其他变量。这种多层次的一致性验证不仅增强了结论的可信度，也展示了"分布检验→秩检验→相关分析→回归建模"四层多重检验体系的方法学优势——各方法从不同角度刻画同一现象，彼此印证，形成完整的证据闭环。</w:t>
      </w:r>
    </w:p>
    <w:p>
      <w:pPr>
        <w:spacing w:line="360" w:lineRule="auto" w:before="0" w:after="0"/>
        <w:jc w:val="left"/>
      </w:pPr>
      <w:r>
        <w:rPr>
          <w:rFonts w:ascii="宋体" w:hAnsi="宋体" w:eastAsia="宋体"/>
          <w:b w:val="0"/>
          <w:sz w:val="28"/>
        </w:rPr>
        <w:t>3. 互联网的适度效应与数字鸿沟审思</w:t>
      </w:r>
    </w:p>
    <w:p>
      <w:pPr>
        <w:spacing w:line="360" w:lineRule="auto" w:before="0" w:after="0"/>
      </w:pPr>
      <w:r>
        <w:rPr>
          <w:rFonts w:ascii="宋体" w:hAnsi="宋体" w:eastAsia="宋体"/>
          <w:b w:val="0"/>
          <w:sz w:val="24"/>
        </w:rPr>
        <w:t>互联网使用与生活满意度的关联在所有检验层面均显著但效应量较小（D≈0.1, r≈0.1, OR≈0.83）。这一发现具有双重政策含义：一方面，它支持继续推进互联网适老化改造，因为数字接入确实与更高的生活满意度相关；另一方面，它警示不宜过度夸大数字技术对老年福祉的影响力——健康、婚姻和社会支持网络的效应均大于互联网。在制定老龄化政策时，应避免"技术决定论"的倾向，将数字包容作为全面提升老年福祉的多维策略中的一个组成部分，而非万能药方。</w:t>
      </w:r>
    </w:p>
    <w:p>
      <w:pPr>
        <w:spacing w:line="360" w:lineRule="auto" w:before="0" w:after="0"/>
        <w:jc w:val="left"/>
      </w:pPr>
      <w:r>
        <w:rPr>
          <w:rFonts w:ascii="宋体" w:hAnsi="宋体" w:eastAsia="宋体"/>
          <w:b w:val="0"/>
          <w:sz w:val="28"/>
        </w:rPr>
        <w:t>4. 性别平等的积极信号：一个值得关注的"零发现"</w:t>
      </w:r>
    </w:p>
    <w:p>
      <w:pPr>
        <w:spacing w:line="360" w:lineRule="auto" w:before="0" w:after="0"/>
      </w:pPr>
      <w:r>
        <w:rPr>
          <w:rFonts w:ascii="宋体" w:hAnsi="宋体" w:eastAsia="宋体"/>
          <w:b w:val="0"/>
          <w:sz w:val="24"/>
        </w:rPr>
        <w:t>本研究中性别在生活满意度上的"零发现"——双样本K-S检验不显著（D=0.015, p=0.553）、Wilcoxon秩和检验不显著（p=0.098）、Spearman相关不显著（p=0.098）、Logistic回归不显著（p=0.291）——构成了一个一致且值得关注的信号。在健康、教育、收入等多维度存在显著性别差异的背景下，生活满意度的性别平等特征提示我们：老年人可能发展出了超越结构性性别不平等的主观调适机制，能够在既有约束下维持相对均衡的生活评价。这一发现为积极老龄化研究提供了新的视角。</w:t>
      </w:r>
    </w:p>
    <w:p>
      <w:pPr>
        <w:spacing w:line="360" w:lineRule="auto" w:before="0" w:after="0"/>
        <w:jc w:val="left"/>
      </w:pPr>
      <w:r>
        <w:rPr>
          <w:rFonts w:ascii="宋体" w:hAnsi="宋体" w:eastAsia="宋体"/>
          <w:b w:val="0"/>
          <w:sz w:val="28"/>
        </w:rPr>
        <w:t>5. 多重检验方法体系的价值与局限</w:t>
      </w:r>
    </w:p>
    <w:p>
      <w:pPr>
        <w:spacing w:line="360" w:lineRule="auto" w:before="0" w:after="0"/>
      </w:pPr>
      <w:r>
        <w:rPr>
          <w:rFonts w:ascii="宋体" w:hAnsi="宋体" w:eastAsia="宋体"/>
          <w:b w:val="0"/>
          <w:sz w:val="24"/>
        </w:rPr>
        <w:t>本研究构建的"四层多重检验"体系——分布形态检验（§9.1）→ 组间分布差异检验（§9.3+秩检验）→ 相关结构分析 → Logistic回归（§4）——为分析有序因变量的分布特征提供了一个逻辑递进的方法框架。然而，本研究也存在以下局限：第一，横截面数据无法支持因果推断，变量间关联可能受到反向因果或未观测混杂的影响。第二，生活满意度的5级测量精度有限，未来研究可结合多维生活满意度量表。第三，未控制的重要变量（如经济收入、心理抑郁、慢性病数量）可能影响效应估计。第四，有序Logit模型可能比二元Logit模型更适用于原始的5级因变量，可在后续研究中采用。</w:t>
      </w:r>
    </w:p>
    <w:p>
      <w:pPr>
        <w:spacing w:line="360" w:lineRule="auto" w:before="0" w:after="0"/>
        <w:jc w:val="left"/>
      </w:pPr>
      <w:r>
        <w:rPr>
          <w:rFonts w:ascii="楷体" w:hAnsi="楷体" w:eastAsia="楷体"/>
          <w:b w:val="0"/>
          <w:sz w:val="32"/>
        </w:rPr>
        <w:t>（三）政策建议</w:t>
      </w:r>
    </w:p>
    <w:p>
      <w:pPr>
        <w:spacing w:line="360" w:lineRule="auto" w:before="0" w:after="0"/>
      </w:pPr>
      <w:r>
        <w:rPr>
          <w:rFonts w:ascii="宋体" w:hAnsi="宋体" w:eastAsia="宋体"/>
          <w:b w:val="0"/>
          <w:sz w:val="24"/>
        </w:rPr>
        <w:t>第一，坚持健康优先的福祉提升策略。鉴于健康对生活满意度的主导效应（OR=5.473），应将提升老年人身心健康水平作为增进福祉的首要途径，加强基层医疗卫生服务和健康管理。第二，推进数字包容但不神化数字技术。互联网使用的保护效应虽然显著但效应量有限（OR=0.833），应将数字适老化作为老年福祉提升的辅助性策略而非唯一抓手。第三，强化社会支持网络。有配偶（OR=0.798）和社交网络（OR=0.879）的保护效应提示社区和社会组织在老年福祉促进中具有不可替代的作用。第四，实施差异化的精准干预。既然健康是生活满意度分化的核心轴线，政策资源的配置应向健康弱势老年群体倾斜，而非按性别或年龄进行简单的均等化分配。</w:t>
      </w:r>
    </w:p>
    <w:p>
      <w:r>
        <w:br w:type="page"/>
      </w:r>
    </w:p>
    <w:p>
      <w:pPr>
        <w:spacing w:line="360" w:lineRule="auto" w:before="0" w:after="0"/>
        <w:jc w:val="center"/>
      </w:pPr>
      <w:r>
        <w:rPr>
          <w:rFonts w:ascii="黑体" w:hAnsi="黑体" w:eastAsia="黑体"/>
          <w:b/>
          <w:sz w:val="32"/>
        </w:rPr>
        <w:t>参考文献</w:t>
      </w:r>
    </w:p>
    <w:p>
      <w:pPr>
        <w:spacing w:line="360" w:lineRule="auto" w:before="0" w:after="0"/>
      </w:pPr>
      <w:r>
        <w:rPr>
          <w:rFonts w:ascii="宋体" w:hAnsi="宋体" w:eastAsia="宋体"/>
          <w:b w:val="0"/>
          <w:sz w:val="24"/>
        </w:rPr>
      </w:r>
    </w:p>
    <w:p>
      <w:pPr>
        <w:spacing w:line="360" w:lineRule="auto"/>
      </w:pPr>
      <w:r>
        <w:rPr>
          <w:rFonts w:ascii="宋体" w:hAnsi="宋体" w:eastAsia="宋体"/>
          <w:sz w:val="21"/>
        </w:rPr>
        <w:t>[1] 杨贵军. 统计建模技术Ⅱ: 离散型数据建模与非参数建模[M]. 北京: 科学出版社, 2021: 57-77, 170-200.</w:t>
      </w:r>
    </w:p>
    <w:p>
      <w:pPr>
        <w:spacing w:line="360" w:lineRule="auto"/>
      </w:pPr>
      <w:r>
        <w:rPr>
          <w:rFonts w:ascii="宋体" w:hAnsi="宋体" w:eastAsia="宋体"/>
          <w:sz w:val="21"/>
        </w:rPr>
        <w:t>[2] 中国人民大学人口与发展研究中心. 中国老年社会追踪调查(CLASS)2020年数据[DS]. 北京: 中国人民大学, 2020.</w:t>
      </w:r>
    </w:p>
    <w:p>
      <w:pPr>
        <w:spacing w:line="360" w:lineRule="auto"/>
      </w:pPr>
      <w:r>
        <w:rPr>
          <w:rFonts w:ascii="宋体" w:hAnsi="宋体" w:eastAsia="宋体"/>
          <w:sz w:val="21"/>
        </w:rPr>
        <w:t>[3] 肖红叶. 应用数理统计[M]. 北京: 科学出版社, 2020.</w:t>
      </w:r>
    </w:p>
    <w:p>
      <w:pPr>
        <w:spacing w:line="360" w:lineRule="auto"/>
      </w:pPr>
      <w:r>
        <w:rPr>
          <w:rFonts w:ascii="宋体" w:hAnsi="宋体" w:eastAsia="宋体"/>
          <w:sz w:val="21"/>
        </w:rPr>
        <w:t>[4] Agresti A. Categorical Data Analysis(3rd ed.)[M]. Hoboken: John Wiley &amp; Sons, 2013: 113-168.</w:t>
      </w:r>
    </w:p>
    <w:p>
      <w:pPr>
        <w:spacing w:line="360" w:lineRule="auto"/>
      </w:pPr>
      <w:r>
        <w:rPr>
          <w:rFonts w:ascii="宋体" w:hAnsi="宋体" w:eastAsia="宋体"/>
          <w:sz w:val="21"/>
        </w:rPr>
        <w:t>[5] Hosmer D W, Lemeshow S, Sturdivant R X. Applied Logistic Regression(3rd ed.)[M]. Hoboken: John Wiley &amp; Sons, 2013.</w:t>
      </w:r>
    </w:p>
    <w:p>
      <w:pPr>
        <w:spacing w:line="360" w:lineRule="auto"/>
      </w:pPr>
      <w:r>
        <w:rPr>
          <w:rFonts w:ascii="宋体" w:hAnsi="宋体" w:eastAsia="宋体"/>
          <w:sz w:val="21"/>
        </w:rPr>
        <w:t>[6] Diener E, Emmons R A, Larsen R J, et al. The satisfaction with life scale[J]. Journal of Personality Assessment, 1985, 49(1): 71-75.</w:t>
      </w:r>
    </w:p>
    <w:p>
      <w:pPr>
        <w:spacing w:line="360" w:lineRule="auto"/>
      </w:pPr>
      <w:r>
        <w:rPr>
          <w:rFonts w:ascii="宋体" w:hAnsi="宋体" w:eastAsia="宋体"/>
          <w:sz w:val="21"/>
        </w:rPr>
        <w:t>[7] Diener E, Suh E M, Lucas R E, et al. Subjective well-being: Three decades of progress[J]. Psychological Bulletin, 1999, 125(2): 276-302.</w:t>
      </w:r>
    </w:p>
    <w:p>
      <w:pPr>
        <w:spacing w:line="360" w:lineRule="auto"/>
      </w:pPr>
      <w:r>
        <w:rPr>
          <w:rFonts w:ascii="宋体" w:hAnsi="宋体" w:eastAsia="宋体"/>
          <w:sz w:val="21"/>
        </w:rPr>
        <w:t>[8] Shapiro S S, Wilk M B. An analysis of variance test for normality[J]. Biometrika, 1965, 52(3/4): 591-611.</w:t>
      </w:r>
    </w:p>
    <w:p>
      <w:pPr>
        <w:spacing w:line="360" w:lineRule="auto"/>
      </w:pPr>
      <w:r>
        <w:rPr>
          <w:rFonts w:ascii="宋体" w:hAnsi="宋体" w:eastAsia="宋体"/>
          <w:sz w:val="21"/>
        </w:rPr>
        <w:t>[9] Kolmogorov A. Sulla determinazione empirica di una legge di distribuzione[J]. Giornale dell'Istituto Italiano degli Attuari, 1933, 4: 83-91.</w:t>
      </w:r>
    </w:p>
    <w:p>
      <w:pPr>
        <w:spacing w:line="360" w:lineRule="auto"/>
      </w:pPr>
      <w:r>
        <w:rPr>
          <w:rFonts w:ascii="宋体" w:hAnsi="宋体" w:eastAsia="宋体"/>
          <w:sz w:val="21"/>
        </w:rPr>
        <w:t>[10] Smirnov N. Table for estimating the goodness of fit of empirical distributions[J]. Annals of Mathematical Statistics, 1948, 19(2): 279-281.</w:t>
      </w:r>
    </w:p>
    <w:p>
      <w:pPr>
        <w:spacing w:line="360" w:lineRule="auto"/>
      </w:pPr>
      <w:r>
        <w:rPr>
          <w:rFonts w:ascii="宋体" w:hAnsi="宋体" w:eastAsia="宋体"/>
          <w:sz w:val="21"/>
        </w:rPr>
        <w:t>[11] Pearson K. On the criterion that a given system of deviations from the probable is such that it can be reasonably supposed to have arisen from random sampling[J]. Philosophical Magazine, 1900, 50(302): 157-175.</w:t>
      </w:r>
    </w:p>
    <w:p>
      <w:pPr>
        <w:spacing w:line="360" w:lineRule="auto"/>
      </w:pPr>
      <w:r>
        <w:rPr>
          <w:rFonts w:ascii="宋体" w:hAnsi="宋体" w:eastAsia="宋体"/>
          <w:sz w:val="21"/>
        </w:rPr>
        <w:t>[12] Mann H B, Whitney D R. On a test of whether one of two random variables is stochastically larger than the other[J]. Annals of Mathematical Statistics, 1947, 18(1): 50-60.</w:t>
      </w:r>
    </w:p>
    <w:p>
      <w:pPr>
        <w:spacing w:line="360" w:lineRule="auto"/>
      </w:pPr>
      <w:r>
        <w:rPr>
          <w:rFonts w:ascii="宋体" w:hAnsi="宋体" w:eastAsia="宋体"/>
          <w:sz w:val="21"/>
        </w:rPr>
        <w:t>[13] Kruskal W H, Wallis W A. Use of ranks in one-criterion variance analysis[J]. Journal of the American Statistical Association, 1952, 47(260): 583-621.</w:t>
      </w:r>
    </w:p>
    <w:p>
      <w:pPr>
        <w:spacing w:line="360" w:lineRule="auto"/>
      </w:pPr>
      <w:r>
        <w:rPr>
          <w:rFonts w:ascii="宋体" w:hAnsi="宋体" w:eastAsia="宋体"/>
          <w:sz w:val="21"/>
        </w:rPr>
        <w:t>[14] Spearman C. The proof and measurement of association between two things[J]. American Journal of Psychology, 1904, 15(1): 72-101.</w:t>
      </w:r>
    </w:p>
    <w:p>
      <w:pPr>
        <w:spacing w:line="360" w:lineRule="auto"/>
      </w:pPr>
      <w:r>
        <w:rPr>
          <w:rFonts w:ascii="宋体" w:hAnsi="宋体" w:eastAsia="宋体"/>
          <w:sz w:val="21"/>
        </w:rPr>
        <w:t>[15] Jylhä M. What is self-rated health and why does it predict mortality?[J]. Social Science &amp; Medicine, 2009, 69(3): 307-316.</w:t>
      </w:r>
    </w:p>
    <w:p>
      <w:pPr>
        <w:spacing w:line="360" w:lineRule="auto"/>
      </w:pPr>
      <w:r>
        <w:rPr>
          <w:rFonts w:ascii="宋体" w:hAnsi="宋体" w:eastAsia="宋体"/>
          <w:sz w:val="21"/>
        </w:rPr>
        <w:t>[16] Berkman L F, Glass T, Brissette I, et al. From social integration to health[J]. Social Science &amp; Medicine, 2000, 51(6): 843-857.</w:t>
      </w:r>
    </w:p>
    <w:p>
      <w:pPr>
        <w:spacing w:line="360" w:lineRule="auto"/>
      </w:pPr>
      <w:r>
        <w:rPr>
          <w:rFonts w:ascii="宋体" w:hAnsi="宋体" w:eastAsia="宋体"/>
          <w:sz w:val="21"/>
        </w:rPr>
        <w:t>[17] 陆杰华, 郭冉. 从新国情到新国策: 积极应对人口老龄化的战略思考[J]. 国家行政学院学报, 2016, (5): 27-34.</w:t>
      </w:r>
    </w:p>
    <w:p>
      <w:pPr>
        <w:spacing w:line="360" w:lineRule="auto"/>
      </w:pPr>
      <w:r>
        <w:rPr>
          <w:rFonts w:ascii="宋体" w:hAnsi="宋体" w:eastAsia="宋体"/>
          <w:sz w:val="21"/>
        </w:rPr>
        <w:t>[18] 杜鹏, 李龙. 新时代中国人口老龄化长期趋势预测[J]. 中国人民大学学报, 2021, 35(1): 96-109.</w:t>
      </w:r>
    </w:p>
    <w:p>
      <w:pPr>
        <w:spacing w:line="360" w:lineRule="auto"/>
      </w:pPr>
      <w:r>
        <w:rPr>
          <w:rFonts w:ascii="宋体" w:hAnsi="宋体" w:eastAsia="宋体"/>
          <w:sz w:val="21"/>
        </w:rPr>
        <w:t>[19] 张文娟, 刘瑞平. 中国老年人互联网使用的影响因素研究[J]. 人口与发展, 2020, 26(3): 85-95.</w:t>
      </w:r>
    </w:p>
    <w:p>
      <w:pPr>
        <w:spacing w:line="360" w:lineRule="auto"/>
      </w:pPr>
      <w:r>
        <w:rPr>
          <w:rFonts w:ascii="宋体" w:hAnsi="宋体" w:eastAsia="宋体"/>
          <w:sz w:val="21"/>
        </w:rPr>
        <w:t>[20] 彭希哲, 胡湛. 公共政策视角下的中国人口老龄化[J]. 中国社会科学, 2011, (3): 121-138.</w:t>
      </w:r>
    </w:p>
    <w:p>
      <w:pPr>
        <w:spacing w:line="360" w:lineRule="auto"/>
      </w:pPr>
      <w:r>
        <w:rPr>
          <w:rFonts w:ascii="宋体" w:hAnsi="宋体" w:eastAsia="宋体"/>
          <w:sz w:val="21"/>
        </w:rPr>
        <w:t>[21] Cox D R. The regression analysis of binary sequences[J]. Journal of the Royal Statistical Society: Series B, 1958, 20(2): 215-232.</w:t>
      </w:r>
    </w:p>
    <w:p>
      <w:pPr>
        <w:spacing w:line="360" w:lineRule="auto"/>
      </w:pPr>
      <w:r>
        <w:rPr>
          <w:rFonts w:ascii="宋体" w:hAnsi="宋体" w:eastAsia="宋体"/>
          <w:sz w:val="21"/>
        </w:rPr>
        <w:t>[22] McFadden D. Conditional logit analysis of qualitative choice behavior[A]. Zarembka P. Frontiers in Econometrics[C]. New York: Academic Press, 1974: 105-142.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