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b/>
          <w:bCs/>
          <w:sz w:val="32"/>
          <w:szCs w:val="32"/>
        </w:rPr>
        <w:t xml:space="preserve">Appliances Shop — Notification Functionality Specification</w:t>
      </w:r>
    </w:p>
    <w:p>
      <w:r>
        <w:rPr>
          <w:i/>
          <w:iCs/>
        </w:rPr>
        <w:t xml:space="preserve">Standalone specification: notification events, logging/audit events, and the classes needed to implement them</w:t>
      </w:r>
    </w:p>
    <w:p>
      <w:pPr>
        <w:spacing w:after="200"/>
      </w:pPr>
      <w:r>
        <w:t xml:space="preserve">Version 1.0</w:t>
      </w:r>
    </w:p>
    <w:p>
      <w:pPr>
        <w:pStyle w:val="Heading1"/>
        <w:spacing w:after="150" w:before="320"/>
      </w:pPr>
      <w:r>
        <w:t xml:space="preserve">1. Purpose and scope</w:t>
      </w:r>
    </w:p>
    <w:p>
      <w:pPr>
        <w:spacing w:after="120"/>
      </w:pPr>
      <w:r>
        <w:t xml:space="preserve">This document specifies the notification functionality of the Appliances Shop system on its own: which events must trigger a user-facing notification (FR-15), which events must be logged for audit purposes whether or not they are notified (FR-14), and the concrete Java classes needed to implement both. It consolidates and supersedes the notification- and logging-related sections of the main Architecture document (v1.0, sections 13–16) into a single, self-contained reference.</w:t>
      </w:r>
    </w:p>
    <w:p>
      <w:pPr>
        <w:spacing w:after="120"/>
      </w:pPr>
      <w:r>
        <w:t xml:space="preserve">Two concerns are kept deliberately separate throughout this document: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Notification — a user- or employee-facing message (email/SMS/push) about something that happened, delivered asynchronously through Kafka.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Logging/audit — a structured log record of something that happened, written synchronously to the application's own logs, independent of whether anyone is notified about it.</w:t>
      </w:r>
    </w:p>
    <w:p>
      <w:pPr>
        <w:spacing w:after="120"/>
      </w:pPr>
      <w:r>
        <w:t xml:space="preserve">Every notification is backed by a logged event, but not every logged event produces a notification.</w:t>
      </w:r>
    </w:p>
    <w:p>
      <w:pPr>
        <w:pStyle w:val="Heading1"/>
        <w:spacing w:after="150" w:before="320"/>
      </w:pPr>
      <w:r>
        <w:t xml:space="preserve">2. High-level design (summary)</w:t>
      </w:r>
    </w:p>
    <w:p>
      <w:pPr>
        <w:spacing w:after="120"/>
      </w:pPr>
      <w:r>
        <w:t xml:space="preserve">A business action raises a DomainEvent through Spring's in-process ApplicationEventPublisher. Two independent listeners react to it: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An always-on audit logger (shared kernel) that logs every DomainEvent, and a separate one for SecurityEvent — this is what satisfies FR-14 and does not depend on any messaging infrastructure.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An optional NotificationOutboxEventListener, provided by the notification-client-spring-boot-starter, which only reacts to event classes that have a registered NotificationEventMapper. It converts the event into the single canonical NotificationEvent record and writes it, in the same database transaction as the business change, into the notification_outbox table (the outbox pattern, used to avoid the dual-write problem between the database and Kafka).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scheduled OutboxRelay reads pending outbox rows and publishes each as a NotificationEvent message to the notification-events Kafka topic, retrying until acknowledged.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separately deployable Notification Service consumes notification-events, resolves a template by event type and locale, renders it, and sends it through the appropriate channel (email/SMS/push), recording delivery status and retrying failures; repeatedly failing messages go to notification-events-dlq.</w:t>
      </w:r>
    </w:p>
    <w:p>
      <w:pPr>
        <w:shd w:fill="F0F0F0" w:val="clear"/>
        <w:spacing w:after="160" w:before="80"/>
      </w:pPr>
      <w:r>
        <w:rPr>
          <w:b/>
          <w:bCs/>
          <w:i/>
          <w:iCs/>
        </w:rPr>
        <w:t xml:space="preserve">Diagram: architecture_overview_diagram.mermaid</w:t>
      </w:r>
      <w:r>
        <w:rPr>
          <w:i/>
          <w:iCs/>
        </w:rPr>
        <w:t xml:space="preserve"> — system components: backend subdomains, outbox, Kafka, Notification Service and channels</w:t>
      </w:r>
    </w:p>
    <w:p>
      <w:pPr>
        <w:shd w:fill="F0F0F0" w:val="clear"/>
        <w:spacing w:after="160" w:before="80"/>
      </w:pPr>
      <w:r>
        <w:rPr>
          <w:b/>
          <w:bCs/>
          <w:i/>
          <w:iCs/>
        </w:rPr>
        <w:t xml:space="preserve">Diagram: outbox_pattern_class_diagram.mermaid</w:t>
      </w:r>
      <w:r>
        <w:rPr>
          <w:i/>
          <w:iCs/>
        </w:rPr>
        <w:t xml:space="preserve"> — DomainEvent → NotificationEventMapper → NotificationOutbox → OutboxRelay → Kafka</w:t>
      </w:r>
    </w:p>
    <w:p>
      <w:pPr>
        <w:shd w:fill="F0F0F0" w:val="clear"/>
        <w:spacing w:after="160" w:before="80"/>
      </w:pPr>
      <w:r>
        <w:rPr>
          <w:b/>
          <w:bCs/>
          <w:i/>
          <w:iCs/>
        </w:rPr>
        <w:t xml:space="preserve">Diagram: notification_sequence_diagram.mermaid</w:t>
      </w:r>
      <w:r>
        <w:rPr>
          <w:i/>
          <w:iCs/>
        </w:rPr>
        <w:t xml:space="preserve"> — end-to-end sequence: business transaction → outbox → relay → Kafka → Notification Service → sender → retry/DLQ</w:t>
      </w:r>
    </w:p>
    <w:p>
      <w:pPr>
        <w:shd w:fill="F0F0F0" w:val="clear"/>
        <w:spacing w:after="160" w:before="80"/>
      </w:pPr>
      <w:r>
        <w:rPr>
          <w:b/>
          <w:bCs/>
          <w:i/>
          <w:iCs/>
        </w:rPr>
        <w:t xml:space="preserve">Diagram: logging_audit_events_class_diagram.mermaid</w:t>
      </w:r>
      <w:r>
        <w:rPr>
          <w:i/>
          <w:iCs/>
        </w:rPr>
        <w:t xml:space="preserve"> — DomainEvent/SecurityEvent hierarchies and the two independent listeners (always-on audit logger vs. optional notification mapping)</w:t>
      </w:r>
    </w:p>
    <w:p>
      <w:pPr>
        <w:pStyle w:val="Heading1"/>
        <w:spacing w:after="150" w:before="320"/>
      </w:pPr>
      <w:r>
        <w:t xml:space="preserve">3. Notification-triggering events (FR-15)</w:t>
      </w:r>
    </w:p>
    <w:p>
      <w:pPr>
        <w:spacing w:after="120"/>
      </w:pPr>
      <w:r>
        <w:t xml:space="preserve">Every row below is (a) logged by the always-on audit logger, AND (b) mapped by a NotificationEventMapper to a NotificationEvent that is queued in the outbox and eventually delivered by the Notification Service.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900"/>
        <w:gridCol w:w="2000"/>
        <w:gridCol w:w="1600"/>
      </w:tblGrid>
      <w:tr>
        <w:trPr>
          <w:tblHeader/>
        </w:trPr>
        <w:tc>
          <w:tcPr>
            <w:tcW w:type="dxa" w:w="27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Event type</w:t>
            </w:r>
          </w:p>
        </w:tc>
        <w:tc>
          <w:tcPr>
            <w:tcW w:type="dxa" w:w="39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Triggered when</w:t>
            </w:r>
          </w:p>
        </w:tc>
        <w:tc>
          <w:tcPr>
            <w:tcW w:type="dxa" w:w="20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Recipient</w:t>
            </w:r>
          </w:p>
        </w:tc>
        <w:tc>
          <w:tcPr>
            <w:tcW w:type="dxa" w:w="16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Suggested channel(s)</w:t>
            </w:r>
          </w:p>
        </w:tc>
      </w:tr>
      <w:tr>
        <w:tc>
          <w:tcPr>
            <w:tcW w:type="dxa" w:w="2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USER_REGISTERED</w:t>
            </w:r>
          </w:p>
        </w:tc>
        <w:tc>
          <w:tcPr>
            <w:tcW w:type="dxa" w:w="3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new user completes registration.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registered user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Email</w:t>
            </w:r>
          </w:p>
        </w:tc>
      </w:tr>
      <w:tr>
        <w:tc>
          <w:tcPr>
            <w:tcW w:type="dxa" w:w="2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USER_ACTIVATED</w:t>
            </w:r>
          </w:p>
        </w:tc>
        <w:tc>
          <w:tcPr>
            <w:tcW w:type="dxa" w:w="3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user's account is activated.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activated user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Email</w:t>
            </w:r>
          </w:p>
        </w:tc>
      </w:tr>
      <w:tr>
        <w:tc>
          <w:tcPr>
            <w:tcW w:type="dxa" w:w="2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ORDER_PLACED</w:t>
            </w:r>
          </w:p>
        </w:tc>
        <w:tc>
          <w:tcPr>
            <w:tcW w:type="dxa" w:w="3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Checkout completes successfully (FR-19).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Client who placed the order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Email, push</w:t>
            </w:r>
          </w:p>
        </w:tc>
      </w:tr>
      <w:tr>
        <w:tc>
          <w:tcPr>
            <w:tcW w:type="dxa" w:w="2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ORDER_APPROVED</w:t>
            </w:r>
          </w:p>
        </w:tc>
        <w:tc>
          <w:tcPr>
            <w:tcW w:type="dxa" w:w="3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 order is approved (manually per FR-07, or automatically per FR-21).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Client who placed the order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Email, push</w:t>
            </w:r>
          </w:p>
        </w:tc>
      </w:tr>
      <w:tr>
        <w:tc>
          <w:tcPr>
            <w:tcW w:type="dxa" w:w="2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ORDER_REJECTED</w:t>
            </w:r>
          </w:p>
        </w:tc>
        <w:tc>
          <w:tcPr>
            <w:tcW w:type="dxa" w:w="3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 order is rejected by an employee or by automatic stock validation.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Client who placed the order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Email</w:t>
            </w:r>
          </w:p>
        </w:tc>
      </w:tr>
      <w:tr>
        <w:tc>
          <w:tcPr>
            <w:tcW w:type="dxa" w:w="2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PAYMENT_STATUS_CHANGED</w:t>
            </w:r>
          </w:p>
        </w:tc>
        <w:tc>
          <w:tcPr>
            <w:tcW w:type="dxa" w:w="3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payment is created or its paid status changes (FR-08).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Client who placed the order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Email</w:t>
            </w:r>
          </w:p>
        </w:tc>
      </w:tr>
      <w:tr>
        <w:tc>
          <w:tcPr>
            <w:tcW w:type="dxa" w:w="2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DELIVERY_STATUS_CHANGED</w:t>
            </w:r>
          </w:p>
        </w:tc>
        <w:tc>
          <w:tcPr>
            <w:tcW w:type="dxa" w:w="3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Delivery status is updated (FR-09), e.g. shipped/delivered.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Client who placed the order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Email, SMS, push</w:t>
            </w:r>
          </w:p>
        </w:tc>
      </w:tr>
      <w:tr>
        <w:tc>
          <w:tcPr>
            <w:tcW w:type="dxa" w:w="2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ORDER_CONFIRMATION_MODE_CHANGED</w:t>
            </w:r>
          </w:p>
        </w:tc>
        <w:tc>
          <w:tcPr>
            <w:tcW w:type="dxa" w:w="3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FR-21 feature flag is switched between manual and automatic.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Authorized employees/admins (operational visibility, not a client notification)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Email, in-app</w:t>
            </w:r>
          </w:p>
        </w:tc>
      </w:tr>
      <w:tr>
        <w:tc>
          <w:tcPr>
            <w:tcW w:type="dxa" w:w="2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MANUAL</w:t>
            </w:r>
          </w:p>
        </w:tc>
        <w:tc>
          <w:tcPr>
            <w:tcW w:type="dxa" w:w="3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 employee resends a notification, or triggers an ad-hoc/broadcast notice (no underlying DomainEvent).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 specified by the caller via NotificationOutboxService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 specified by the caller</w:t>
            </w:r>
          </w:p>
        </w:tc>
      </w:tr>
    </w:tbl>
    <w:p>
      <w:pPr>
        <w:spacing w:after="120"/>
      </w:pPr>
      <w:r>
        <w:t xml:space="preserve">Localization: every NotificationEvent carries an optional locale field (FR-10); when absent, the Notification Service falls back to the recipient's stored preferred locale, then to a default locale.</w:t>
      </w:r>
    </w:p>
    <w:p>
      <w:pPr>
        <w:pStyle w:val="Heading1"/>
        <w:spacing w:after="150" w:before="320"/>
      </w:pPr>
      <w:r>
        <w:t xml:space="preserve">4. Events that are logged but NOT notified</w:t>
      </w:r>
    </w:p>
    <w:p>
      <w:pPr>
        <w:spacing w:after="120"/>
      </w:pPr>
      <w:r>
        <w:t xml:space="preserve">These are audit-only: they are always logged by DomainEventAuditLogger, but have no NotificationEventMapper and therefore never reach the outbox, Kafka, or the Notification Service.</w:t>
      </w:r>
    </w:p>
    <w:p>
      <w:pPr>
        <w:pStyle w:val="Heading2"/>
        <w:spacing w:after="120" w:before="240"/>
      </w:pPr>
      <w:r>
        <w:t xml:space="preserve">4.1. Business events, per subdomain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6300"/>
        <w:gridCol w:w="1700"/>
      </w:tblGrid>
      <w:tr>
        <w:trPr>
          <w:tblHeader/>
        </w:trPr>
        <w:tc>
          <w:tcPr>
            <w:tcW w:type="dxa" w:w="16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Subdomain</w:t>
            </w:r>
          </w:p>
        </w:tc>
        <w:tc>
          <w:tcPr>
            <w:tcW w:type="dxa" w:w="63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Event class</w:t>
            </w:r>
          </w:p>
        </w:tc>
        <w:tc>
          <w:tcPr>
            <w:tcW w:type="dxa" w:w="17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Log level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Identity</w:t>
            </w:r>
          </w:p>
        </w:tc>
        <w:tc>
          <w:tcPr>
            <w:tcW w:type="dxa" w:w="6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ClientCreatedEvent / ClientUpdatedEvent / ClientDeletedEvent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Identity</w:t>
            </w:r>
          </w:p>
        </w:tc>
        <w:tc>
          <w:tcPr>
            <w:tcW w:type="dxa" w:w="6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EmployeeCreatedEvent / EmployeeUpdatedEvent / EmployeeDeletedEvent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Catalog</w:t>
            </w:r>
          </w:p>
        </w:tc>
        <w:tc>
          <w:tcPr>
            <w:tcW w:type="dxa" w:w="6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ManufacturerCreatedEvent / UpdatedEvent / DeletedEvent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Catalog</w:t>
            </w:r>
          </w:p>
        </w:tc>
        <w:tc>
          <w:tcPr>
            <w:tcW w:type="dxa" w:w="6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CategoryCreatedEvent / UpdatedEvent / DeletedEvent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Catalog</w:t>
            </w:r>
          </w:p>
        </w:tc>
        <w:tc>
          <w:tcPr>
            <w:tcW w:type="dxa" w:w="6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ApplianceCreatedEvent / UpdatedEvent / DeletedEvent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Catalog</w:t>
            </w:r>
          </w:p>
        </w:tc>
        <w:tc>
          <w:tcPr>
            <w:tcW w:type="dxa" w:w="6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AppliancePriceChangedEvent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Catalog</w:t>
            </w:r>
          </w:p>
        </w:tc>
        <w:tc>
          <w:tcPr>
            <w:tcW w:type="dxa" w:w="6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ApplianceStockAdjustedEvent (increment/decrement + reason)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Cart</w:t>
            </w:r>
          </w:p>
        </w:tc>
        <w:tc>
          <w:tcPr>
            <w:tcW w:type="dxa" w:w="6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CartItemAddedEvent / CartItemRemovedEvent / CartItemQuantityChangedEvent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DEBUG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Ordering</w:t>
            </w:r>
          </w:p>
        </w:tc>
        <w:tc>
          <w:tcPr>
            <w:tcW w:type="dxa" w:w="6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OrderCancelledEvent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Ordering</w:t>
            </w:r>
          </w:p>
        </w:tc>
        <w:tc>
          <w:tcPr>
            <w:tcW w:type="dxa" w:w="6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CheckoutFailedEvent (e.g. insufficient stock at checkout)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WARN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Delivery</w:t>
            </w:r>
          </w:p>
        </w:tc>
        <w:tc>
          <w:tcPr>
            <w:tcW w:type="dxa" w:w="6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DeliveryInformationCreatedEvent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Reporting</w:t>
            </w:r>
          </w:p>
        </w:tc>
        <w:tc>
          <w:tcPr>
            <w:tcW w:type="dxa" w:w="6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ReportAccessedEvent (who accessed which report, when)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</w:tr>
    </w:tbl>
    <w:p>
      <w:pPr>
        <w:pStyle w:val="Heading2"/>
        <w:spacing w:after="120" w:before="240"/>
      </w:pPr>
      <w:r>
        <w:t xml:space="preserve">4.2. Security events</w:t>
      </w:r>
    </w:p>
    <w:p>
      <w:pPr>
        <w:spacing w:after="120"/>
      </w:pPr>
      <w:r>
        <w:t xml:space="preserve">Raised directly by AuthenticationService / SecurityConfig, logged by a dedicated SecurityEventAuditLogger. Deliberately never given a NotificationEventMapper — notifying a client about their own login attempts would leak information and add noise.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4300"/>
        <w:gridCol w:w="1700"/>
      </w:tblGrid>
      <w:tr>
        <w:trPr>
          <w:tblHeader/>
        </w:trPr>
        <w:tc>
          <w:tcPr>
            <w:tcW w:type="dxa" w:w="36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Event class</w:t>
            </w:r>
          </w:p>
        </w:tc>
        <w:tc>
          <w:tcPr>
            <w:tcW w:type="dxa" w:w="43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Raised when</w:t>
            </w:r>
          </w:p>
        </w:tc>
        <w:tc>
          <w:tcPr>
            <w:tcW w:type="dxa" w:w="17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Log level</w:t>
            </w:r>
          </w:p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AuthenticationSucceededEvent</w:t>
            </w:r>
          </w:p>
        </w:tc>
        <w:tc>
          <w:tcPr>
            <w:tcW w:type="dxa" w:w="4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user successfully logs in.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AuthenticationFailedEvent</w:t>
            </w:r>
          </w:p>
        </w:tc>
        <w:tc>
          <w:tcPr>
            <w:tcW w:type="dxa" w:w="4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login attempt fails.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WARN</w:t>
            </w:r>
          </w:p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AccessDeniedEvent</w:t>
            </w:r>
          </w:p>
        </w:tc>
        <w:tc>
          <w:tcPr>
            <w:tcW w:type="dxa" w:w="4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 authenticated user is denied access to a resource/operation.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WARN</w:t>
            </w:r>
          </w:p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PasswordChangedEvent</w:t>
            </w:r>
          </w:p>
        </w:tc>
        <w:tc>
          <w:tcPr>
            <w:tcW w:type="dxa" w:w="4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user's password is changed.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TokenIssuedEvent / TokenRevokedEvent</w:t>
            </w:r>
          </w:p>
        </w:tc>
        <w:tc>
          <w:tcPr>
            <w:tcW w:type="dxa" w:w="4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 access token is issued or revoked (if JWT is used).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</w:tr>
    </w:tbl>
    <w:p>
      <w:pPr>
        <w:pStyle w:val="Heading2"/>
        <w:spacing w:after="120" w:before="240"/>
      </w:pPr>
      <w:r>
        <w:t xml:space="preserve">4.3. Application errors and pipeline failures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Every exception reaching GlobalExceptionHandler is logged with a correlation/request id, exception type and message at ERROR; full stack trace only at DEBUG. These are not modeled as DomainEvent classes.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failed Kafka publish from OutboxRelay, or a message routed to notification-events-dlq, is logged at WARN/ERROR as a structured log statement — an infrastructure concern, not a business event.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Passwords, tokens, card numbers and other secrets are never written to any log line, for any event in this document (FR-14).</w:t>
      </w:r>
    </w:p>
    <w:p>
      <w:pPr>
        <w:pStyle w:val="Heading1"/>
        <w:spacing w:after="150" w:before="320"/>
      </w:pPr>
      <w:r>
        <w:t xml:space="preserve">5. Event classes to implement</w:t>
      </w:r>
    </w:p>
    <w:p>
      <w:pPr>
        <w:pStyle w:val="Heading2"/>
        <w:spacing w:after="120" w:before="240"/>
      </w:pPr>
      <w:r>
        <w:t xml:space="preserve">5.1. Shared kernel (application-wide)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DomainEvent — marker interface for every business event listed in sections 3 and 4.1.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SecurityEvent — marker interface for every event listed in section 4.2.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DomainEventAuditLogger — @EventListener that logs every DomainEvent (always active).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SecurityEventAuditLogger — @EventListener that logs every SecurityEvent (always active).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GlobalExceptionHandler — logs unhandled exceptions (section 4.3).</w:t>
      </w:r>
    </w:p>
    <w:p>
      <w:pPr>
        <w:pStyle w:val="Heading2"/>
        <w:spacing w:after="120" w:before="240"/>
      </w:pPr>
      <w:r>
        <w:t xml:space="preserve">5.2. notification-event-contract (shared library, no Spring dependency)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NotificationEvent — the single canonical envelope published to Kafka.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NotificationEventType — enum with one value per row in section 3's table (USER_REGISTERED, USER_ACTIVATED, ORDER_PLACED, ORDER_APPROVED, ORDER_REJECTED, PAYMENT_STATUS_CHANGED, DELIVERY_STATUS_CHANGED, ORDER_CONFIRMATION_MODE_CHANGED, MANUAL).</w:t>
      </w:r>
    </w:p>
    <w:p>
      <w:pPr>
        <w:shd w:fill="F0F0F0" w:val="clear"/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NotificationEvent 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eventId:        UUID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eventType:      NotificationEventType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occurredAt:     Instant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aggregateType:  String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aggregateId:    String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recipientId:    Long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recipientType:  String   // "CLIENT" | "EMPLOYEE"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locale:         String   // optional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templateData:   Map&lt;String, Object&gt;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  <w:spacing w:after="120" w:before="240"/>
      </w:pPr>
      <w:r>
        <w:t xml:space="preserve">5.3. notification-client-spring-boot-starter (producer side, in the main backend)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NotificationEventMapper&lt;T extends DomainEvent&gt; — interface implemented once per notified event type.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NotificationEventMapperRegistry — auto-collects all mapper beans, resolves by event class.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NotificationOutboxEventListener — @EventListener that maps and persists a NotificationEvent when a mapper exists; otherwise does nothing (the event was still logged by DomainEventAuditLogger).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NotificationOutboxService — direct/manual enqueue path used for MANUAL notifications.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NotificationOutbox / NotificationOutboxRepository — the single outbox table and its repository.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OutboxRelay / OutboxRelayScheduler — polls pending rows and publishes them.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KafkaEventProducer — publishes NotificationEvent to the notification-events topic.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NotificationClientAutoConfiguration / NotificationClientProperties — Spring Boot auto-configuration and externalized settings.</w:t>
      </w:r>
    </w:p>
    <w:p>
      <w:pPr>
        <w:shd w:fill="F0F0F0" w:val="clear"/>
        <w:spacing w:after="160" w:before="80"/>
      </w:pPr>
      <w:r>
        <w:rPr>
          <w:b/>
          <w:bCs/>
          <w:i/>
          <w:iCs/>
        </w:rPr>
        <w:t xml:space="preserve">Diagram: notification_starter_class_diagram.mermaid</w:t>
      </w:r>
      <w:r>
        <w:rPr>
          <w:i/>
          <w:iCs/>
        </w:rPr>
        <w:t xml:space="preserve"> — NotificationClientAutoConfiguration, properties, and the beans it registers</w:t>
      </w:r>
    </w:p>
    <w:p>
      <w:pPr>
        <w:pStyle w:val="Heading2"/>
        <w:spacing w:after="120" w:before="240"/>
      </w:pPr>
      <w:r>
        <w:t xml:space="preserve">5.4. Business subdomains — mapper implementations (one per notified event type)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600"/>
        <w:gridCol w:w="4400"/>
      </w:tblGrid>
      <w:tr>
        <w:trPr>
          <w:tblHeader/>
        </w:trPr>
        <w:tc>
          <w:tcPr>
            <w:tcW w:type="dxa" w:w="16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Subdomain</w:t>
            </w:r>
          </w:p>
        </w:tc>
        <w:tc>
          <w:tcPr>
            <w:tcW w:type="dxa" w:w="36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Mapper class</w:t>
            </w:r>
          </w:p>
        </w:tc>
        <w:tc>
          <w:tcPr>
            <w:tcW w:type="dxa" w:w="44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Maps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Identity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UserRegisteredEventMapper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UserRegisteredEvent → NotificationEvent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Identity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UserActivatedEventMapper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UserActivatedEvent → NotificationEvent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Ordering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OrderPlacedEventMapper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OrderPlacedEvent → NotificationEvent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Ordering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OrderApprovedEventMapper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OrderApprovedEvent → NotificationEvent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Ordering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OrderRejectedEventMapper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OrderRejectedEvent → NotificationEvent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Ordering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OrderConfirmationModeChangedEventMapper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OrderConfirmationModeChangedEvent → NotificationEvent (recipientType=EMPLOYEE)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Payment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PaymentStatusChangedEventMapper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PaymentStatusChangedEvent → NotificationEvent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Delivery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DeliveryStatusChangedEventMapper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DeliveryStatusChangedEvent → NotificationEvent</w:t>
            </w:r>
          </w:p>
        </w:tc>
      </w:tr>
    </w:tbl>
    <w:p>
      <w:pPr>
        <w:spacing w:after="120"/>
      </w:pPr>
      <w:r>
        <w:t xml:space="preserve">Every other business event class listed in section 4.1, and every SecurityEvent in section 4.2, deliberately has no mapper and is therefore audit-only.</w:t>
      </w:r>
    </w:p>
    <w:p>
      <w:pPr>
        <w:pStyle w:val="Heading1"/>
        <w:spacing w:after="150" w:before="320"/>
      </w:pPr>
      <w:r>
        <w:t xml:space="preserve">6. Notification Service (consumer side)</w:t>
      </w:r>
    </w:p>
    <w:p>
      <w:pPr>
        <w:spacing w:after="120"/>
      </w:pPr>
      <w:r>
        <w:t xml:space="preserve">A separately deployable Spring Boot application; its only input is the notification-events Kafka topic, and it only ever deserializes NotificationEvent.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NotificationEventListener — Kafka listener, hands the event to NotificationDispatchService.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NotificationDispatchService — orchestrates template resolution, rendering and sending.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TemplateResolver / NotificationTemplate — resolves subject/body by eventType and locale (FR-10).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Notification / Channel / NotificationStatus — the persisted delivery record and its state.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NotificationSenderFactory / NotificationSender (EmailNotificationSender, SmsNotificationSender, PushNotificationSender) — channel strategy.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NotificationRetryService — retries FAILED notifications; repeated failures are routed to notification-events-dlq.</w:t>
      </w:r>
    </w:p>
    <w:p>
      <w:pPr>
        <w:shd w:fill="F0F0F0" w:val="clear"/>
        <w:spacing w:after="160" w:before="80"/>
      </w:pPr>
      <w:r>
        <w:rPr>
          <w:b/>
          <w:bCs/>
          <w:i/>
          <w:iCs/>
        </w:rPr>
        <w:t xml:space="preserve">Diagram: notification_service_class_diagram.mermaid</w:t>
      </w:r>
      <w:r>
        <w:rPr>
          <w:i/>
          <w:iCs/>
        </w:rPr>
        <w:t xml:space="preserve"> — NotificationEventListener, dispatch, templates, and the Email/SMS/Push sender strategy</w:t>
      </w:r>
    </w:p>
    <w:p>
      <w:pPr>
        <w:pStyle w:val="Heading3"/>
        <w:spacing w:after="90" w:before="180"/>
      </w:pPr>
      <w:r>
        <w:t xml:space="preserve">Endpoints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900"/>
      </w:tblGrid>
      <w:tr>
        <w:trPr>
          <w:tblHeader/>
        </w:trPr>
        <w:tc>
          <w:tcPr>
            <w:tcW w:type="dxa" w:w="28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 &amp; path</w:t>
            </w:r>
          </w:p>
        </w:tc>
        <w:tc>
          <w:tcPr>
            <w:tcW w:type="dxa" w:w="18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  <w:tc>
          <w:tcPr>
            <w:tcW w:type="dxa" w:w="49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 /api/notifications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Employee/Admin</w:t>
            </w:r>
          </w:p>
        </w:tc>
        <w:tc>
          <w:tcPr>
            <w:tcW w:type="dxa" w:w="4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Paginated notification history, filterable by recipient and status.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 /api/notifications/{id}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Employee/Admin</w:t>
            </w:r>
          </w:p>
        </w:tc>
        <w:tc>
          <w:tcPr>
            <w:tcW w:type="dxa" w:w="4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Notification detail.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 /api/notifications/{id}/resend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Employee/Admin</w:t>
            </w:r>
          </w:p>
        </w:tc>
        <w:tc>
          <w:tcPr>
            <w:tcW w:type="dxa" w:w="4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Re-attempt a FAILED notification (goes through NotificationOutboxService as a MANUAL event).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GET/POST/PUT/DELETE /api/notification-templates/{id}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dxa" w:w="4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Manage per-event, per-locale templates.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 /actuator/health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Restricted</w:t>
            </w:r>
          </w:p>
        </w:tc>
        <w:tc>
          <w:tcPr>
            <w:tcW w:type="dxa" w:w="4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Liveness/readiness for orchestration.</w:t>
            </w:r>
          </w:p>
        </w:tc>
      </w:tr>
    </w:tbl>
    <w:p>
      <w:pPr>
        <w:pStyle w:val="Heading1"/>
        <w:spacing w:after="150" w:before="320"/>
      </w:pPr>
      <w:r>
        <w:t xml:space="preserve">7. Kafka topics and configuration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000"/>
      </w:tblGrid>
      <w:tr>
        <w:trPr>
          <w:tblHeader/>
        </w:trPr>
        <w:tc>
          <w:tcPr>
            <w:tcW w:type="dxa" w:w="35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60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notification-events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Every NotificationEvent, regardless of source, published by the OutboxRelay.</w:t>
            </w:r>
          </w:p>
        </w:tc>
      </w:tr>
      <w:tr>
        <w:tc>
          <w:tcPr>
            <w:tcW w:type="dxa" w:w="3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notification-events-dlq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Dead-letter topic for messages the Notification Service failed to process after retries.</w:t>
            </w:r>
          </w:p>
        </w:tc>
      </w:tr>
    </w:tbl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4300"/>
      </w:tblGrid>
      <w:tr>
        <w:trPr>
          <w:tblHeader/>
        </w:trPr>
        <w:tc>
          <w:tcPr>
            <w:tcW w:type="dxa" w:w="34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18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43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3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notification.client.enabled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true</w:t>
            </w:r>
          </w:p>
        </w:tc>
        <w:tc>
          <w:tcPr>
            <w:tcW w:type="dxa" w:w="4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Turns the starter's auto-configuration on/off.</w:t>
            </w:r>
          </w:p>
        </w:tc>
      </w:tr>
      <w:tr>
        <w:tc>
          <w:tcPr>
            <w:tcW w:type="dxa" w:w="3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notification.client.kafka-topic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notification-events</w:t>
            </w:r>
          </w:p>
        </w:tc>
        <w:tc>
          <w:tcPr>
            <w:tcW w:type="dxa" w:w="4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single topic the OutboxRelay publishes every NotificationEvent to.</w:t>
            </w:r>
          </w:p>
        </w:tc>
      </w:tr>
      <w:tr>
        <w:tc>
          <w:tcPr>
            <w:tcW w:type="dxa" w:w="3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notification.client.kafka-dlq-topic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notification-events-dlq</w:t>
            </w:r>
          </w:p>
        </w:tc>
        <w:tc>
          <w:tcPr>
            <w:tcW w:type="dxa" w:w="4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Dead-letter topic (used on the consumer side).</w:t>
            </w:r>
          </w:p>
        </w:tc>
      </w:tr>
      <w:tr>
        <w:tc>
          <w:tcPr>
            <w:tcW w:type="dxa" w:w="3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notification.client.outbox-poll-interval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2s</w:t>
            </w:r>
          </w:p>
        </w:tc>
        <w:tc>
          <w:tcPr>
            <w:tcW w:type="dxa" w:w="4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How often OutboxRelayScheduler polls for pending rows.</w:t>
            </w:r>
          </w:p>
        </w:tc>
      </w:tr>
      <w:tr>
        <w:tc>
          <w:tcPr>
            <w:tcW w:type="dxa" w:w="3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notification.client.outbox-batch-size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</w:t>
            </w:r>
          </w:p>
        </w:tc>
        <w:tc>
          <w:tcPr>
            <w:tcW w:type="dxa" w:w="4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Max rows relayed per poll.</w:t>
            </w:r>
          </w:p>
        </w:tc>
      </w:tr>
    </w:tbl>
    <w:p>
      <w:pPr>
        <w:pStyle w:val="Heading1"/>
        <w:spacing w:after="150" w:before="320"/>
      </w:pPr>
      <w:r>
        <w:t xml:space="preserve">8. Traceability</w:t>
      </w:r>
    </w:p>
    <w:p>
      <w:pPr>
        <w:spacing w:after="120"/>
      </w:pPr>
      <w:r>
        <w:t xml:space="preserve">Section 3 implements FR-15 (notifications) in full, including the events explicitly required — registration, activation, order placement/approval/rejection, and payment/delivery status changes — plus one operational addition (ORDER_CONFIRMATION_MODE_CHANGED) tied to FR-21. Sections 4 and 5.1 implement FR-14 (logging of business events, security events and errors) independently of whether the notification starter is present at all.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2026-08-23T08:22:04.000Z</dcterms:created>
  <dcterms:modified xsi:type="dcterms:W3CDTF">2026-08-23T08:22:04.016Z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