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Appliances Shop — Software Architecture and Domain Model</w:t>
      </w:r>
    </w:p>
    <w:p>
      <w:r>
        <w:rPr>
          <w:i/>
          <w:iCs/>
        </w:rPr>
        <w:t xml:space="preserve">Architecture specification</w:t>
      </w:r>
    </w:p>
    <w:p>
      <w:pPr>
        <w:spacing w:after="200"/>
      </w:pPr>
      <w:r>
        <w:t xml:space="preserve">Version 1.0 — domain-oriented decomposition, class diagrams, event-driven notification service</w:t>
      </w:r>
    </w:p>
    <w:p>
      <w:pPr>
        <w:pStyle w:val="Heading1"/>
        <w:spacing w:after="150" w:before="320"/>
      </w:pPr>
      <w:r>
        <w:t xml:space="preserve">1. Purpose and scope</w:t>
      </w:r>
    </w:p>
    <w:p>
      <w:pPr>
        <w:spacing w:after="120"/>
      </w:pPr>
      <w:r>
        <w:t xml:space="preserve">This document describes the software architecture of the Appliances Shop system: how the Spring Boot backend is decomposed into subdomains (bounded contexts), the domain-oriented package/folder structure, the class-level design of each subdomain, and the design of the asynchronous Notification Service, including the outbox pattern, Kafka-based integration, and a custom Spring Boot starter used to auto-configure the beans needed for event publishing.</w:t>
      </w:r>
    </w:p>
    <w:p>
      <w:pPr>
        <w:spacing w:after="120"/>
      </w:pPr>
      <w:r>
        <w:t xml:space="preserve">This document builds on, and should be read together with, the previously produced Functional and Non-Functional Requirements (v1.1) and the database ERD diagrams (full DB diagram and order business-model diagram).</w:t>
      </w:r>
    </w:p>
    <w:p>
      <w:pPr>
        <w:pStyle w:val="Heading1"/>
        <w:spacing w:after="150" w:before="320"/>
      </w:pPr>
      <w:r>
        <w:t xml:space="preserve">2. High-level architecture</w:t>
      </w:r>
    </w:p>
    <w:p>
      <w:pPr>
        <w:spacing w:after="120"/>
      </w:pPr>
      <w:r>
        <w:t xml:space="preserve">The system consists of four deployable units: the React.js frontend, the Spring Boot backend monolith (internally split into subdomains), the Kafka broker, and the separate Notification Service. The backend never calls the Notification Service synchronously; it only writes domain events to its own outbox table, which are relayed to Kafka.</w:t>
      </w:r>
    </w:p>
    <w:p>
      <w:pPr>
        <w:shd w:fill="F0F0F0" w:val="clear"/>
        <w:spacing w:after="160" w:before="80"/>
      </w:pPr>
      <w:r>
        <w:rPr>
          <w:b/>
          <w:bCs/>
          <w:i/>
          <w:iCs/>
        </w:rPr>
        <w:t xml:space="preserve">Diagram: architecture_overview_diagram.mermaid</w:t>
      </w:r>
      <w:r>
        <w:rPr>
          <w:i/>
          <w:iCs/>
        </w:rPr>
        <w:t xml:space="preserve"> — components, data stores, Kafka, and the notification service and its channels</w:t>
      </w:r>
    </w:p>
    <w:p>
      <w:pPr>
        <w:pStyle w:val="Heading1"/>
        <w:spacing w:after="150" w:before="320"/>
      </w:pPr>
      <w:r>
        <w:t xml:space="preserve">3. Domain decomposition (bounded contexts)</w:t>
      </w:r>
    </w:p>
    <w:p>
      <w:pPr>
        <w:spacing w:after="120"/>
      </w:pPr>
      <w:r>
        <w:t xml:space="preserve">The backend monolith is split into the following subdomains. Each subdomain owns its own entities/aggregates and exposes a narrow facade interface for the few cross-subdomain calls it must support (e.g., Ordering reads prices/stock from Catalog through a CatalogFacade port, never through Catalog's JPA entities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700"/>
      </w:tblGrid>
      <w:tr>
        <w:trPr>
          <w:tblHeader/>
        </w:trPr>
        <w:tc>
          <w:tcPr>
            <w:tcW w:type="dxa" w:w="2600"/>
            <w:shd w:fill="2F5496" w:val="clear"/>
          </w:tcPr>
          <w:p>
            <w:r>
              <w:rPr>
                <w:b/>
                <w:bCs/>
                <w:color w:val="FFFFFF"/>
                <w:sz w:val="20"/>
                <w:szCs w:val="20"/>
              </w:rPr>
              <w:t xml:space="preserve">Subdomain</w:t>
            </w:r>
          </w:p>
        </w:tc>
        <w:tc>
          <w:tcPr>
            <w:tcW w:type="dxa" w:w="4200"/>
            <w:shd w:fill="2F5496" w:val="clear"/>
          </w:tcPr>
          <w:p>
            <w:r>
              <w:rPr>
                <w:b/>
                <w:bCs/>
                <w:color w:val="FFFFFF"/>
                <w:sz w:val="20"/>
                <w:szCs w:val="20"/>
              </w:rPr>
              <w:t xml:space="preserve">Responsibility</w:t>
            </w:r>
          </w:p>
        </w:tc>
        <w:tc>
          <w:tcPr>
            <w:tcW w:type="dxa" w:w="2700"/>
            <w:shd w:fill="2F5496" w:val="clear"/>
          </w:tcPr>
          <w:p>
            <w:r>
              <w:rPr>
                <w:b/>
                <w:bCs/>
                <w:color w:val="FFFFFF"/>
                <w:sz w:val="20"/>
                <w:szCs w:val="20"/>
              </w:rPr>
              <w:t xml:space="preserve">Key entities</w:t>
            </w:r>
          </w:p>
        </w:tc>
      </w:tr>
      <w:tr>
        <w:tc>
          <w:tcPr>
            <w:tcW w:type="dxa" w:w="2600"/>
          </w:tcPr>
          <w:p>
            <w:r>
              <w:rPr>
                <w:b w:val="false"/>
                <w:bCs w:val="false"/>
                <w:sz w:val="20"/>
                <w:szCs w:val="20"/>
              </w:rPr>
              <w:t xml:space="preserve">Identity &amp; Access</w:t>
            </w:r>
          </w:p>
        </w:tc>
        <w:tc>
          <w:tcPr>
            <w:tcW w:type="dxa" w:w="4200"/>
          </w:tcPr>
          <w:p>
            <w:r>
              <w:rPr>
                <w:b w:val="false"/>
                <w:bCs w:val="false"/>
                <w:sz w:val="20"/>
                <w:szCs w:val="20"/>
              </w:rPr>
              <w:t xml:space="preserve">Authentication, authorization, users/clients/employees</w:t>
            </w:r>
          </w:p>
        </w:tc>
        <w:tc>
          <w:tcPr>
            <w:tcW w:type="dxa" w:w="2700"/>
          </w:tcPr>
          <w:p>
            <w:r>
              <w:rPr>
                <w:b w:val="false"/>
                <w:bCs w:val="false"/>
                <w:sz w:val="20"/>
                <w:szCs w:val="20"/>
              </w:rPr>
              <w:t xml:space="preserve">User, Client, Employee</w:t>
            </w:r>
          </w:p>
        </w:tc>
      </w:tr>
      <w:tr>
        <w:tc>
          <w:tcPr>
            <w:tcW w:type="dxa" w:w="2600"/>
          </w:tcPr>
          <w:p>
            <w:r>
              <w:rPr>
                <w:b w:val="false"/>
                <w:bCs w:val="false"/>
                <w:sz w:val="20"/>
                <w:szCs w:val="20"/>
              </w:rPr>
              <w:t xml:space="preserve">Catalog</w:t>
            </w:r>
          </w:p>
        </w:tc>
        <w:tc>
          <w:tcPr>
            <w:tcW w:type="dxa" w:w="4200"/>
          </w:tcPr>
          <w:p>
            <w:r>
              <w:rPr>
                <w:b w:val="false"/>
                <w:bCs w:val="false"/>
                <w:sz w:val="20"/>
                <w:szCs w:val="20"/>
              </w:rPr>
              <w:t xml:space="preserve">Manufacturers, categories, appliances, stock and price</w:t>
            </w:r>
          </w:p>
        </w:tc>
        <w:tc>
          <w:tcPr>
            <w:tcW w:type="dxa" w:w="2700"/>
          </w:tcPr>
          <w:p>
            <w:r>
              <w:rPr>
                <w:b w:val="false"/>
                <w:bCs w:val="false"/>
                <w:sz w:val="20"/>
                <w:szCs w:val="20"/>
              </w:rPr>
              <w:t xml:space="preserve">Manufacturer, Category, Appliance</w:t>
            </w:r>
          </w:p>
        </w:tc>
      </w:tr>
      <w:tr>
        <w:tc>
          <w:tcPr>
            <w:tcW w:type="dxa" w:w="2600"/>
          </w:tcPr>
          <w:p>
            <w:r>
              <w:rPr>
                <w:b w:val="false"/>
                <w:bCs w:val="false"/>
                <w:sz w:val="20"/>
                <w:szCs w:val="20"/>
              </w:rPr>
              <w:t xml:space="preserve">Cart</w:t>
            </w:r>
          </w:p>
        </w:tc>
        <w:tc>
          <w:tcPr>
            <w:tcW w:type="dxa" w:w="4200"/>
          </w:tcPr>
          <w:p>
            <w:r>
              <w:rPr>
                <w:b w:val="false"/>
                <w:bCs w:val="false"/>
                <w:sz w:val="20"/>
                <w:szCs w:val="20"/>
              </w:rPr>
              <w:t xml:space="preserve">Client's working shopping-cart state</w:t>
            </w:r>
          </w:p>
        </w:tc>
        <w:tc>
          <w:tcPr>
            <w:tcW w:type="dxa" w:w="2700"/>
          </w:tcPr>
          <w:p>
            <w:r>
              <w:rPr>
                <w:b w:val="false"/>
                <w:bCs w:val="false"/>
                <w:sz w:val="20"/>
                <w:szCs w:val="20"/>
              </w:rPr>
              <w:t xml:space="preserve">Cart, CartRow</w:t>
            </w:r>
          </w:p>
        </w:tc>
      </w:tr>
      <w:tr>
        <w:tc>
          <w:tcPr>
            <w:tcW w:type="dxa" w:w="2600"/>
          </w:tcPr>
          <w:p>
            <w:r>
              <w:rPr>
                <w:b w:val="false"/>
                <w:bCs w:val="false"/>
                <w:sz w:val="20"/>
                <w:szCs w:val="20"/>
              </w:rPr>
              <w:t xml:space="preserve">Ordering</w:t>
            </w:r>
          </w:p>
        </w:tc>
        <w:tc>
          <w:tcPr>
            <w:tcW w:type="dxa" w:w="4200"/>
          </w:tcPr>
          <w:p>
            <w:r>
              <w:rPr>
                <w:b w:val="false"/>
                <w:bCs w:val="false"/>
                <w:sz w:val="20"/>
                <w:szCs w:val="20"/>
              </w:rPr>
              <w:t xml:space="preserve">Checkout orchestration, orders, approval workflow</w:t>
            </w:r>
          </w:p>
        </w:tc>
        <w:tc>
          <w:tcPr>
            <w:tcW w:type="dxa" w:w="2700"/>
          </w:tcPr>
          <w:p>
            <w:r>
              <w:rPr>
                <w:b w:val="false"/>
                <w:bCs w:val="false"/>
                <w:sz w:val="20"/>
                <w:szCs w:val="20"/>
              </w:rPr>
              <w:t xml:space="preserve">Order, OrderRow</w:t>
            </w:r>
          </w:p>
        </w:tc>
      </w:tr>
      <w:tr>
        <w:tc>
          <w:tcPr>
            <w:tcW w:type="dxa" w:w="2600"/>
          </w:tcPr>
          <w:p>
            <w:r>
              <w:rPr>
                <w:b w:val="false"/>
                <w:bCs w:val="false"/>
                <w:sz w:val="20"/>
                <w:szCs w:val="20"/>
              </w:rPr>
              <w:t xml:space="preserve">Payment</w:t>
            </w:r>
          </w:p>
        </w:tc>
        <w:tc>
          <w:tcPr>
            <w:tcW w:type="dxa" w:w="4200"/>
          </w:tcPr>
          <w:p>
            <w:r>
              <w:rPr>
                <w:b w:val="false"/>
                <w:bCs w:val="false"/>
                <w:sz w:val="20"/>
                <w:szCs w:val="20"/>
              </w:rPr>
              <w:t xml:space="preserve">Payment records for an order</w:t>
            </w:r>
          </w:p>
        </w:tc>
        <w:tc>
          <w:tcPr>
            <w:tcW w:type="dxa" w:w="2700"/>
          </w:tcPr>
          <w:p>
            <w:r>
              <w:rPr>
                <w:b w:val="false"/>
                <w:bCs w:val="false"/>
                <w:sz w:val="20"/>
                <w:szCs w:val="20"/>
              </w:rPr>
              <w:t xml:space="preserve">Payment</w:t>
            </w:r>
          </w:p>
        </w:tc>
      </w:tr>
      <w:tr>
        <w:tc>
          <w:tcPr>
            <w:tcW w:type="dxa" w:w="2600"/>
          </w:tcPr>
          <w:p>
            <w:r>
              <w:rPr>
                <w:b w:val="false"/>
                <w:bCs w:val="false"/>
                <w:sz w:val="20"/>
                <w:szCs w:val="20"/>
              </w:rPr>
              <w:t xml:space="preserve">Delivery</w:t>
            </w:r>
          </w:p>
        </w:tc>
        <w:tc>
          <w:tcPr>
            <w:tcW w:type="dxa" w:w="4200"/>
          </w:tcPr>
          <w:p>
            <w:r>
              <w:rPr>
                <w:b w:val="false"/>
                <w:bCs w:val="false"/>
                <w:sz w:val="20"/>
                <w:szCs w:val="20"/>
              </w:rPr>
              <w:t xml:space="preserve">Delivery information for an order</w:t>
            </w:r>
          </w:p>
        </w:tc>
        <w:tc>
          <w:tcPr>
            <w:tcW w:type="dxa" w:w="2700"/>
          </w:tcPr>
          <w:p>
            <w:r>
              <w:rPr>
                <w:b w:val="false"/>
                <w:bCs w:val="false"/>
                <w:sz w:val="20"/>
                <w:szCs w:val="20"/>
              </w:rPr>
              <w:t xml:space="preserve">DeliveryInformation</w:t>
            </w:r>
          </w:p>
        </w:tc>
      </w:tr>
      <w:tr>
        <w:tc>
          <w:tcPr>
            <w:tcW w:type="dxa" w:w="2600"/>
          </w:tcPr>
          <w:p>
            <w:r>
              <w:rPr>
                <w:b w:val="false"/>
                <w:bCs w:val="false"/>
                <w:sz w:val="20"/>
                <w:szCs w:val="20"/>
              </w:rPr>
              <w:t xml:space="preserve">Reporting</w:t>
            </w:r>
          </w:p>
        </w:tc>
        <w:tc>
          <w:tcPr>
            <w:tcW w:type="dxa" w:w="4200"/>
          </w:tcPr>
          <w:p>
            <w:r>
              <w:rPr>
                <w:b w:val="false"/>
                <w:bCs w:val="false"/>
                <w:sz w:val="20"/>
                <w:szCs w:val="20"/>
              </w:rPr>
              <w:t xml:space="preserve">Read-only aggregation for orders and stock</w:t>
            </w:r>
          </w:p>
        </w:tc>
        <w:tc>
          <w:tcPr>
            <w:tcW w:type="dxa" w:w="2700"/>
          </w:tcPr>
          <w:p>
            <w:r>
              <w:rPr>
                <w:b w:val="false"/>
                <w:bCs w:val="false"/>
                <w:sz w:val="20"/>
                <w:szCs w:val="20"/>
              </w:rPr>
              <w:t xml:space="preserve">(read models over Order, Appliance)</w:t>
            </w:r>
          </w:p>
        </w:tc>
      </w:tr>
    </w:tbl>
    <w:p>
      <w:pPr>
        <w:pStyle w:val="Heading1"/>
        <w:spacing w:after="150" w:before="320"/>
      </w:pPr>
      <w:r>
        <w:t xml:space="preserve">4. Domain-oriented folder structure</w:t>
      </w:r>
    </w:p>
    <w:p>
      <w:pPr>
        <w:spacing w:after="120"/>
      </w:pPr>
      <w:r>
        <w:t xml:space="preserve">The backend module is organized by subdomain rather than by technical layer at the top level; each subdomain then follows the same internal layering (domain / application / infrastructure / api).</w:t>
      </w:r>
    </w:p>
    <w:p>
      <w:pPr>
        <w:shd w:fill="F0F0F0" w:val="clear"/>
        <w:spacing w:after="200"/>
      </w:pPr>
      <w:r>
        <w:rPr>
          <w:rFonts w:ascii="Consolas" w:cs="Consolas" w:eastAsia="Consolas" w:hAnsi="Consolas"/>
          <w:sz w:val="18"/>
          <w:szCs w:val="18"/>
        </w:rPr>
        <w:t xml:space="preserve">appliances-shop-backend/</w:t>
      </w:r>
      <w:r>
        <w:br/>
        <w:t xml:space="preserve"/>
      </w:r>
      <w:r>
        <w:rPr>
          <w:rFonts w:ascii="Consolas" w:cs="Consolas" w:eastAsia="Consolas" w:hAnsi="Consolas"/>
          <w:sz w:val="18"/>
          <w:szCs w:val="18"/>
        </w:rPr>
        <w:t xml:space="preserve">  src/main/java/com/appliancesshop/</w:t>
      </w:r>
      <w:r>
        <w:br/>
        <w:t xml:space="preserve"/>
      </w:r>
      <w:r>
        <w:rPr>
          <w:rFonts w:ascii="Consolas" w:cs="Consolas" w:eastAsia="Consolas" w:hAnsi="Consolas"/>
          <w:sz w:val="18"/>
          <w:szCs w:val="18"/>
        </w:rPr>
        <w:t xml:space="preserve">    shared/</w:t>
      </w:r>
      <w:r>
        <w:br/>
        <w:t xml:space="preserve"/>
      </w:r>
      <w:r>
        <w:rPr>
          <w:rFonts w:ascii="Consolas" w:cs="Consolas" w:eastAsia="Consolas" w:hAnsi="Consolas"/>
          <w:sz w:val="18"/>
          <w:szCs w:val="18"/>
        </w:rPr>
        <w:t xml:space="preserve">      domain/          (BaseEntity, DomainEvent)</w:t>
      </w:r>
      <w:r>
        <w:br/>
        <w:t xml:space="preserve"/>
      </w:r>
      <w:r>
        <w:rPr>
          <w:rFonts w:ascii="Consolas" w:cs="Consolas" w:eastAsia="Consolas" w:hAnsi="Consolas"/>
          <w:sz w:val="18"/>
          <w:szCs w:val="18"/>
        </w:rPr>
        <w:t xml:space="preserve">      outbox/           (OutboxEvent, OutboxEventRepository, OutboxRelay)</w:t>
      </w:r>
      <w:r>
        <w:br/>
        <w:t xml:space="preserve"/>
      </w:r>
      <w:r>
        <w:rPr>
          <w:rFonts w:ascii="Consolas" w:cs="Consolas" w:eastAsia="Consolas" w:hAnsi="Consolas"/>
          <w:sz w:val="18"/>
          <w:szCs w:val="18"/>
        </w:rPr>
        <w:t xml:space="preserve">      exception/        (ApiException, GlobalExceptionHandler)</w:t>
      </w:r>
      <w:r>
        <w:br/>
        <w:t xml:space="preserve"/>
      </w:r>
      <w:r>
        <w:rPr>
          <w:rFonts w:ascii="Consolas" w:cs="Consolas" w:eastAsia="Consolas" w:hAnsi="Consolas"/>
          <w:sz w:val="18"/>
          <w:szCs w:val="18"/>
        </w:rPr>
        <w:t xml:space="preserve">      security/         (SecurityConfig, JwtFilter)</w:t>
      </w:r>
      <w:r>
        <w:br/>
        <w:t xml:space="preserve"/>
      </w:r>
      <w:r>
        <w:rPr>
          <w:rFonts w:ascii="Consolas" w:cs="Consolas" w:eastAsia="Consolas" w:hAnsi="Consolas"/>
          <w:sz w:val="18"/>
          <w:szCs w:val="18"/>
        </w:rPr>
        <w:t xml:space="preserve">    identity/</w:t>
      </w:r>
      <w:r>
        <w:br/>
        <w:t xml:space="preserve"/>
      </w:r>
      <w:r>
        <w:rPr>
          <w:rFonts w:ascii="Consolas" w:cs="Consolas" w:eastAsia="Consolas" w:hAnsi="Consolas"/>
          <w:sz w:val="18"/>
          <w:szCs w:val="18"/>
        </w:rPr>
        <w:t xml:space="preserve">      domain/           (User, Client, Employee)</w:t>
      </w:r>
      <w:r>
        <w:br/>
        <w:t xml:space="preserve"/>
      </w:r>
      <w:r>
        <w:rPr>
          <w:rFonts w:ascii="Consolas" w:cs="Consolas" w:eastAsia="Consolas" w:hAnsi="Consolas"/>
          <w:sz w:val="18"/>
          <w:szCs w:val="18"/>
        </w:rPr>
        <w:t xml:space="preserve">      application/      (UserService, ClientService, EmployeeService, AuthenticationService)</w:t>
      </w:r>
      <w:r>
        <w:br/>
        <w:t xml:space="preserve"/>
      </w:r>
      <w:r>
        <w:rPr>
          <w:rFonts w:ascii="Consolas" w:cs="Consolas" w:eastAsia="Consolas" w:hAnsi="Consolas"/>
          <w:sz w:val="18"/>
          <w:szCs w:val="18"/>
        </w:rPr>
        <w:t xml:space="preserve">      infrastructure/   (UserRepository, ClientRepository, EmployeeRepository)</w:t>
      </w:r>
      <w:r>
        <w:br/>
        <w:t xml:space="preserve"/>
      </w:r>
      <w:r>
        <w:rPr>
          <w:rFonts w:ascii="Consolas" w:cs="Consolas" w:eastAsia="Consolas" w:hAnsi="Consolas"/>
          <w:sz w:val="18"/>
          <w:szCs w:val="18"/>
        </w:rPr>
        <w:t xml:space="preserve">      api/              (AuthController, ClientController, EmployeeController, dto/)</w:t>
      </w:r>
      <w:r>
        <w:br/>
        <w:t xml:space="preserve"/>
      </w:r>
      <w:r>
        <w:rPr>
          <w:rFonts w:ascii="Consolas" w:cs="Consolas" w:eastAsia="Consolas" w:hAnsi="Consolas"/>
          <w:sz w:val="18"/>
          <w:szCs w:val="18"/>
        </w:rPr>
        <w:t xml:space="preserve">    catalog/</w:t>
      </w:r>
      <w:r>
        <w:br/>
        <w:t xml:space="preserve"/>
      </w:r>
      <w:r>
        <w:rPr>
          <w:rFonts w:ascii="Consolas" w:cs="Consolas" w:eastAsia="Consolas" w:hAnsi="Consolas"/>
          <w:sz w:val="18"/>
          <w:szCs w:val="18"/>
        </w:rPr>
        <w:t xml:space="preserve">      domain/           (Manufacturer, Category, Appliance)</w:t>
      </w:r>
      <w:r>
        <w:br/>
        <w:t xml:space="preserve"/>
      </w:r>
      <w:r>
        <w:rPr>
          <w:rFonts w:ascii="Consolas" w:cs="Consolas" w:eastAsia="Consolas" w:hAnsi="Consolas"/>
          <w:sz w:val="18"/>
          <w:szCs w:val="18"/>
        </w:rPr>
        <w:t xml:space="preserve">      application/      (ManufacturerService, CategoryService, ApplianceService, StockService, CatalogFacade)</w:t>
      </w:r>
      <w:r>
        <w:br/>
        <w:t xml:space="preserve"/>
      </w:r>
      <w:r>
        <w:rPr>
          <w:rFonts w:ascii="Consolas" w:cs="Consolas" w:eastAsia="Consolas" w:hAnsi="Consolas"/>
          <w:sz w:val="18"/>
          <w:szCs w:val="18"/>
        </w:rPr>
        <w:t xml:space="preserve">      infrastructure/   (JPA repositories)</w:t>
      </w:r>
      <w:r>
        <w:br/>
        <w:t xml:space="preserve"/>
      </w:r>
      <w:r>
        <w:rPr>
          <w:rFonts w:ascii="Consolas" w:cs="Consolas" w:eastAsia="Consolas" w:hAnsi="Consolas"/>
          <w:sz w:val="18"/>
          <w:szCs w:val="18"/>
        </w:rPr>
        <w:t xml:space="preserve">      api/              (ManufacturerController, CategoryController, ApplianceController)</w:t>
      </w:r>
      <w:r>
        <w:br/>
        <w:t xml:space="preserve"/>
      </w:r>
      <w:r>
        <w:rPr>
          <w:rFonts w:ascii="Consolas" w:cs="Consolas" w:eastAsia="Consolas" w:hAnsi="Consolas"/>
          <w:sz w:val="18"/>
          <w:szCs w:val="18"/>
        </w:rPr>
        <w:t xml:space="preserve">    cart/</w:t>
      </w:r>
      <w:r>
        <w:br/>
        <w:t xml:space="preserve"/>
      </w:r>
      <w:r>
        <w:rPr>
          <w:rFonts w:ascii="Consolas" w:cs="Consolas" w:eastAsia="Consolas" w:hAnsi="Consolas"/>
          <w:sz w:val="18"/>
          <w:szCs w:val="18"/>
        </w:rPr>
        <w:t xml:space="preserve">      domain/           (Cart, CartRow)</w:t>
      </w:r>
      <w:r>
        <w:br/>
        <w:t xml:space="preserve"/>
      </w:r>
      <w:r>
        <w:rPr>
          <w:rFonts w:ascii="Consolas" w:cs="Consolas" w:eastAsia="Consolas" w:hAnsi="Consolas"/>
          <w:sz w:val="18"/>
          <w:szCs w:val="18"/>
        </w:rPr>
        <w:t xml:space="preserve">      application/      (CartService, CartFacade)</w:t>
      </w:r>
      <w:r>
        <w:br/>
        <w:t xml:space="preserve"/>
      </w:r>
      <w:r>
        <w:rPr>
          <w:rFonts w:ascii="Consolas" w:cs="Consolas" w:eastAsia="Consolas" w:hAnsi="Consolas"/>
          <w:sz w:val="18"/>
          <w:szCs w:val="18"/>
        </w:rPr>
        <w:t xml:space="preserve">      infrastructure/   (CartRepository, CartRowRepository)</w:t>
      </w:r>
      <w:r>
        <w:br/>
        <w:t xml:space="preserve"/>
      </w:r>
      <w:r>
        <w:rPr>
          <w:rFonts w:ascii="Consolas" w:cs="Consolas" w:eastAsia="Consolas" w:hAnsi="Consolas"/>
          <w:sz w:val="18"/>
          <w:szCs w:val="18"/>
        </w:rPr>
        <w:t xml:space="preserve">      api/              (CartController)</w:t>
      </w:r>
      <w:r>
        <w:br/>
        <w:t xml:space="preserve"/>
      </w:r>
      <w:r>
        <w:rPr>
          <w:rFonts w:ascii="Consolas" w:cs="Consolas" w:eastAsia="Consolas" w:hAnsi="Consolas"/>
          <w:sz w:val="18"/>
          <w:szCs w:val="18"/>
        </w:rPr>
        <w:t xml:space="preserve">    ordering/</w:t>
      </w:r>
      <w:r>
        <w:br/>
        <w:t xml:space="preserve"/>
      </w:r>
      <w:r>
        <w:rPr>
          <w:rFonts w:ascii="Consolas" w:cs="Consolas" w:eastAsia="Consolas" w:hAnsi="Consolas"/>
          <w:sz w:val="18"/>
          <w:szCs w:val="18"/>
        </w:rPr>
        <w:t xml:space="preserve">      domain/           (Order, OrderRow, ConfirmationMode)</w:t>
      </w:r>
      <w:r>
        <w:br/>
        <w:t xml:space="preserve"/>
      </w:r>
      <w:r>
        <w:rPr>
          <w:rFonts w:ascii="Consolas" w:cs="Consolas" w:eastAsia="Consolas" w:hAnsi="Consolas"/>
          <w:sz w:val="18"/>
          <w:szCs w:val="18"/>
        </w:rPr>
        <w:t xml:space="preserve">      application/      (CheckoutService, OrderService, OrderApprovalService,</w:t>
      </w:r>
      <w:r>
        <w:br/>
        <w:t xml:space="preserve"/>
      </w:r>
      <w:r>
        <w:rPr>
          <w:rFonts w:ascii="Consolas" w:cs="Consolas" w:eastAsia="Consolas" w:hAnsi="Consolas"/>
          <w:sz w:val="18"/>
          <w:szCs w:val="18"/>
        </w:rPr>
        <w:t xml:space="preserve">                          OrderConfirmationStrategy + Manual/AutomaticConfirmationStrategy)</w:t>
      </w:r>
      <w:r>
        <w:br/>
        <w:t xml:space="preserve"/>
      </w:r>
      <w:r>
        <w:rPr>
          <w:rFonts w:ascii="Consolas" w:cs="Consolas" w:eastAsia="Consolas" w:hAnsi="Consolas"/>
          <w:sz w:val="18"/>
          <w:szCs w:val="18"/>
        </w:rPr>
        <w:t xml:space="preserve">      infrastructure/</w:t>
      </w:r>
      <w:r>
        <w:br/>
        <w:t xml:space="preserve"/>
      </w:r>
      <w:r>
        <w:rPr>
          <w:rFonts w:ascii="Consolas" w:cs="Consolas" w:eastAsia="Consolas" w:hAnsi="Consolas"/>
          <w:sz w:val="18"/>
          <w:szCs w:val="18"/>
        </w:rPr>
        <w:t xml:space="preserve">        (OrderRepository, OrderRowRepository, OrderConfirmationProperties)</w:t>
      </w:r>
      <w:r>
        <w:br/>
        <w:t xml:space="preserve"/>
      </w:r>
      <w:r>
        <w:rPr>
          <w:rFonts w:ascii="Consolas" w:cs="Consolas" w:eastAsia="Consolas" w:hAnsi="Consolas"/>
          <w:sz w:val="18"/>
          <w:szCs w:val="18"/>
        </w:rPr>
        <w:t xml:space="preserve">        notification/   (OrderPlacedEventMapper, OrderApprovedEventMapper, OrderRejectedEventMapper)</w:t>
      </w:r>
      <w:r>
        <w:br/>
        <w:t xml:space="preserve"/>
      </w:r>
      <w:r>
        <w:rPr>
          <w:rFonts w:ascii="Consolas" w:cs="Consolas" w:eastAsia="Consolas" w:hAnsi="Consolas"/>
          <w:sz w:val="18"/>
          <w:szCs w:val="18"/>
        </w:rPr>
        <w:t xml:space="preserve">      api/              (OrderController, CheckoutController)</w:t>
      </w:r>
      <w:r>
        <w:br/>
        <w:t xml:space="preserve"/>
      </w:r>
      <w:r>
        <w:rPr>
          <w:rFonts w:ascii="Consolas" w:cs="Consolas" w:eastAsia="Consolas" w:hAnsi="Consolas"/>
          <w:sz w:val="18"/>
          <w:szCs w:val="18"/>
        </w:rPr>
        <w:t xml:space="preserve">    payment/</w:t>
      </w:r>
      <w:r>
        <w:br/>
        <w:t xml:space="preserve"/>
      </w:r>
      <w:r>
        <w:rPr>
          <w:rFonts w:ascii="Consolas" w:cs="Consolas" w:eastAsia="Consolas" w:hAnsi="Consolas"/>
          <w:sz w:val="18"/>
          <w:szCs w:val="18"/>
        </w:rPr>
        <w:t xml:space="preserve">      domain/           (Payment)</w:t>
      </w:r>
      <w:r>
        <w:br/>
        <w:t xml:space="preserve"/>
      </w:r>
      <w:r>
        <w:rPr>
          <w:rFonts w:ascii="Consolas" w:cs="Consolas" w:eastAsia="Consolas" w:hAnsi="Consolas"/>
          <w:sz w:val="18"/>
          <w:szCs w:val="18"/>
        </w:rPr>
        <w:t xml:space="preserve">      application/      (PaymentService, PaymentFacade)</w:t>
      </w:r>
      <w:r>
        <w:br/>
        <w:t xml:space="preserve"/>
      </w:r>
      <w:r>
        <w:rPr>
          <w:rFonts w:ascii="Consolas" w:cs="Consolas" w:eastAsia="Consolas" w:hAnsi="Consolas"/>
          <w:sz w:val="18"/>
          <w:szCs w:val="18"/>
        </w:rPr>
        <w:t xml:space="preserve">      infrastructure/</w:t>
      </w:r>
      <w:r>
        <w:br/>
        <w:t xml:space="preserve"/>
      </w:r>
      <w:r>
        <w:rPr>
          <w:rFonts w:ascii="Consolas" w:cs="Consolas" w:eastAsia="Consolas" w:hAnsi="Consolas"/>
          <w:sz w:val="18"/>
          <w:szCs w:val="18"/>
        </w:rPr>
        <w:t xml:space="preserve">        (PaymentRepository)</w:t>
      </w:r>
      <w:r>
        <w:br/>
        <w:t xml:space="preserve"/>
      </w:r>
      <w:r>
        <w:rPr>
          <w:rFonts w:ascii="Consolas" w:cs="Consolas" w:eastAsia="Consolas" w:hAnsi="Consolas"/>
          <w:sz w:val="18"/>
          <w:szCs w:val="18"/>
        </w:rPr>
        <w:t xml:space="preserve">        notification/   (PaymentStatusChangedEventMapper)</w:t>
      </w:r>
      <w:r>
        <w:br/>
        <w:t xml:space="preserve"/>
      </w:r>
      <w:r>
        <w:rPr>
          <w:rFonts w:ascii="Consolas" w:cs="Consolas" w:eastAsia="Consolas" w:hAnsi="Consolas"/>
          <w:sz w:val="18"/>
          <w:szCs w:val="18"/>
        </w:rPr>
        <w:t xml:space="preserve">      api/              (PaymentController)</w:t>
      </w:r>
      <w:r>
        <w:br/>
        <w:t xml:space="preserve"/>
      </w:r>
      <w:r>
        <w:rPr>
          <w:rFonts w:ascii="Consolas" w:cs="Consolas" w:eastAsia="Consolas" w:hAnsi="Consolas"/>
          <w:sz w:val="18"/>
          <w:szCs w:val="18"/>
        </w:rPr>
        <w:t xml:space="preserve">    delivery/</w:t>
      </w:r>
      <w:r>
        <w:br/>
        <w:t xml:space="preserve"/>
      </w:r>
      <w:r>
        <w:rPr>
          <w:rFonts w:ascii="Consolas" w:cs="Consolas" w:eastAsia="Consolas" w:hAnsi="Consolas"/>
          <w:sz w:val="18"/>
          <w:szCs w:val="18"/>
        </w:rPr>
        <w:t xml:space="preserve">      domain/           (DeliveryInformation)</w:t>
      </w:r>
      <w:r>
        <w:br/>
        <w:t xml:space="preserve"/>
      </w:r>
      <w:r>
        <w:rPr>
          <w:rFonts w:ascii="Consolas" w:cs="Consolas" w:eastAsia="Consolas" w:hAnsi="Consolas"/>
          <w:sz w:val="18"/>
          <w:szCs w:val="18"/>
        </w:rPr>
        <w:t xml:space="preserve">      application/      (DeliveryService, DeliveryFacade)</w:t>
      </w:r>
      <w:r>
        <w:br/>
        <w:t xml:space="preserve"/>
      </w:r>
      <w:r>
        <w:rPr>
          <w:rFonts w:ascii="Consolas" w:cs="Consolas" w:eastAsia="Consolas" w:hAnsi="Consolas"/>
          <w:sz w:val="18"/>
          <w:szCs w:val="18"/>
        </w:rPr>
        <w:t xml:space="preserve">      infrastructure/</w:t>
      </w:r>
      <w:r>
        <w:br/>
        <w:t xml:space="preserve"/>
      </w:r>
      <w:r>
        <w:rPr>
          <w:rFonts w:ascii="Consolas" w:cs="Consolas" w:eastAsia="Consolas" w:hAnsi="Consolas"/>
          <w:sz w:val="18"/>
          <w:szCs w:val="18"/>
        </w:rPr>
        <w:t xml:space="preserve">        (DeliveryInformationRepository)</w:t>
      </w:r>
      <w:r>
        <w:br/>
        <w:t xml:space="preserve"/>
      </w:r>
      <w:r>
        <w:rPr>
          <w:rFonts w:ascii="Consolas" w:cs="Consolas" w:eastAsia="Consolas" w:hAnsi="Consolas"/>
          <w:sz w:val="18"/>
          <w:szCs w:val="18"/>
        </w:rPr>
        <w:t xml:space="preserve">        notification/   (DeliveryStatusChangedEventMapper)</w:t>
      </w:r>
      <w:r>
        <w:br/>
        <w:t xml:space="preserve"/>
      </w:r>
      <w:r>
        <w:rPr>
          <w:rFonts w:ascii="Consolas" w:cs="Consolas" w:eastAsia="Consolas" w:hAnsi="Consolas"/>
          <w:sz w:val="18"/>
          <w:szCs w:val="18"/>
        </w:rPr>
        <w:t xml:space="preserve">      api/              (DeliveryController)</w:t>
      </w:r>
      <w:r>
        <w:br/>
        <w:t xml:space="preserve"/>
      </w:r>
      <w:r>
        <w:rPr>
          <w:rFonts w:ascii="Consolas" w:cs="Consolas" w:eastAsia="Consolas" w:hAnsi="Consolas"/>
          <w:sz w:val="18"/>
          <w:szCs w:val="18"/>
        </w:rPr>
        <w:t xml:space="preserve">    reporting/</w:t>
      </w:r>
      <w:r>
        <w:br/>
        <w:t xml:space="preserve"/>
      </w:r>
      <w:r>
        <w:rPr>
          <w:rFonts w:ascii="Consolas" w:cs="Consolas" w:eastAsia="Consolas" w:hAnsi="Consolas"/>
          <w:sz w:val="18"/>
          <w:szCs w:val="18"/>
        </w:rPr>
        <w:t xml:space="preserve">      application/      (ReportingService)</w:t>
      </w:r>
      <w:r>
        <w:br/>
        <w:t xml:space="preserve"/>
      </w:r>
      <w:r>
        <w:rPr>
          <w:rFonts w:ascii="Consolas" w:cs="Consolas" w:eastAsia="Consolas" w:hAnsi="Consolas"/>
          <w:sz w:val="18"/>
          <w:szCs w:val="18"/>
        </w:rPr>
        <w:t xml:space="preserve">      infrastructure/   (OrderReportRepository, StockReportRepository)</w:t>
      </w:r>
      <w:r>
        <w:br/>
        <w:t xml:space="preserve"/>
      </w:r>
      <w:r>
        <w:rPr>
          <w:rFonts w:ascii="Consolas" w:cs="Consolas" w:eastAsia="Consolas" w:hAnsi="Consolas"/>
          <w:sz w:val="18"/>
          <w:szCs w:val="18"/>
        </w:rPr>
        <w:t xml:space="preserve">      api/              (ReportingController)</w:t>
      </w:r>
      <w:r>
        <w:br/>
        <w:t xml:space="preserve"/>
      </w:r>
      <w:r>
        <w:rPr>
          <w:rFonts w:ascii="Consolas" w:cs="Consolas" w:eastAsia="Consolas" w:hAnsi="Consolas"/>
          <w:sz w:val="18"/>
          <w:szCs w:val="18"/>
        </w:rPr>
        <w:t xml:space="preserve">    config/             (FlywayConfig, OpenApiConfig, FeatureFlagsConfig)</w:t>
      </w:r>
      <w:r>
        <w:br/>
        <w:t xml:space="preserve"/>
      </w:r>
      <w:r>
        <w:rPr>
          <w:rFonts w:ascii="Consolas" w:cs="Consolas" w:eastAsia="Consolas" w:hAnsi="Consolas"/>
          <w:sz w:val="18"/>
          <w:szCs w:val="18"/>
        </w:rPr>
        <w:t xml:space="preserve">  src/main/resources/</w:t>
      </w:r>
      <w:r>
        <w:br/>
        <w:t xml:space="preserve"/>
      </w:r>
      <w:r>
        <w:rPr>
          <w:rFonts w:ascii="Consolas" w:cs="Consolas" w:eastAsia="Consolas" w:hAnsi="Consolas"/>
          <w:sz w:val="18"/>
          <w:szCs w:val="18"/>
        </w:rPr>
        <w:t xml:space="preserve">    db/migration/       (Flyway V1__..., V2__...)</w:t>
      </w:r>
      <w:r>
        <w:br/>
        <w:t xml:space="preserve"/>
      </w:r>
      <w:r>
        <w:rPr>
          <w:rFonts w:ascii="Consolas" w:cs="Consolas" w:eastAsia="Consolas" w:hAnsi="Consolas"/>
          <w:sz w:val="18"/>
          <w:szCs w:val="18"/>
        </w:rPr>
        <w:t xml:space="preserve">    application.yml, application-h2.yml, application-postgres.yml</w:t>
      </w:r>
      <w:r>
        <w:br/>
        <w:t xml:space="preserve"/>
      </w:r>
      <w:r>
        <w:rPr>
          <w:rFonts w:ascii="Consolas" w:cs="Consolas" w:eastAsia="Consolas" w:hAnsi="Consolas"/>
          <w:sz w:val="18"/>
          <w:szCs w:val="18"/>
        </w:rPr>
        <w:t xml:space="preserve">    messages/           (messages_en.properties, messages_&lt;local&gt;.properties)</w:t>
      </w:r>
      <w:r>
        <w:br/>
        <w:t xml:space="preserve"/>
      </w:r>
      <w:r>
        <w:rPr>
          <w:rFonts w:ascii="Consolas" w:cs="Consolas" w:eastAsia="Consolas" w:hAnsi="Consolas"/>
          <w:sz w:val="18"/>
          <w:szCs w:val="18"/>
        </w:rPr>
        <w:t xml:space="preserve">  pom.xml               (depends on notification-client-spring-boot-starter)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notification-event-contract/          (tiny shared library, no Spring dependency)</w:t>
      </w:r>
      <w:r>
        <w:br/>
        <w:t xml:space="preserve"/>
      </w:r>
      <w:r>
        <w:rPr>
          <w:rFonts w:ascii="Consolas" w:cs="Consolas" w:eastAsia="Consolas" w:hAnsi="Consolas"/>
          <w:sz w:val="18"/>
          <w:szCs w:val="18"/>
        </w:rPr>
        <w:t xml:space="preserve">  src/main/java/.../contract/</w:t>
      </w:r>
      <w:r>
        <w:br/>
        <w:t xml:space="preserve"/>
      </w:r>
      <w:r>
        <w:rPr>
          <w:rFonts w:ascii="Consolas" w:cs="Consolas" w:eastAsia="Consolas" w:hAnsi="Consolas"/>
          <w:sz w:val="18"/>
          <w:szCs w:val="18"/>
        </w:rPr>
        <w:t xml:space="preserve">    NotificationEvent.java             (THE single canonical envelope, see section 13)</w:t>
      </w:r>
      <w:r>
        <w:br/>
        <w:t xml:space="preserve"/>
      </w:r>
      <w:r>
        <w:rPr>
          <w:rFonts w:ascii="Consolas" w:cs="Consolas" w:eastAsia="Consolas" w:hAnsi="Consolas"/>
          <w:sz w:val="18"/>
          <w:szCs w:val="18"/>
        </w:rPr>
        <w:t xml:space="preserve">    NotificationEventType.java         (enum: USER_REGISTERED, USER_ACTIVATED, ORDER_PLACED,</w:t>
      </w:r>
      <w:r>
        <w:br/>
        <w:t xml:space="preserve"/>
      </w:r>
      <w:r>
        <w:rPr>
          <w:rFonts w:ascii="Consolas" w:cs="Consolas" w:eastAsia="Consolas" w:hAnsi="Consolas"/>
          <w:sz w:val="18"/>
          <w:szCs w:val="18"/>
        </w:rPr>
        <w:t xml:space="preserve">                                         ORDER_APPROVED, ORDER_REJECTED, PAYMENT_STATUS_CHANGED,</w:t>
      </w:r>
      <w:r>
        <w:br/>
        <w:t xml:space="preserve"/>
      </w:r>
      <w:r>
        <w:rPr>
          <w:rFonts w:ascii="Consolas" w:cs="Consolas" w:eastAsia="Consolas" w:hAnsi="Consolas"/>
          <w:sz w:val="18"/>
          <w:szCs w:val="18"/>
        </w:rPr>
        <w:t xml:space="preserve">                                         DELIVERY_STATUS_CHANGED, MANUAL,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notification-client-spring-boot-starter/   (own artifact, depends on notification-event-contract)</w:t>
      </w:r>
      <w:r>
        <w:br/>
        <w:t xml:space="preserve"/>
      </w:r>
      <w:r>
        <w:rPr>
          <w:rFonts w:ascii="Consolas" w:cs="Consolas" w:eastAsia="Consolas" w:hAnsi="Consolas"/>
          <w:sz w:val="18"/>
          <w:szCs w:val="18"/>
        </w:rPr>
        <w:t xml:space="preserve">  src/main/java/.../starter/</w:t>
      </w:r>
      <w:r>
        <w:br/>
        <w:t xml:space="preserve"/>
      </w:r>
      <w:r>
        <w:rPr>
          <w:rFonts w:ascii="Consolas" w:cs="Consolas" w:eastAsia="Consolas" w:hAnsi="Consolas"/>
          <w:sz w:val="18"/>
          <w:szCs w:val="18"/>
        </w:rPr>
        <w:t xml:space="preserve">    NotificationClientAutoConfiguration.java</w:t>
      </w:r>
      <w:r>
        <w:br/>
        <w:t xml:space="preserve"/>
      </w:r>
      <w:r>
        <w:rPr>
          <w:rFonts w:ascii="Consolas" w:cs="Consolas" w:eastAsia="Consolas" w:hAnsi="Consolas"/>
          <w:sz w:val="18"/>
          <w:szCs w:val="18"/>
        </w:rPr>
        <w:t xml:space="preserve">    NotificationClientProperties.java</w:t>
      </w:r>
      <w:r>
        <w:br/>
        <w:t xml:space="preserve"/>
      </w:r>
      <w:r>
        <w:rPr>
          <w:rFonts w:ascii="Consolas" w:cs="Consolas" w:eastAsia="Consolas" w:hAnsi="Consolas"/>
          <w:sz w:val="18"/>
          <w:szCs w:val="18"/>
        </w:rPr>
        <w:t xml:space="preserve">    mapping/</w:t>
      </w:r>
      <w:r>
        <w:br/>
        <w:t xml:space="preserve"/>
      </w:r>
      <w:r>
        <w:rPr>
          <w:rFonts w:ascii="Consolas" w:cs="Consolas" w:eastAsia="Consolas" w:hAnsi="Consolas"/>
          <w:sz w:val="18"/>
          <w:szCs w:val="18"/>
        </w:rPr>
        <w:t xml:space="preserve">      NotificationEventMapper.java          (interface implemented by each *EventMapper above)</w:t>
      </w:r>
      <w:r>
        <w:br/>
        <w:t xml:space="preserve"/>
      </w:r>
      <w:r>
        <w:rPr>
          <w:rFonts w:ascii="Consolas" w:cs="Consolas" w:eastAsia="Consolas" w:hAnsi="Consolas"/>
          <w:sz w:val="18"/>
          <w:szCs w:val="18"/>
        </w:rPr>
        <w:t xml:space="preserve">      NotificationEventMapperRegistry.java  (auto-collects all mapper beans)</w:t>
      </w:r>
      <w:r>
        <w:br/>
        <w:t xml:space="preserve"/>
      </w:r>
      <w:r>
        <w:rPr>
          <w:rFonts w:ascii="Consolas" w:cs="Consolas" w:eastAsia="Consolas" w:hAnsi="Consolas"/>
          <w:sz w:val="18"/>
          <w:szCs w:val="18"/>
        </w:rPr>
        <w:t xml:space="preserve">    outbox/</w:t>
      </w:r>
      <w:r>
        <w:br/>
        <w:t xml:space="preserve"/>
      </w:r>
      <w:r>
        <w:rPr>
          <w:rFonts w:ascii="Consolas" w:cs="Consolas" w:eastAsia="Consolas" w:hAnsi="Consolas"/>
          <w:sz w:val="18"/>
          <w:szCs w:val="18"/>
        </w:rPr>
        <w:t xml:space="preserve">      NotificationOutbox.java               (JPA entity — the single outbox table)</w:t>
      </w:r>
      <w:r>
        <w:br/>
        <w:t xml:space="preserve"/>
      </w:r>
      <w:r>
        <w:rPr>
          <w:rFonts w:ascii="Consolas" w:cs="Consolas" w:eastAsia="Consolas" w:hAnsi="Consolas"/>
          <w:sz w:val="18"/>
          <w:szCs w:val="18"/>
        </w:rPr>
        <w:t xml:space="preserve">      NotificationOutboxRepository.java</w:t>
      </w:r>
      <w:r>
        <w:br/>
        <w:t xml:space="preserve"/>
      </w:r>
      <w:r>
        <w:rPr>
          <w:rFonts w:ascii="Consolas" w:cs="Consolas" w:eastAsia="Consolas" w:hAnsi="Consolas"/>
          <w:sz w:val="18"/>
          <w:szCs w:val="18"/>
        </w:rPr>
        <w:t xml:space="preserve">      NotificationOutboxPublisher.java      (implements DomainEventPublisher, uses the registry)</w:t>
      </w:r>
      <w:r>
        <w:br/>
        <w:t xml:space="preserve"/>
      </w:r>
      <w:r>
        <w:rPr>
          <w:rFonts w:ascii="Consolas" w:cs="Consolas" w:eastAsia="Consolas" w:hAnsi="Consolas"/>
          <w:sz w:val="18"/>
          <w:szCs w:val="18"/>
        </w:rPr>
        <w:t xml:space="preserve">      NotificationOutboxService.java        (direct/manual enqueue, no mapper needed)</w:t>
      </w:r>
      <w:r>
        <w:br/>
        <w:t xml:space="preserve"/>
      </w:r>
      <w:r>
        <w:rPr>
          <w:rFonts w:ascii="Consolas" w:cs="Consolas" w:eastAsia="Consolas" w:hAnsi="Consolas"/>
          <w:sz w:val="18"/>
          <w:szCs w:val="18"/>
        </w:rPr>
        <w:t xml:space="preserve">      OutboxRelay.java</w:t>
      </w:r>
      <w:r>
        <w:br/>
        <w:t xml:space="preserve"/>
      </w:r>
      <w:r>
        <w:rPr>
          <w:rFonts w:ascii="Consolas" w:cs="Consolas" w:eastAsia="Consolas" w:hAnsi="Consolas"/>
          <w:sz w:val="18"/>
          <w:szCs w:val="18"/>
        </w:rPr>
        <w:t xml:space="preserve">      OutboxRelayScheduler.java</w:t>
      </w:r>
      <w:r>
        <w:br/>
        <w:t xml:space="preserve"/>
      </w:r>
      <w:r>
        <w:rPr>
          <w:rFonts w:ascii="Consolas" w:cs="Consolas" w:eastAsia="Consolas" w:hAnsi="Consolas"/>
          <w:sz w:val="18"/>
          <w:szCs w:val="18"/>
        </w:rPr>
        <w:t xml:space="preserve">    messaging/</w:t>
      </w:r>
      <w:r>
        <w:br/>
        <w:t xml:space="preserve"/>
      </w:r>
      <w:r>
        <w:rPr>
          <w:rFonts w:ascii="Consolas" w:cs="Consolas" w:eastAsia="Consolas" w:hAnsi="Consolas"/>
          <w:sz w:val="18"/>
          <w:szCs w:val="18"/>
        </w:rPr>
        <w:t xml:space="preserve">      KafkaEventProducer.java               (publishes NotificationEvent to one topic)</w:t>
      </w:r>
      <w:r>
        <w:br/>
        <w:t xml:space="preserve"/>
      </w:r>
      <w:r>
        <w:rPr>
          <w:rFonts w:ascii="Consolas" w:cs="Consolas" w:eastAsia="Consolas" w:hAnsi="Consolas"/>
          <w:sz w:val="18"/>
          <w:szCs w:val="18"/>
        </w:rPr>
        <w:t xml:space="preserve">  src/main/resources/META-INF/spring/</w:t>
      </w:r>
      <w:r>
        <w:br/>
        <w:t xml:space="preserve"/>
      </w:r>
      <w:r>
        <w:rPr>
          <w:rFonts w:ascii="Consolas" w:cs="Consolas" w:eastAsia="Consolas" w:hAnsi="Consolas"/>
          <w:sz w:val="18"/>
          <w:szCs w:val="18"/>
        </w:rPr>
        <w:t xml:space="preserve">    org.springframework.boot.autoconfigure.AutoConfiguration.imports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notification-service/                  (separate deployable Spring Boot app,</w:t>
      </w:r>
      <w:r>
        <w:br/>
        <w:t xml:space="preserve"/>
      </w:r>
      <w:r>
        <w:rPr>
          <w:rFonts w:ascii="Consolas" w:cs="Consolas" w:eastAsia="Consolas" w:hAnsi="Consolas"/>
          <w:sz w:val="18"/>
          <w:szCs w:val="18"/>
        </w:rPr>
        <w:t xml:space="preserve">                                         also depends on notification-event-contract)</w:t>
      </w:r>
      <w:r>
        <w:br/>
        <w:t xml:space="preserve"/>
      </w:r>
      <w:r>
        <w:rPr>
          <w:rFonts w:ascii="Consolas" w:cs="Consolas" w:eastAsia="Consolas" w:hAnsi="Consolas"/>
          <w:sz w:val="18"/>
          <w:szCs w:val="18"/>
        </w:rPr>
        <w:t xml:space="preserve">  src/main/java/.../notification/</w:t>
      </w:r>
      <w:r>
        <w:br/>
        <w:t xml:space="preserve"/>
      </w:r>
      <w:r>
        <w:rPr>
          <w:rFonts w:ascii="Consolas" w:cs="Consolas" w:eastAsia="Consolas" w:hAnsi="Consolas"/>
          <w:sz w:val="18"/>
          <w:szCs w:val="18"/>
        </w:rPr>
        <w:t xml:space="preserve">    domain/           (Notification, NotificationTemplate, Channel, NotificationStatus)</w:t>
      </w:r>
      <w:r>
        <w:br/>
        <w:t xml:space="preserve"/>
      </w:r>
      <w:r>
        <w:rPr>
          <w:rFonts w:ascii="Consolas" w:cs="Consolas" w:eastAsia="Consolas" w:hAnsi="Consolas"/>
          <w:sz w:val="18"/>
          <w:szCs w:val="18"/>
        </w:rPr>
        <w:t xml:space="preserve">    application/       (NotificationDispatchService, TemplateResolver, NotificationRetryService)</w:t>
      </w:r>
      <w:r>
        <w:br/>
        <w:t xml:space="preserve"/>
      </w:r>
      <w:r>
        <w:rPr>
          <w:rFonts w:ascii="Consolas" w:cs="Consolas" w:eastAsia="Consolas" w:hAnsi="Consolas"/>
          <w:sz w:val="18"/>
          <w:szCs w:val="18"/>
        </w:rPr>
        <w:t xml:space="preserve">    infrastructure/</w:t>
      </w:r>
      <w:r>
        <w:br/>
        <w:t xml:space="preserve"/>
      </w:r>
      <w:r>
        <w:rPr>
          <w:rFonts w:ascii="Consolas" w:cs="Consolas" w:eastAsia="Consolas" w:hAnsi="Consolas"/>
          <w:sz w:val="18"/>
          <w:szCs w:val="18"/>
        </w:rPr>
        <w:t xml:space="preserve">      messaging/       (NotificationEventListener, KafkaConsumerConfig)</w:t>
      </w:r>
      <w:r>
        <w:br/>
        <w:t xml:space="preserve"/>
      </w:r>
      <w:r>
        <w:rPr>
          <w:rFonts w:ascii="Consolas" w:cs="Consolas" w:eastAsia="Consolas" w:hAnsi="Consolas"/>
          <w:sz w:val="18"/>
          <w:szCs w:val="18"/>
        </w:rPr>
        <w:t xml:space="preserve">      senders/         (EmailNotificationSender, SmsNotificationSender, PushNotificationSender, NotificationSenderFactory)</w:t>
      </w:r>
      <w:r>
        <w:br/>
        <w:t xml:space="preserve"/>
      </w:r>
      <w:r>
        <w:rPr>
          <w:rFonts w:ascii="Consolas" w:cs="Consolas" w:eastAsia="Consolas" w:hAnsi="Consolas"/>
          <w:sz w:val="18"/>
          <w:szCs w:val="18"/>
        </w:rPr>
        <w:t xml:space="preserve">      persistence/     (NotificationRepository, NotificationTemplateRepository)</w:t>
      </w:r>
      <w:r>
        <w:br/>
        <w:t xml:space="preserve"/>
      </w:r>
      <w:r>
        <w:rPr>
          <w:rFonts w:ascii="Consolas" w:cs="Consolas" w:eastAsia="Consolas" w:hAnsi="Consolas"/>
          <w:sz w:val="18"/>
          <w:szCs w:val="18"/>
        </w:rPr>
        <w:t xml:space="preserve">    api/               (NotificationController, NotificationTemplateController)</w:t>
      </w:r>
      <w:r>
        <w:br/>
        <w:t xml:space="preserve"/>
      </w:r>
      <w:r>
        <w:rPr>
          <w:rFonts w:ascii="Consolas" w:cs="Consolas" w:eastAsia="Consolas" w:hAnsi="Consolas"/>
          <w:sz w:val="18"/>
          <w:szCs w:val="18"/>
        </w:rPr>
        <w:t xml:space="preserve">  src/main/resources/  (application.yml, db/migration)</w:t>
      </w:r>
      <w:r>
        <w:br/>
        <w:t xml:space="preserve"/>
      </w:r>
      <w:r>
        <w:rPr>
          <w:rFonts w:ascii="Consolas" w:cs="Consolas" w:eastAsia="Consolas" w:hAnsi="Consolas"/>
          <w:sz w:val="18"/>
          <w:szCs w:val="18"/>
        </w:rPr>
        <w:t xml:space="preserve">  pom.xml</w:t>
      </w:r>
    </w:p>
    <w:p>
      <w:pPr>
        <w:spacing w:after="120"/>
      </w:pPr>
      <w:r>
        <w:t xml:space="preserve">Each subdomain's application layer exposes a small “facade” interface (e.g. CatalogFacade, CartFacade, PaymentFacade, DeliveryFacade) that is the only thing other subdomains are allowed to depend on. This keeps subdomains loosely coupled and lets any of them later be extracted into its own microservice without touching its internal domain model.</w:t>
      </w:r>
    </w:p>
    <w:p>
      <w:pPr>
        <w:pStyle w:val="Heading1"/>
        <w:spacing w:after="150" w:before="320"/>
      </w:pPr>
      <w:r>
        <w:t xml:space="preserve">5. Shared kernel and cross-cutting concerns</w:t>
      </w:r>
    </w:p>
    <w:p>
      <w:pPr>
        <w:pStyle w:val="ListParagraph"/>
        <w:numPr>
          <w:ilvl w:val="0"/>
          <w:numId w:val="1"/>
        </w:numPr>
        <w:spacing w:after="80"/>
      </w:pPr>
      <w:r>
        <w:t xml:space="preserve">BaseEntity — common id/auditing fields reused by all JPA entities.</w:t>
      </w:r>
    </w:p>
    <w:p>
      <w:pPr>
        <w:pStyle w:val="ListParagraph"/>
        <w:numPr>
          <w:ilvl w:val="0"/>
          <w:numId w:val="1"/>
        </w:numPr>
        <w:spacing w:after="80"/>
      </w:pPr>
      <w:r>
        <w:t xml:space="preserve">DomainEvent — marker interface implemented by every subdomain's own business event (UserRegisteredEvent, OrderPlacedEvent, PaymentStatusChangedEvent, etc.). These event classes are untouched by everything described in section 13 — they stay exactly as each subdomain already defines them.</w:t>
      </w:r>
    </w:p>
    <w:p>
      <w:pPr>
        <w:pStyle w:val="ListParagraph"/>
        <w:numPr>
          <w:ilvl w:val="0"/>
          <w:numId w:val="1"/>
        </w:numPr>
        <w:spacing w:after="80"/>
      </w:pPr>
      <w:r>
        <w:t xml:space="preserve">GlobalExceptionHandler and the ApiException hierarchy (FR-12).</w:t>
      </w:r>
    </w:p>
    <w:p>
      <w:pPr>
        <w:pStyle w:val="ListParagraph"/>
        <w:numPr>
          <w:ilvl w:val="0"/>
          <w:numId w:val="1"/>
        </w:numPr>
        <w:spacing w:after="80"/>
      </w:pPr>
      <w:r>
        <w:t xml:space="preserve">SecurityConfig / JwtFilter — authentication and method/URL-based authorization (FR-01).</w:t>
      </w:r>
    </w:p>
    <w:p>
      <w:pPr>
        <w:spacing w:after="120"/>
      </w:pPr>
      <w:r>
        <w:t xml:space="preserve">Note: the outbox mechanism itself (table, repository, relay) is intentionally NOT part of this shared kernel. It is owned entirely by the notification-client-spring-boot-starter (section 13) — the backend module never defines or migrates an outbox table itself, it only depends on the starter.</w:t>
      </w:r>
    </w:p>
    <w:p>
      <w:pPr>
        <w:pStyle w:val="Heading1"/>
        <w:spacing w:after="150" w:before="320"/>
      </w:pPr>
      <w:r>
        <w:t xml:space="preserve">6. Subdomain: Identity &amp; Access</w:t>
      </w:r>
    </w:p>
    <w:p>
      <w:pPr>
        <w:spacing w:after="120"/>
      </w:pPr>
      <w:r>
        <w:t xml:space="preserve">Owns User, Client and Employee. Responsible for registration, activation, authentication, and CRUD on clients/employees (FR-01, FR-02).</w:t>
      </w:r>
    </w:p>
    <w:p>
      <w:pPr>
        <w:pStyle w:val="ListParagraph"/>
        <w:numPr>
          <w:ilvl w:val="0"/>
          <w:numId w:val="1"/>
        </w:numPr>
        <w:spacing w:after="80"/>
      </w:pPr>
      <w:r>
        <w:t xml:space="preserve">Publishes: UserRegisteredEvent (on registration), UserActivatedEvent (on activation) — both consumed by the Notification Service (FR-15).</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POST /api/auth/register</w:t>
            </w:r>
          </w:p>
        </w:tc>
        <w:tc>
          <w:tcPr>
            <w:tcW w:type="dxa" w:w="1800"/>
          </w:tcPr>
          <w:p>
            <w:r>
              <w:rPr>
                <w:b w:val="false"/>
                <w:bCs w:val="false"/>
                <w:sz w:val="20"/>
                <w:szCs w:val="20"/>
              </w:rPr>
              <w:t xml:space="preserve">Public</w:t>
            </w:r>
          </w:p>
        </w:tc>
        <w:tc>
          <w:tcPr>
            <w:tcW w:type="dxa" w:w="4900"/>
          </w:tcPr>
          <w:p>
            <w:r>
              <w:rPr>
                <w:b w:val="false"/>
                <w:bCs w:val="false"/>
                <w:sz w:val="20"/>
                <w:szCs w:val="20"/>
              </w:rPr>
              <w:t xml:space="preserve">Register a new user (creates User + Client).</w:t>
            </w:r>
          </w:p>
        </w:tc>
      </w:tr>
      <w:tr>
        <w:tc>
          <w:tcPr>
            <w:tcW w:type="dxa" w:w="2800"/>
          </w:tcPr>
          <w:p>
            <w:r>
              <w:rPr>
                <w:b w:val="false"/>
                <w:bCs w:val="false"/>
                <w:sz w:val="20"/>
                <w:szCs w:val="20"/>
              </w:rPr>
              <w:t xml:space="preserve">POST /api/auth/activate/{token}</w:t>
            </w:r>
          </w:p>
        </w:tc>
        <w:tc>
          <w:tcPr>
            <w:tcW w:type="dxa" w:w="1800"/>
          </w:tcPr>
          <w:p>
            <w:r>
              <w:rPr>
                <w:b w:val="false"/>
                <w:bCs w:val="false"/>
                <w:sz w:val="20"/>
                <w:szCs w:val="20"/>
              </w:rPr>
              <w:t xml:space="preserve">Public</w:t>
            </w:r>
          </w:p>
        </w:tc>
        <w:tc>
          <w:tcPr>
            <w:tcW w:type="dxa" w:w="4900"/>
          </w:tcPr>
          <w:p>
            <w:r>
              <w:rPr>
                <w:b w:val="false"/>
                <w:bCs w:val="false"/>
                <w:sz w:val="20"/>
                <w:szCs w:val="20"/>
              </w:rPr>
              <w:t xml:space="preserve">Activate a registered account.</w:t>
            </w:r>
          </w:p>
        </w:tc>
      </w:tr>
      <w:tr>
        <w:tc>
          <w:tcPr>
            <w:tcW w:type="dxa" w:w="2800"/>
          </w:tcPr>
          <w:p>
            <w:r>
              <w:rPr>
                <w:b w:val="false"/>
                <w:bCs w:val="false"/>
                <w:sz w:val="20"/>
                <w:szCs w:val="20"/>
              </w:rPr>
              <w:t xml:space="preserve">POST /api/auth/login</w:t>
            </w:r>
          </w:p>
        </w:tc>
        <w:tc>
          <w:tcPr>
            <w:tcW w:type="dxa" w:w="1800"/>
          </w:tcPr>
          <w:p>
            <w:r>
              <w:rPr>
                <w:b w:val="false"/>
                <w:bCs w:val="false"/>
                <w:sz w:val="20"/>
                <w:szCs w:val="20"/>
              </w:rPr>
              <w:t xml:space="preserve">Public</w:t>
            </w:r>
          </w:p>
        </w:tc>
        <w:tc>
          <w:tcPr>
            <w:tcW w:type="dxa" w:w="4900"/>
          </w:tcPr>
          <w:p>
            <w:r>
              <w:rPr>
                <w:b w:val="false"/>
                <w:bCs w:val="false"/>
                <w:sz w:val="20"/>
                <w:szCs w:val="20"/>
              </w:rPr>
              <w:t xml:space="preserve">Authenticate and issue an access token.</w:t>
            </w:r>
          </w:p>
        </w:tc>
      </w:tr>
      <w:tr>
        <w:tc>
          <w:tcPr>
            <w:tcW w:type="dxa" w:w="2800"/>
          </w:tcPr>
          <w:p>
            <w:r>
              <w:rPr>
                <w:b w:val="false"/>
                <w:bCs w:val="false"/>
                <w:sz w:val="20"/>
                <w:szCs w:val="20"/>
              </w:rPr>
              <w:t xml:space="preserve">GET /api/clients</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Paginated, sortable list of clients.</w:t>
            </w:r>
          </w:p>
        </w:tc>
      </w:tr>
      <w:tr>
        <w:tc>
          <w:tcPr>
            <w:tcW w:type="dxa" w:w="2800"/>
          </w:tcPr>
          <w:p>
            <w:r>
              <w:rPr>
                <w:b w:val="false"/>
                <w:bCs w:val="false"/>
                <w:sz w:val="20"/>
                <w:szCs w:val="20"/>
              </w:rPr>
              <w:t xml:space="preserve">GET/POST/PUT/DELETE /api/clients/{id}</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CRUD on a client.</w:t>
            </w:r>
          </w:p>
        </w:tc>
      </w:tr>
      <w:tr>
        <w:tc>
          <w:tcPr>
            <w:tcW w:type="dxa" w:w="2800"/>
          </w:tcPr>
          <w:p>
            <w:r>
              <w:rPr>
                <w:b w:val="false"/>
                <w:bCs w:val="false"/>
                <w:sz w:val="20"/>
                <w:szCs w:val="20"/>
              </w:rPr>
              <w:t xml:space="preserve">GET/POST/PUT/DELETE /api/employees/{id}</w:t>
            </w:r>
          </w:p>
        </w:tc>
        <w:tc>
          <w:tcPr>
            <w:tcW w:type="dxa" w:w="1800"/>
          </w:tcPr>
          <w:p>
            <w:r>
              <w:rPr>
                <w:b w:val="false"/>
                <w:bCs w:val="false"/>
                <w:sz w:val="20"/>
                <w:szCs w:val="20"/>
              </w:rPr>
              <w:t xml:space="preserve">Employee (admin-level)</w:t>
            </w:r>
          </w:p>
        </w:tc>
        <w:tc>
          <w:tcPr>
            <w:tcW w:type="dxa" w:w="4900"/>
          </w:tcPr>
          <w:p>
            <w:r>
              <w:rPr>
                <w:b w:val="false"/>
                <w:bCs w:val="false"/>
                <w:sz w:val="20"/>
                <w:szCs w:val="20"/>
              </w:rPr>
              <w:t xml:space="preserve">CRUD on an employee.</w:t>
            </w:r>
          </w:p>
        </w:tc>
      </w:tr>
    </w:tbl>
    <w:p>
      <w:pPr>
        <w:shd w:fill="F0F0F0" w:val="clear"/>
        <w:spacing w:after="160" w:before="80"/>
      </w:pPr>
      <w:r>
        <w:rPr>
          <w:b/>
          <w:bCs/>
          <w:i/>
          <w:iCs/>
        </w:rPr>
        <w:t xml:space="preserve">Diagram: identity_domain_class_diagram.mermaid</w:t>
      </w:r>
      <w:r>
        <w:rPr>
          <w:i/>
          <w:iCs/>
        </w:rPr>
        <w:t xml:space="preserve"> — User/Client/Employee entities and identity services</w:t>
      </w:r>
    </w:p>
    <w:p>
      <w:pPr>
        <w:pStyle w:val="Heading1"/>
        <w:spacing w:after="150" w:before="320"/>
      </w:pPr>
      <w:r>
        <w:t xml:space="preserve">7. Subdomain: Catalog</w:t>
      </w:r>
    </w:p>
    <w:p>
      <w:pPr>
        <w:spacing w:after="120"/>
      </w:pPr>
      <w:r>
        <w:t xml:space="preserve">Owns Manufacturer, Category and Appliance, including price and stock quantity (FR-03, FR-04, FR-05). Exposes CatalogFacade so Cart and Ordering can read current price/stock without depending on Catalog's internal entities.</w:t>
      </w:r>
    </w:p>
    <w:p>
      <w:pPr>
        <w:pStyle w:val="ListParagraph"/>
        <w:numPr>
          <w:ilvl w:val="0"/>
          <w:numId w:val="1"/>
        </w:numPr>
        <w:spacing w:after="80"/>
      </w:pPr>
      <w:r>
        <w:t xml:space="preserve">Publishes: AppliancePriceChangedEvent (informational; not required by FR-15 notifications, but useful for cache invalidation/reporting).</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GET /api/manufacturers</w:t>
            </w:r>
          </w:p>
        </w:tc>
        <w:tc>
          <w:tcPr>
            <w:tcW w:type="dxa" w:w="1800"/>
          </w:tcPr>
          <w:p>
            <w:r>
              <w:rPr>
                <w:b w:val="false"/>
                <w:bCs w:val="false"/>
                <w:sz w:val="20"/>
                <w:szCs w:val="20"/>
              </w:rPr>
              <w:t xml:space="preserve">Public/Client</w:t>
            </w:r>
          </w:p>
        </w:tc>
        <w:tc>
          <w:tcPr>
            <w:tcW w:type="dxa" w:w="4900"/>
          </w:tcPr>
          <w:p>
            <w:r>
              <w:rPr>
                <w:b w:val="false"/>
                <w:bCs w:val="false"/>
                <w:sz w:val="20"/>
                <w:szCs w:val="20"/>
              </w:rPr>
              <w:t xml:space="preserve">List manufacturers.</w:t>
            </w:r>
          </w:p>
        </w:tc>
      </w:tr>
      <w:tr>
        <w:tc>
          <w:tcPr>
            <w:tcW w:type="dxa" w:w="2800"/>
          </w:tcPr>
          <w:p>
            <w:r>
              <w:rPr>
                <w:b w:val="false"/>
                <w:bCs w:val="false"/>
                <w:sz w:val="20"/>
                <w:szCs w:val="20"/>
              </w:rPr>
              <w:t xml:space="preserve">POST/PUT/DELETE /api/manufacturers/{id}</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Manage manufacturers.</w:t>
            </w:r>
          </w:p>
        </w:tc>
      </w:tr>
      <w:tr>
        <w:tc>
          <w:tcPr>
            <w:tcW w:type="dxa" w:w="2800"/>
          </w:tcPr>
          <w:p>
            <w:r>
              <w:rPr>
                <w:b w:val="false"/>
                <w:bCs w:val="false"/>
                <w:sz w:val="20"/>
                <w:szCs w:val="20"/>
              </w:rPr>
              <w:t xml:space="preserve">GET /api/categories</w:t>
            </w:r>
          </w:p>
        </w:tc>
        <w:tc>
          <w:tcPr>
            <w:tcW w:type="dxa" w:w="1800"/>
          </w:tcPr>
          <w:p>
            <w:r>
              <w:rPr>
                <w:b w:val="false"/>
                <w:bCs w:val="false"/>
                <w:sz w:val="20"/>
                <w:szCs w:val="20"/>
              </w:rPr>
              <w:t xml:space="preserve">Public/Client</w:t>
            </w:r>
          </w:p>
        </w:tc>
        <w:tc>
          <w:tcPr>
            <w:tcW w:type="dxa" w:w="4900"/>
          </w:tcPr>
          <w:p>
            <w:r>
              <w:rPr>
                <w:b w:val="false"/>
                <w:bCs w:val="false"/>
                <w:sz w:val="20"/>
                <w:szCs w:val="20"/>
              </w:rPr>
              <w:t xml:space="preserve">List categories.</w:t>
            </w:r>
          </w:p>
        </w:tc>
      </w:tr>
      <w:tr>
        <w:tc>
          <w:tcPr>
            <w:tcW w:type="dxa" w:w="2800"/>
          </w:tcPr>
          <w:p>
            <w:r>
              <w:rPr>
                <w:b w:val="false"/>
                <w:bCs w:val="false"/>
                <w:sz w:val="20"/>
                <w:szCs w:val="20"/>
              </w:rPr>
              <w:t xml:space="preserve">POST/PUT/DELETE /api/categories/{id}</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Manage categories.</w:t>
            </w:r>
          </w:p>
        </w:tc>
      </w:tr>
      <w:tr>
        <w:tc>
          <w:tcPr>
            <w:tcW w:type="dxa" w:w="2800"/>
          </w:tcPr>
          <w:p>
            <w:r>
              <w:rPr>
                <w:b w:val="false"/>
                <w:bCs w:val="false"/>
                <w:sz w:val="20"/>
                <w:szCs w:val="20"/>
              </w:rPr>
              <w:t xml:space="preserve">GET /api/appliances</w:t>
            </w:r>
          </w:p>
        </w:tc>
        <w:tc>
          <w:tcPr>
            <w:tcW w:type="dxa" w:w="1800"/>
          </w:tcPr>
          <w:p>
            <w:r>
              <w:rPr>
                <w:b w:val="false"/>
                <w:bCs w:val="false"/>
                <w:sz w:val="20"/>
                <w:szCs w:val="20"/>
              </w:rPr>
              <w:t xml:space="preserve">Public/Client</w:t>
            </w:r>
          </w:p>
        </w:tc>
        <w:tc>
          <w:tcPr>
            <w:tcW w:type="dxa" w:w="4900"/>
          </w:tcPr>
          <w:p>
            <w:r>
              <w:rPr>
                <w:b w:val="false"/>
                <w:bCs w:val="false"/>
                <w:sz w:val="20"/>
                <w:szCs w:val="20"/>
              </w:rPr>
              <w:t xml:space="preserve">Paginated, sortable, filterable appliance catalog.</w:t>
            </w:r>
          </w:p>
        </w:tc>
      </w:tr>
      <w:tr>
        <w:tc>
          <w:tcPr>
            <w:tcW w:type="dxa" w:w="2800"/>
          </w:tcPr>
          <w:p>
            <w:r>
              <w:rPr>
                <w:b w:val="false"/>
                <w:bCs w:val="false"/>
                <w:sz w:val="20"/>
                <w:szCs w:val="20"/>
              </w:rPr>
              <w:t xml:space="preserve">POST/PUT/DELETE /api/appliances/{id}</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Manage appliances, price and stock.</w:t>
            </w:r>
          </w:p>
        </w:tc>
      </w:tr>
    </w:tbl>
    <w:p>
      <w:pPr>
        <w:shd w:fill="F0F0F0" w:val="clear"/>
        <w:spacing w:after="160" w:before="80"/>
      </w:pPr>
      <w:r>
        <w:rPr>
          <w:b/>
          <w:bCs/>
          <w:i/>
          <w:iCs/>
        </w:rPr>
        <w:t xml:space="preserve">Diagram: catalog_domain_class_diagram.mermaid</w:t>
      </w:r>
      <w:r>
        <w:rPr>
          <w:i/>
          <w:iCs/>
        </w:rPr>
        <w:t xml:space="preserve"> — Manufacturer/Category/Appliance and stock/price services</w:t>
      </w:r>
    </w:p>
    <w:p>
      <w:pPr>
        <w:pStyle w:val="Heading1"/>
        <w:spacing w:after="150" w:before="320"/>
      </w:pPr>
      <w:r>
        <w:t xml:space="preserve">8. Subdomain: Cart</w:t>
      </w:r>
    </w:p>
    <w:p>
      <w:pPr>
        <w:spacing w:after="120"/>
      </w:pPr>
      <w:r>
        <w:t xml:space="preserve">Owns Cart and CartRow — the client's working, uncommitted purchase state (FR-19). A CartRow never stores a unit price; CartService always resolves the current price through CatalogFacade.</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GET /api/cart</w:t>
            </w:r>
          </w:p>
        </w:tc>
        <w:tc>
          <w:tcPr>
            <w:tcW w:type="dxa" w:w="1800"/>
          </w:tcPr>
          <w:p>
            <w:r>
              <w:rPr>
                <w:b w:val="false"/>
                <w:bCs w:val="false"/>
                <w:sz w:val="20"/>
                <w:szCs w:val="20"/>
              </w:rPr>
              <w:t xml:space="preserve">Client</w:t>
            </w:r>
          </w:p>
        </w:tc>
        <w:tc>
          <w:tcPr>
            <w:tcW w:type="dxa" w:w="4900"/>
          </w:tcPr>
          <w:p>
            <w:r>
              <w:rPr>
                <w:b w:val="false"/>
                <w:bCs w:val="false"/>
                <w:sz w:val="20"/>
                <w:szCs w:val="20"/>
              </w:rPr>
              <w:t xml:space="preserve">View the authenticated client's active cart (current prices resolved live).</w:t>
            </w:r>
          </w:p>
        </w:tc>
      </w:tr>
      <w:tr>
        <w:tc>
          <w:tcPr>
            <w:tcW w:type="dxa" w:w="2800"/>
          </w:tcPr>
          <w:p>
            <w:r>
              <w:rPr>
                <w:b w:val="false"/>
                <w:bCs w:val="false"/>
                <w:sz w:val="20"/>
                <w:szCs w:val="20"/>
              </w:rPr>
              <w:t xml:space="preserve">POST /api/cart/items</w:t>
            </w:r>
          </w:p>
        </w:tc>
        <w:tc>
          <w:tcPr>
            <w:tcW w:type="dxa" w:w="1800"/>
          </w:tcPr>
          <w:p>
            <w:r>
              <w:rPr>
                <w:b w:val="false"/>
                <w:bCs w:val="false"/>
                <w:sz w:val="20"/>
                <w:szCs w:val="20"/>
              </w:rPr>
              <w:t xml:space="preserve">Client</w:t>
            </w:r>
          </w:p>
        </w:tc>
        <w:tc>
          <w:tcPr>
            <w:tcW w:type="dxa" w:w="4900"/>
          </w:tcPr>
          <w:p>
            <w:r>
              <w:rPr>
                <w:b w:val="false"/>
                <w:bCs w:val="false"/>
                <w:sz w:val="20"/>
                <w:szCs w:val="20"/>
              </w:rPr>
              <w:t xml:space="preserve">Add an appliance to the cart.</w:t>
            </w:r>
          </w:p>
        </w:tc>
      </w:tr>
      <w:tr>
        <w:tc>
          <w:tcPr>
            <w:tcW w:type="dxa" w:w="2800"/>
          </w:tcPr>
          <w:p>
            <w:r>
              <w:rPr>
                <w:b w:val="false"/>
                <w:bCs w:val="false"/>
                <w:sz w:val="20"/>
                <w:szCs w:val="20"/>
              </w:rPr>
              <w:t xml:space="preserve">PATCH /api/cart/items/{applianceId}</w:t>
            </w:r>
          </w:p>
        </w:tc>
        <w:tc>
          <w:tcPr>
            <w:tcW w:type="dxa" w:w="1800"/>
          </w:tcPr>
          <w:p>
            <w:r>
              <w:rPr>
                <w:b w:val="false"/>
                <w:bCs w:val="false"/>
                <w:sz w:val="20"/>
                <w:szCs w:val="20"/>
              </w:rPr>
              <w:t xml:space="preserve">Client</w:t>
            </w:r>
          </w:p>
        </w:tc>
        <w:tc>
          <w:tcPr>
            <w:tcW w:type="dxa" w:w="4900"/>
          </w:tcPr>
          <w:p>
            <w:r>
              <w:rPr>
                <w:b w:val="false"/>
                <w:bCs w:val="false"/>
                <w:sz w:val="20"/>
                <w:szCs w:val="20"/>
              </w:rPr>
              <w:t xml:space="preserve">Change the quantity of a cart row.</w:t>
            </w:r>
          </w:p>
        </w:tc>
      </w:tr>
      <w:tr>
        <w:tc>
          <w:tcPr>
            <w:tcW w:type="dxa" w:w="2800"/>
          </w:tcPr>
          <w:p>
            <w:r>
              <w:rPr>
                <w:b w:val="false"/>
                <w:bCs w:val="false"/>
                <w:sz w:val="20"/>
                <w:szCs w:val="20"/>
              </w:rPr>
              <w:t xml:space="preserve">DELETE /api/cart/items/{applianceId}</w:t>
            </w:r>
          </w:p>
        </w:tc>
        <w:tc>
          <w:tcPr>
            <w:tcW w:type="dxa" w:w="1800"/>
          </w:tcPr>
          <w:p>
            <w:r>
              <w:rPr>
                <w:b w:val="false"/>
                <w:bCs w:val="false"/>
                <w:sz w:val="20"/>
                <w:szCs w:val="20"/>
              </w:rPr>
              <w:t xml:space="preserve">Client</w:t>
            </w:r>
          </w:p>
        </w:tc>
        <w:tc>
          <w:tcPr>
            <w:tcW w:type="dxa" w:w="4900"/>
          </w:tcPr>
          <w:p>
            <w:r>
              <w:rPr>
                <w:b w:val="false"/>
                <w:bCs w:val="false"/>
                <w:sz w:val="20"/>
                <w:szCs w:val="20"/>
              </w:rPr>
              <w:t xml:space="preserve">Remove an appliance from the cart.</w:t>
            </w:r>
          </w:p>
        </w:tc>
      </w:tr>
    </w:tbl>
    <w:p>
      <w:pPr>
        <w:shd w:fill="F0F0F0" w:val="clear"/>
        <w:spacing w:after="160" w:before="80"/>
      </w:pPr>
      <w:r>
        <w:rPr>
          <w:b/>
          <w:bCs/>
          <w:i/>
          <w:iCs/>
        </w:rPr>
        <w:t xml:space="preserve">Diagram: cart_domain_class_diagram.mermaid</w:t>
      </w:r>
      <w:r>
        <w:rPr>
          <w:i/>
          <w:iCs/>
        </w:rPr>
        <w:t xml:space="preserve"> — Cart/CartRow and CartService, with price resolved via CatalogFacade</w:t>
      </w:r>
    </w:p>
    <w:p>
      <w:pPr>
        <w:pStyle w:val="Heading1"/>
        <w:spacing w:after="150" w:before="320"/>
      </w:pPr>
      <w:r>
        <w:t xml:space="preserve">9. Subdomain: Ordering (checkout orchestration)</w:t>
      </w:r>
    </w:p>
    <w:p>
      <w:pPr>
        <w:spacing w:after="120"/>
      </w:pPr>
      <w:r>
        <w:t xml:space="preserve">Owns Order and OrderRow and the CheckoutService orchestrator that turns a Cart into an immutable Order snapshot (FR-06, FR-19). Also owns the order-approval workflow and the FR-21 feature flag.</w:t>
      </w:r>
    </w:p>
    <w:p>
      <w:pPr>
        <w:pStyle w:val="ListParagraph"/>
        <w:numPr>
          <w:ilvl w:val="0"/>
          <w:numId w:val="1"/>
        </w:numPr>
        <w:spacing w:after="80"/>
      </w:pPr>
      <w:r>
        <w:t xml:space="preserve">OrderConfirmationStrategy is a Strategy-pattern seam: ManualConfirmationStrategy requires an employee action; AutomaticConfirmationStrategy re-checks stock via CatalogFacade and self-approves or leaves the order pending. Which strategy is active is controlled by OrderConfirmationProperties (bound from configuration — see FR-21 / NFR-16).</w:t>
      </w:r>
    </w:p>
    <w:p>
      <w:pPr>
        <w:pStyle w:val="ListParagraph"/>
        <w:numPr>
          <w:ilvl w:val="0"/>
          <w:numId w:val="1"/>
        </w:numPr>
        <w:spacing w:after="80"/>
      </w:pPr>
      <w:r>
        <w:t xml:space="preserve">Publishes: OrderPlacedEvent, OrderApprovedEvent, OrderRejectedEvent — all consumed by the Notification Service.</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POST /api/cart/checkout</w:t>
            </w:r>
          </w:p>
        </w:tc>
        <w:tc>
          <w:tcPr>
            <w:tcW w:type="dxa" w:w="1800"/>
          </w:tcPr>
          <w:p>
            <w:r>
              <w:rPr>
                <w:b w:val="false"/>
                <w:bCs w:val="false"/>
                <w:sz w:val="20"/>
                <w:szCs w:val="20"/>
              </w:rPr>
              <w:t xml:space="preserve">Client</w:t>
            </w:r>
          </w:p>
        </w:tc>
        <w:tc>
          <w:tcPr>
            <w:tcW w:type="dxa" w:w="4900"/>
          </w:tcPr>
          <w:p>
            <w:r>
              <w:rPr>
                <w:b w:val="false"/>
                <w:bCs w:val="false"/>
                <w:sz w:val="20"/>
                <w:szCs w:val="20"/>
              </w:rPr>
              <w:t xml:space="preserve">Runs CheckoutService: validates stock, creates Order/OrderRows/Payment/DeliveryInformation, clears the cart.</w:t>
            </w:r>
          </w:p>
        </w:tc>
      </w:tr>
      <w:tr>
        <w:tc>
          <w:tcPr>
            <w:tcW w:type="dxa" w:w="2800"/>
          </w:tcPr>
          <w:p>
            <w:r>
              <w:rPr>
                <w:b w:val="false"/>
                <w:bCs w:val="false"/>
                <w:sz w:val="20"/>
                <w:szCs w:val="20"/>
              </w:rPr>
              <w:t xml:space="preserve">GET /api/orders</w:t>
            </w:r>
          </w:p>
        </w:tc>
        <w:tc>
          <w:tcPr>
            <w:tcW w:type="dxa" w:w="1800"/>
          </w:tcPr>
          <w:p>
            <w:r>
              <w:rPr>
                <w:b w:val="false"/>
                <w:bCs w:val="false"/>
                <w:sz w:val="20"/>
                <w:szCs w:val="20"/>
              </w:rPr>
              <w:t xml:space="preserve">Client (own) / Employee (per role)</w:t>
            </w:r>
          </w:p>
        </w:tc>
        <w:tc>
          <w:tcPr>
            <w:tcW w:type="dxa" w:w="4900"/>
          </w:tcPr>
          <w:p>
            <w:r>
              <w:rPr>
                <w:b w:val="false"/>
                <w:bCs w:val="false"/>
                <w:sz w:val="20"/>
                <w:szCs w:val="20"/>
              </w:rPr>
              <w:t xml:space="preserve">Paginated, sortable list of orders.</w:t>
            </w:r>
          </w:p>
        </w:tc>
      </w:tr>
      <w:tr>
        <w:tc>
          <w:tcPr>
            <w:tcW w:type="dxa" w:w="2800"/>
          </w:tcPr>
          <w:p>
            <w:r>
              <w:rPr>
                <w:b w:val="false"/>
                <w:bCs w:val="false"/>
                <w:sz w:val="20"/>
                <w:szCs w:val="20"/>
              </w:rPr>
              <w:t xml:space="preserve">GET /api/orders/{id}</w:t>
            </w:r>
          </w:p>
        </w:tc>
        <w:tc>
          <w:tcPr>
            <w:tcW w:type="dxa" w:w="1800"/>
          </w:tcPr>
          <w:p>
            <w:r>
              <w:rPr>
                <w:b w:val="false"/>
                <w:bCs w:val="false"/>
                <w:sz w:val="20"/>
                <w:szCs w:val="20"/>
              </w:rPr>
              <w:t xml:space="preserve">Client (own) / Employee</w:t>
            </w:r>
          </w:p>
        </w:tc>
        <w:tc>
          <w:tcPr>
            <w:tcW w:type="dxa" w:w="4900"/>
          </w:tcPr>
          <w:p>
            <w:r>
              <w:rPr>
                <w:b w:val="false"/>
                <w:bCs w:val="false"/>
                <w:sz w:val="20"/>
                <w:szCs w:val="20"/>
              </w:rPr>
              <w:t xml:space="preserve">Order detail.</w:t>
            </w:r>
          </w:p>
        </w:tc>
      </w:tr>
      <w:tr>
        <w:tc>
          <w:tcPr>
            <w:tcW w:type="dxa" w:w="2800"/>
          </w:tcPr>
          <w:p>
            <w:r>
              <w:rPr>
                <w:b w:val="false"/>
                <w:bCs w:val="false"/>
                <w:sz w:val="20"/>
                <w:szCs w:val="20"/>
              </w:rPr>
              <w:t xml:space="preserve">DELETE /api/orders/{id}</w:t>
            </w:r>
          </w:p>
        </w:tc>
        <w:tc>
          <w:tcPr>
            <w:tcW w:type="dxa" w:w="1800"/>
          </w:tcPr>
          <w:p>
            <w:r>
              <w:rPr>
                <w:b w:val="false"/>
                <w:bCs w:val="false"/>
                <w:sz w:val="20"/>
                <w:szCs w:val="20"/>
              </w:rPr>
              <w:t xml:space="preserve">Client (own, if state allows) / Employee</w:t>
            </w:r>
          </w:p>
        </w:tc>
        <w:tc>
          <w:tcPr>
            <w:tcW w:type="dxa" w:w="4900"/>
          </w:tcPr>
          <w:p>
            <w:r>
              <w:rPr>
                <w:b w:val="false"/>
                <w:bCs w:val="false"/>
                <w:sz w:val="20"/>
                <w:szCs w:val="20"/>
              </w:rPr>
              <w:t xml:space="preserve">Cancel/delete an order.</w:t>
            </w:r>
          </w:p>
        </w:tc>
      </w:tr>
      <w:tr>
        <w:tc>
          <w:tcPr>
            <w:tcW w:type="dxa" w:w="2800"/>
          </w:tcPr>
          <w:p>
            <w:r>
              <w:rPr>
                <w:b w:val="false"/>
                <w:bCs w:val="false"/>
                <w:sz w:val="20"/>
                <w:szCs w:val="20"/>
              </w:rPr>
              <w:t xml:space="preserve">POST /api/orders/{id}/approve</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Manual approval (only meaningful in MANUAL mode).</w:t>
            </w:r>
          </w:p>
        </w:tc>
      </w:tr>
      <w:tr>
        <w:tc>
          <w:tcPr>
            <w:tcW w:type="dxa" w:w="2800"/>
          </w:tcPr>
          <w:p>
            <w:r>
              <w:rPr>
                <w:b w:val="false"/>
                <w:bCs w:val="false"/>
                <w:sz w:val="20"/>
                <w:szCs w:val="20"/>
              </w:rPr>
              <w:t xml:space="preserve">POST /api/orders/{id}/reject</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Reject a pending order.</w:t>
            </w:r>
          </w:p>
        </w:tc>
      </w:tr>
    </w:tbl>
    <w:p>
      <w:pPr>
        <w:shd w:fill="F0F0F0" w:val="clear"/>
        <w:spacing w:after="160" w:before="80"/>
      </w:pPr>
      <w:r>
        <w:rPr>
          <w:b/>
          <w:bCs/>
          <w:i/>
          <w:iCs/>
        </w:rPr>
        <w:t xml:space="preserve">Diagram: ordering_domain_class_diagram.mermaid</w:t>
      </w:r>
      <w:r>
        <w:rPr>
          <w:i/>
          <w:iCs/>
        </w:rPr>
        <w:t xml:space="preserve"> — Order/OrderRow, CheckoutService, and the manual/automatic confirmation strategy</w:t>
      </w:r>
    </w:p>
    <w:p>
      <w:pPr>
        <w:pStyle w:val="Heading1"/>
        <w:spacing w:after="150" w:before="320"/>
      </w:pPr>
      <w:r>
        <w:t xml:space="preserve">10. Subdomain: Payment</w:t>
      </w:r>
    </w:p>
    <w:p>
      <w:pPr>
        <w:spacing w:after="120"/>
      </w:pPr>
      <w:r>
        <w:t xml:space="preserve">Owns Payment records associated with an order (FR-08). Created automatically by CheckoutService via PaymentFacade; not created directly through a public endpoint.</w:t>
      </w:r>
    </w:p>
    <w:p>
      <w:pPr>
        <w:pStyle w:val="ListParagraph"/>
        <w:numPr>
          <w:ilvl w:val="0"/>
          <w:numId w:val="1"/>
        </w:numPr>
        <w:spacing w:after="80"/>
      </w:pPr>
      <w:r>
        <w:t xml:space="preserve">Publishes: PaymentCreatedEvent, PaymentStatusChangedEvent.</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GET /api/orders/{orderId}/payments</w:t>
            </w:r>
          </w:p>
        </w:tc>
        <w:tc>
          <w:tcPr>
            <w:tcW w:type="dxa" w:w="1800"/>
          </w:tcPr>
          <w:p>
            <w:r>
              <w:rPr>
                <w:b w:val="false"/>
                <w:bCs w:val="false"/>
                <w:sz w:val="20"/>
                <w:szCs w:val="20"/>
              </w:rPr>
              <w:t xml:space="preserve">Client (own) / Employee</w:t>
            </w:r>
          </w:p>
        </w:tc>
        <w:tc>
          <w:tcPr>
            <w:tcW w:type="dxa" w:w="4900"/>
          </w:tcPr>
          <w:p>
            <w:r>
              <w:rPr>
                <w:b w:val="false"/>
                <w:bCs w:val="false"/>
                <w:sz w:val="20"/>
                <w:szCs w:val="20"/>
              </w:rPr>
              <w:t xml:space="preserve">List payment records for an order.</w:t>
            </w:r>
          </w:p>
        </w:tc>
      </w:tr>
      <w:tr>
        <w:tc>
          <w:tcPr>
            <w:tcW w:type="dxa" w:w="2800"/>
          </w:tcPr>
          <w:p>
            <w:r>
              <w:rPr>
                <w:b w:val="false"/>
                <w:bCs w:val="false"/>
                <w:sz w:val="20"/>
                <w:szCs w:val="20"/>
              </w:rPr>
              <w:t xml:space="preserve">PATCH /api/payments/{id}/mark-paid</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Mark a payment as paid.</w:t>
            </w:r>
          </w:p>
        </w:tc>
      </w:tr>
    </w:tbl>
    <w:p>
      <w:pPr>
        <w:shd w:fill="F0F0F0" w:val="clear"/>
        <w:spacing w:after="160" w:before="80"/>
      </w:pPr>
      <w:r>
        <w:rPr>
          <w:b/>
          <w:bCs/>
          <w:i/>
          <w:iCs/>
        </w:rPr>
        <w:t xml:space="preserve">Diagram: payment_domain_class_diagram.mermaid</w:t>
      </w:r>
      <w:r>
        <w:rPr>
          <w:i/>
          <w:iCs/>
        </w:rPr>
        <w:t xml:space="preserve"> — Payment entity and PaymentService/PaymentFacade</w:t>
      </w:r>
    </w:p>
    <w:p>
      <w:pPr>
        <w:pStyle w:val="Heading1"/>
        <w:spacing w:after="150" w:before="320"/>
      </w:pPr>
      <w:r>
        <w:t xml:space="preserve">11. Subdomain: Delivery</w:t>
      </w:r>
    </w:p>
    <w:p>
      <w:pPr>
        <w:spacing w:after="120"/>
      </w:pPr>
      <w:r>
        <w:t xml:space="preserve">Owns DeliveryInformation (FR-09). Created automatically by CheckoutService via DeliveryFacade using the delivery details supplied at checkout.</w:t>
      </w:r>
    </w:p>
    <w:p>
      <w:pPr>
        <w:pStyle w:val="ListParagraph"/>
        <w:numPr>
          <w:ilvl w:val="0"/>
          <w:numId w:val="1"/>
        </w:numPr>
        <w:spacing w:after="80"/>
      </w:pPr>
      <w:r>
        <w:t xml:space="preserve">Publishes: DeliveryStatusChangedEvent.</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GET /api/orders/{orderId}/delivery-information</w:t>
            </w:r>
          </w:p>
        </w:tc>
        <w:tc>
          <w:tcPr>
            <w:tcW w:type="dxa" w:w="1800"/>
          </w:tcPr>
          <w:p>
            <w:r>
              <w:rPr>
                <w:b w:val="false"/>
                <w:bCs w:val="false"/>
                <w:sz w:val="20"/>
                <w:szCs w:val="20"/>
              </w:rPr>
              <w:t xml:space="preserve">Client (own) / Employee</w:t>
            </w:r>
          </w:p>
        </w:tc>
        <w:tc>
          <w:tcPr>
            <w:tcW w:type="dxa" w:w="4900"/>
          </w:tcPr>
          <w:p>
            <w:r>
              <w:rPr>
                <w:b w:val="false"/>
                <w:bCs w:val="false"/>
                <w:sz w:val="20"/>
                <w:szCs w:val="20"/>
              </w:rPr>
              <w:t xml:space="preserve">View delivery information for an order.</w:t>
            </w:r>
          </w:p>
        </w:tc>
      </w:tr>
      <w:tr>
        <w:tc>
          <w:tcPr>
            <w:tcW w:type="dxa" w:w="2800"/>
          </w:tcPr>
          <w:p>
            <w:r>
              <w:rPr>
                <w:b w:val="false"/>
                <w:bCs w:val="false"/>
                <w:sz w:val="20"/>
                <w:szCs w:val="20"/>
              </w:rPr>
              <w:t xml:space="preserve">PATCH /api/delivery-information/{id}/status</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Update delivery status.</w:t>
            </w:r>
          </w:p>
        </w:tc>
      </w:tr>
    </w:tbl>
    <w:p>
      <w:pPr>
        <w:shd w:fill="F0F0F0" w:val="clear"/>
        <w:spacing w:after="160" w:before="80"/>
      </w:pPr>
      <w:r>
        <w:rPr>
          <w:b/>
          <w:bCs/>
          <w:i/>
          <w:iCs/>
        </w:rPr>
        <w:t xml:space="preserve">Diagram: delivery_domain_class_diagram.mermaid</w:t>
      </w:r>
      <w:r>
        <w:rPr>
          <w:i/>
          <w:iCs/>
        </w:rPr>
        <w:t xml:space="preserve"> — DeliveryInformation entity and DeliveryService/DeliveryFacade</w:t>
      </w:r>
    </w:p>
    <w:p>
      <w:pPr>
        <w:pStyle w:val="Heading1"/>
        <w:spacing w:after="150" w:before="320"/>
      </w:pPr>
      <w:r>
        <w:t xml:space="preserve">12. Subdomain: Reporting</w:t>
      </w:r>
    </w:p>
    <w:p>
      <w:pPr>
        <w:spacing w:after="120"/>
      </w:pPr>
      <w:r>
        <w:t xml:space="preserve">A read-only subdomain (FR-20) that aggregates data owned by Ordering and Catalog through dedicated reporting repositories (custom/native queries), rather than reusing their transactional repositories, to keep reporting queries independent from write-side performance.</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GET /api/reports/orders</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Order counts/totals over a period, filterable by status.</w:t>
            </w:r>
          </w:p>
        </w:tc>
      </w:tr>
      <w:tr>
        <w:tc>
          <w:tcPr>
            <w:tcW w:type="dxa" w:w="2800"/>
          </w:tcPr>
          <w:p>
            <w:r>
              <w:rPr>
                <w:b w:val="false"/>
                <w:bCs w:val="false"/>
                <w:sz w:val="20"/>
                <w:szCs w:val="20"/>
              </w:rPr>
              <w:t xml:space="preserve">GET /api/reports/stock</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Current stock quantities for all appliances.</w:t>
            </w:r>
          </w:p>
        </w:tc>
      </w:tr>
      <w:tr>
        <w:tc>
          <w:tcPr>
            <w:tcW w:type="dxa" w:w="2800"/>
          </w:tcPr>
          <w:p>
            <w:r>
              <w:rPr>
                <w:b w:val="false"/>
                <w:bCs w:val="false"/>
                <w:sz w:val="20"/>
                <w:szCs w:val="20"/>
              </w:rPr>
              <w:t xml:space="preserve">GET /api/reports/stock/low</w:t>
            </w:r>
          </w:p>
        </w:tc>
        <w:tc>
          <w:tcPr>
            <w:tcW w:type="dxa" w:w="1800"/>
          </w:tcPr>
          <w:p>
            <w:r>
              <w:rPr>
                <w:b w:val="false"/>
                <w:bCs w:val="false"/>
                <w:sz w:val="20"/>
                <w:szCs w:val="20"/>
              </w:rPr>
              <w:t xml:space="preserve">Employee</w:t>
            </w:r>
          </w:p>
        </w:tc>
        <w:tc>
          <w:tcPr>
            <w:tcW w:type="dxa" w:w="4900"/>
          </w:tcPr>
          <w:p>
            <w:r>
              <w:rPr>
                <w:b w:val="false"/>
                <w:bCs w:val="false"/>
                <w:sz w:val="20"/>
                <w:szCs w:val="20"/>
              </w:rPr>
              <w:t xml:space="preserve">Appliances at or below a stock threshold.</w:t>
            </w:r>
          </w:p>
        </w:tc>
      </w:tr>
    </w:tbl>
    <w:p>
      <w:pPr>
        <w:shd w:fill="F0F0F0" w:val="clear"/>
        <w:spacing w:after="160" w:before="80"/>
      </w:pPr>
      <w:r>
        <w:rPr>
          <w:b/>
          <w:bCs/>
          <w:i/>
          <w:iCs/>
        </w:rPr>
        <w:t xml:space="preserve">Diagram: reporting_domain_class_diagram.mermaid</w:t>
      </w:r>
      <w:r>
        <w:rPr>
          <w:i/>
          <w:iCs/>
        </w:rPr>
        <w:t xml:space="preserve"> — ReportingService and its report repositories/DTOs</w:t>
      </w:r>
    </w:p>
    <w:p>
      <w:pPr>
        <w:pStyle w:val="Heading1"/>
        <w:spacing w:after="150" w:before="320"/>
      </w:pPr>
      <w:r>
        <w:t xml:space="preserve">13. Outbox pattern and the unified notification event</w:t>
      </w:r>
    </w:p>
    <w:p>
      <w:pPr>
        <w:spacing w:after="120"/>
      </w:pPr>
      <w:r>
        <w:t xml:space="preserve">This entire mechanism — outbox table, mapping, relay — lives inside the notification-client-spring-boot-starter. It is not a generic shared-kernel facility; its only purpose is getting notification-worthy events out of the database and onto Kafka reliably, as one standardized event shape.</w:t>
      </w:r>
    </w:p>
    <w:p>
      <w:pPr>
        <w:pStyle w:val="Heading2"/>
        <w:spacing w:after="120" w:before="240"/>
      </w:pPr>
      <w:r>
        <w:t xml:space="preserve">13.1. Why the outbox pattern is needed</w:t>
      </w:r>
    </w:p>
    <w:p>
      <w:pPr>
        <w:spacing w:after="120"/>
      </w:pPr>
      <w:r>
        <w:t xml:space="preserve">A business method (e.g. “place an order”) needs to both commit a database change and cause a message to reach Kafka. Doing this as two separate, unrelated operations creates the dual-write problem: the DB commit can succeed while the Kafka publish fails (the event is silently lost), or the Kafka publish can succeed while the surrounding transaction later rolls back (a notification fires for something that never actually happened).</w:t>
      </w:r>
    </w:p>
    <w:p>
      <w:pPr>
        <w:spacing w:after="120"/>
      </w:pPr>
      <w:r>
        <w:t xml:space="preserve">The outbox pattern avoids this without distributed transactions: instead of publishing to Kafka directly, the business method writes one row into an outbox table, in the exact same database transaction as its own change. Because it is one transaction, both writes commit together or neither does. A separate, asynchronous relay process later reads committed outbox rows and publishes them to Kafka, retrying until each publish is acknowledged. The result is at-least-once delivery of every event that was really committed — nothing more, nothing less.</w:t>
      </w:r>
    </w:p>
    <w:p>
      <w:pPr>
        <w:pStyle w:val="Heading2"/>
        <w:spacing w:after="120" w:before="240"/>
      </w:pPr>
      <w:r>
        <w:t xml:space="preserve">13.2. One canonical event, not one outbox row per event type</w:t>
      </w:r>
    </w:p>
    <w:p>
      <w:pPr>
        <w:spacing w:after="120"/>
      </w:pPr>
      <w:r>
        <w:t xml:space="preserve">Previously each subdomain's raw DomainEvent (OrderPlacedEvent, UserRegisteredEvent, ...) was serialized as-is into a free-form payload column. That meant every consumer had to understand every subdomain's private event shape. The starter is reworked so that exactly one canonical record type, NotificationEvent, is ever written to the outbox table and ever published to Kafka — regardless of which subdomain, or what kind of trigger, produced it.</w:t>
      </w:r>
    </w:p>
    <w:p>
      <w:pPr>
        <w:spacing w:after="120"/>
      </w:pPr>
      <w:r>
        <w:t xml:space="preserve">Business subdomains keep their own existing domain events untouched (OrderPlacedEvent, OrderApprovedEvent, OrderRejectedEvent, UserRegisteredEvent, UserActivatedEvent, PaymentStatusChangedEvent, DeliveryStatusChangedEvent). What changes is what happens to them after they are raised: the starter maps every one of them into the single NotificationEvent shape before anything is persisted or published.</w:t>
      </w:r>
    </w:p>
    <w:p>
      <w:pPr>
        <w:shd w:fill="F0F0F0" w:val="clear"/>
        <w:spacing w:after="200"/>
      </w:pPr>
      <w:r>
        <w:rPr>
          <w:rFonts w:ascii="Consolas" w:cs="Consolas" w:eastAsia="Consolas" w:hAnsi="Consolas"/>
          <w:sz w:val="18"/>
          <w:szCs w:val="18"/>
        </w:rPr>
        <w:t xml:space="preserve">NotificationEvent {</w:t>
      </w:r>
      <w:r>
        <w:br/>
        <w:t xml:space="preserve"/>
      </w:r>
      <w:r>
        <w:rPr>
          <w:rFonts w:ascii="Consolas" w:cs="Consolas" w:eastAsia="Consolas" w:hAnsi="Consolas"/>
          <w:sz w:val="18"/>
          <w:szCs w:val="18"/>
        </w:rPr>
        <w:t xml:space="preserve">  eventId:        UUID</w:t>
      </w:r>
      <w:r>
        <w:br/>
        <w:t xml:space="preserve"/>
      </w:r>
      <w:r>
        <w:rPr>
          <w:rFonts w:ascii="Consolas" w:cs="Consolas" w:eastAsia="Consolas" w:hAnsi="Consolas"/>
          <w:sz w:val="18"/>
          <w:szCs w:val="18"/>
        </w:rPr>
        <w:t xml:space="preserve">  eventType:      NotificationEventType   // ORDER_PLACED, USER_REGISTERED, MANUAL, ...</w:t>
      </w:r>
      <w:r>
        <w:br/>
        <w:t xml:space="preserve"/>
      </w:r>
      <w:r>
        <w:rPr>
          <w:rFonts w:ascii="Consolas" w:cs="Consolas" w:eastAsia="Consolas" w:hAnsi="Consolas"/>
          <w:sz w:val="18"/>
          <w:szCs w:val="18"/>
        </w:rPr>
        <w:t xml:space="preserve">  occurredAt:     Instant</w:t>
      </w:r>
      <w:r>
        <w:br/>
        <w:t xml:space="preserve"/>
      </w:r>
      <w:r>
        <w:rPr>
          <w:rFonts w:ascii="Consolas" w:cs="Consolas" w:eastAsia="Consolas" w:hAnsi="Consolas"/>
          <w:sz w:val="18"/>
          <w:szCs w:val="18"/>
        </w:rPr>
        <w:t xml:space="preserve">  aggregateType:  String                  // "Order", "User", "Payment", ...</w:t>
      </w:r>
      <w:r>
        <w:br/>
        <w:t xml:space="preserve"/>
      </w:r>
      <w:r>
        <w:rPr>
          <w:rFonts w:ascii="Consolas" w:cs="Consolas" w:eastAsia="Consolas" w:hAnsi="Consolas"/>
          <w:sz w:val="18"/>
          <w:szCs w:val="18"/>
        </w:rPr>
        <w:t xml:space="preserve">  aggregateId:    String</w:t>
      </w:r>
      <w:r>
        <w:br/>
        <w:t xml:space="preserve"/>
      </w:r>
      <w:r>
        <w:rPr>
          <w:rFonts w:ascii="Consolas" w:cs="Consolas" w:eastAsia="Consolas" w:hAnsi="Consolas"/>
          <w:sz w:val="18"/>
          <w:szCs w:val="18"/>
        </w:rPr>
        <w:t xml:space="preserve">  recipientId:    Long                    // who should be notified</w:t>
      </w:r>
      <w:r>
        <w:br/>
        <w:t xml:space="preserve"/>
      </w:r>
      <w:r>
        <w:rPr>
          <w:rFonts w:ascii="Consolas" w:cs="Consolas" w:eastAsia="Consolas" w:hAnsi="Consolas"/>
          <w:sz w:val="18"/>
          <w:szCs w:val="18"/>
        </w:rPr>
        <w:t xml:space="preserve">  recipientType:  String                  // "CLIENT" | "EMPLOYEE"</w:t>
      </w:r>
      <w:r>
        <w:br/>
        <w:t xml:space="preserve"/>
      </w:r>
      <w:r>
        <w:rPr>
          <w:rFonts w:ascii="Consolas" w:cs="Consolas" w:eastAsia="Consolas" w:hAnsi="Consolas"/>
          <w:sz w:val="18"/>
          <w:szCs w:val="18"/>
        </w:rPr>
        <w:t xml:space="preserve">  locale:         String                  // optional, for FR-10</w:t>
      </w:r>
      <w:r>
        <w:br/>
        <w:t xml:space="preserve"/>
      </w:r>
      <w:r>
        <w:rPr>
          <w:rFonts w:ascii="Consolas" w:cs="Consolas" w:eastAsia="Consolas" w:hAnsi="Consolas"/>
          <w:sz w:val="18"/>
          <w:szCs w:val="18"/>
        </w:rPr>
        <w:t xml:space="preserve">  templateData:   Map&lt;String, Object&gt;     // normalized key/value data for rendering</w:t>
      </w:r>
      <w:r>
        <w:br/>
        <w:t xml:space="preserve"/>
      </w:r>
      <w:r>
        <w:rPr>
          <w:rFonts w:ascii="Consolas" w:cs="Consolas" w:eastAsia="Consolas" w:hAnsi="Consolas"/>
          <w:sz w:val="18"/>
          <w:szCs w:val="18"/>
        </w:rPr>
        <w:t xml:space="preserve">}</w:t>
      </w:r>
    </w:p>
    <w:p>
      <w:pPr>
        <w:spacing w:after="120"/>
      </w:pPr>
      <w:r>
        <w:t xml:space="preserve">This NotificationEvent type (plus a NotificationEventType enum) lives in a tiny shared library, notification-event-contract, with no Spring dependency, referenced by both the starter (producer side, inside the main backend) and the Notification Service (consumer side). Because both sides depend on the same contract artifact, there is exactly one schema in the whole system — not one per event source.</w:t>
      </w:r>
    </w:p>
    <w:p>
      <w:pPr>
        <w:pStyle w:val="Heading2"/>
        <w:spacing w:after="120" w:before="240"/>
      </w:pPr>
      <w:r>
        <w:t xml:space="preserve">13.3. Two ways an event reaches the outbox</w:t>
      </w:r>
    </w:p>
    <w:p>
      <w:pPr>
        <w:pStyle w:val="ListParagraph"/>
        <w:numPr>
          <w:ilvl w:val="0"/>
          <w:numId w:val="1"/>
        </w:numPr>
        <w:spacing w:after="80"/>
      </w:pPr>
      <w:r>
        <w:t xml:space="preserve">Domain events (automatic mapping): a subdomain calls domainEventPublisher.publish(orderPlacedEvent) exactly as before — no call-site changes. Internally, NotificationOutboxPublisher looks up the NotificationEventMapper&lt;OrderPlacedEvent&gt; bean registered for that event's class (via NotificationEventMapperRegistry), which converts it to a NotificationEvent (resolving the recipient and building templateData), and only that canonical record is saved. Each subdomain owns its own mapper bean (e.g. OrderPlacedEventMapper lives in ordering/infrastructure/notification), so the starter never needs to know what an Order is.</w:t>
      </w:r>
    </w:p>
    <w:p>
      <w:pPr>
        <w:pStyle w:val="ListParagraph"/>
        <w:numPr>
          <w:ilvl w:val="0"/>
          <w:numId w:val="1"/>
        </w:numPr>
        <w:spacing w:after="80"/>
      </w:pPr>
      <w:r>
        <w:t xml:space="preserve">Direct / manual enqueue (user actions and ad-hoc cases): for notifications that are not modeled as a domain event at all — an employee manually resending a notice, a scheduled reminder, a support action — calling code uses NotificationOutboxService.enqueue(...) and builds the NotificationEvent itself. No mapper is involved because the caller already produces the canonical shape directly.</w:t>
      </w:r>
    </w:p>
    <w:p>
      <w:pPr>
        <w:spacing w:after="120"/>
      </w:pPr>
      <w:r>
        <w:t xml:space="preserve">Both paths write to the exact same notification_outbox table and therefore feed the exact same Kafka topic and schema — the OutboxRelay and the Notification Service never distinguish between the two; they only ever see NotificationEvent.</w:t>
      </w:r>
    </w:p>
    <w:p>
      <w:pPr>
        <w:shd w:fill="F0F0F0" w:val="clear"/>
        <w:spacing w:after="160" w:before="80"/>
      </w:pPr>
      <w:r>
        <w:rPr>
          <w:b/>
          <w:bCs/>
          <w:i/>
          <w:iCs/>
        </w:rPr>
        <w:t xml:space="preserve">Diagram: outbox_pattern_class_diagram.mermaid</w:t>
      </w:r>
      <w:r>
        <w:rPr>
          <w:i/>
          <w:iCs/>
        </w:rPr>
        <w:t xml:space="preserve"> — DomainEvent → NotificationEventMapper → NotificationOutbox → OutboxRelay → Kafka, plus the direct NotificationOutboxService path</w:t>
      </w:r>
    </w:p>
    <w:p>
      <w:pPr>
        <w:pStyle w:val="Heading2"/>
        <w:spacing w:after="120" w:before="240"/>
      </w:pPr>
      <w:r>
        <w:t xml:space="preserve">13.4. Kafka topic and delivery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2F5496" w:val="clear"/>
          </w:tcPr>
          <w:p>
            <w:r>
              <w:rPr>
                <w:b/>
                <w:bCs/>
                <w:color w:val="FFFFFF"/>
                <w:sz w:val="20"/>
                <w:szCs w:val="20"/>
              </w:rPr>
              <w:t xml:space="preserve">Topic</w:t>
            </w:r>
          </w:p>
        </w:tc>
        <w:tc>
          <w:tcPr>
            <w:tcW w:type="dxa" w:w="6000"/>
            <w:shd w:fill="2F5496" w:val="clear"/>
          </w:tcPr>
          <w:p>
            <w:r>
              <w:rPr>
                <w:b/>
                <w:bCs/>
                <w:color w:val="FFFFFF"/>
                <w:sz w:val="20"/>
                <w:szCs w:val="20"/>
              </w:rPr>
              <w:t xml:space="preserve">Purpose</w:t>
            </w:r>
          </w:p>
        </w:tc>
      </w:tr>
      <w:tr>
        <w:tc>
          <w:tcPr>
            <w:tcW w:type="dxa" w:w="3500"/>
          </w:tcPr>
          <w:p>
            <w:r>
              <w:rPr>
                <w:b w:val="false"/>
                <w:bCs w:val="false"/>
                <w:sz w:val="20"/>
                <w:szCs w:val="20"/>
              </w:rPr>
              <w:t xml:space="preserve">notification-events</w:t>
            </w:r>
          </w:p>
        </w:tc>
        <w:tc>
          <w:tcPr>
            <w:tcW w:type="dxa" w:w="6000"/>
          </w:tcPr>
          <w:p>
            <w:r>
              <w:rPr>
                <w:b w:val="false"/>
                <w:bCs w:val="false"/>
                <w:sz w:val="20"/>
                <w:szCs w:val="20"/>
              </w:rPr>
              <w:t xml:space="preserve">Every NotificationEvent, regardless of source, published by the OutboxRelay.</w:t>
            </w:r>
          </w:p>
        </w:tc>
      </w:tr>
      <w:tr>
        <w:tc>
          <w:tcPr>
            <w:tcW w:type="dxa" w:w="3500"/>
          </w:tcPr>
          <w:p>
            <w:r>
              <w:rPr>
                <w:b w:val="false"/>
                <w:bCs w:val="false"/>
                <w:sz w:val="20"/>
                <w:szCs w:val="20"/>
              </w:rPr>
              <w:t xml:space="preserve">notification-events-dlq</w:t>
            </w:r>
          </w:p>
        </w:tc>
        <w:tc>
          <w:tcPr>
            <w:tcW w:type="dxa" w:w="6000"/>
          </w:tcPr>
          <w:p>
            <w:r>
              <w:rPr>
                <w:b w:val="false"/>
                <w:bCs w:val="false"/>
                <w:sz w:val="20"/>
                <w:szCs w:val="20"/>
              </w:rPr>
              <w:t xml:space="preserve">Dead-letter topic for messages the Notification Service failed to process after retries.</w:t>
            </w:r>
          </w:p>
        </w:tc>
      </w:tr>
    </w:tbl>
    <w:p>
      <w:pPr>
        <w:spacing w:after="120"/>
      </w:pPr>
      <w:r>
        <w:t xml:space="preserve">OutboxRelay polls PENDING rows in small batches, publishes each as a NotificationEvent message through KafkaEventProducer, and marks the row PUBLISHED only after a Kafka acknowledgment. Failed attempts are left PENDING/FAILED and retried on the next poll, giving at-least-once delivery.</w:t>
      </w:r>
    </w:p>
    <w:p>
      <w:pPr>
        <w:pStyle w:val="Heading1"/>
        <w:spacing w:after="150" w:before="320"/>
      </w:pPr>
      <w:r>
        <w:t xml:space="preserve">14. Notification Service (separate microservice)</w:t>
      </w:r>
    </w:p>
    <w:p>
      <w:pPr>
        <w:spacing w:after="120"/>
      </w:pPr>
      <w:r>
        <w:t xml:space="preserve">The Notification Service is an independently deployable Spring Boot application (NFR-18: independently scalable). It has no synchronous REST dependency on the main backend; its only input is the Kafka topic notification-events, and it only ever deserializes one schema: the shared NotificationEvent from notification-event-contract.</w:t>
      </w:r>
    </w:p>
    <w:p>
      <w:pPr>
        <w:pStyle w:val="ListParagraph"/>
        <w:numPr>
          <w:ilvl w:val="0"/>
          <w:numId w:val="1"/>
        </w:numPr>
        <w:spacing w:after="80"/>
      </w:pPr>
      <w:r>
        <w:t xml:space="preserve">NotificationEventListener consumes NotificationEvent messages and hands them to NotificationDispatchService — it does not need per-event-type parsing, since the schema is already unified.</w:t>
      </w:r>
    </w:p>
    <w:p>
      <w:pPr>
        <w:pStyle w:val="ListParagraph"/>
        <w:numPr>
          <w:ilvl w:val="0"/>
          <w:numId w:val="1"/>
        </w:numPr>
        <w:spacing w:after="80"/>
      </w:pPr>
      <w:r>
        <w:t xml:space="preserve">TemplateResolver looks up a NotificationTemplate by eventType and locale (FR-10) and renders subject/body using the event's templateData map.</w:t>
      </w:r>
    </w:p>
    <w:p>
      <w:pPr>
        <w:pStyle w:val="ListParagraph"/>
        <w:numPr>
          <w:ilvl w:val="0"/>
          <w:numId w:val="1"/>
        </w:numPr>
        <w:spacing w:after="80"/>
      </w:pPr>
      <w:r>
        <w:t xml:space="preserve">NotificationSenderFactory picks the NotificationSender (Email/SMS/Push) implementation for the recipient's preferred channel; each Notification record is persisted with its delivery status.</w:t>
      </w:r>
    </w:p>
    <w:p>
      <w:pPr>
        <w:pStyle w:val="ListParagraph"/>
        <w:numPr>
          <w:ilvl w:val="0"/>
          <w:numId w:val="1"/>
        </w:numPr>
        <w:spacing w:after="80"/>
      </w:pPr>
      <w:r>
        <w:t xml:space="preserve">NotificationRetryService periodically retries FAILED notifications; messages that repeatedly fail to be consumed are routed to notification-events-dlq for manual inspection.</w:t>
      </w:r>
    </w:p>
    <w:p>
      <w:pPr>
        <w:pStyle w:val="Heading3"/>
        <w:spacing w:after="90" w:before="180"/>
      </w:pPr>
      <w:r>
        <w:t xml:space="preserve">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shd w:fill="2F5496" w:val="clear"/>
          </w:tcPr>
          <w:p>
            <w:r>
              <w:rPr>
                <w:b/>
                <w:bCs/>
                <w:color w:val="FFFFFF"/>
                <w:sz w:val="20"/>
                <w:szCs w:val="20"/>
              </w:rPr>
              <w:t xml:space="preserve">Method &amp; path</w:t>
            </w:r>
          </w:p>
        </w:tc>
        <w:tc>
          <w:tcPr>
            <w:tcW w:type="dxa" w:w="1800"/>
            <w:shd w:fill="2F5496" w:val="clear"/>
          </w:tcPr>
          <w:p>
            <w:r>
              <w:rPr>
                <w:b/>
                <w:bCs/>
                <w:color w:val="FFFFFF"/>
                <w:sz w:val="20"/>
                <w:szCs w:val="20"/>
              </w:rPr>
              <w:t xml:space="preserve">Access</w:t>
            </w:r>
          </w:p>
        </w:tc>
        <w:tc>
          <w:tcPr>
            <w:tcW w:type="dxa" w:w="4900"/>
            <w:shd w:fill="2F5496" w:val="clear"/>
          </w:tcPr>
          <w:p>
            <w:r>
              <w:rPr>
                <w:b/>
                <w:bCs/>
                <w:color w:val="FFFFFF"/>
                <w:sz w:val="20"/>
                <w:szCs w:val="20"/>
              </w:rPr>
              <w:t xml:space="preserve">Description</w:t>
            </w:r>
          </w:p>
        </w:tc>
      </w:tr>
      <w:tr>
        <w:tc>
          <w:tcPr>
            <w:tcW w:type="dxa" w:w="2800"/>
          </w:tcPr>
          <w:p>
            <w:r>
              <w:rPr>
                <w:b w:val="false"/>
                <w:bCs w:val="false"/>
                <w:sz w:val="20"/>
                <w:szCs w:val="20"/>
              </w:rPr>
              <w:t xml:space="preserve">GET /api/notifications</w:t>
            </w:r>
          </w:p>
        </w:tc>
        <w:tc>
          <w:tcPr>
            <w:tcW w:type="dxa" w:w="1800"/>
          </w:tcPr>
          <w:p>
            <w:r>
              <w:rPr>
                <w:b w:val="false"/>
                <w:bCs w:val="false"/>
                <w:sz w:val="20"/>
                <w:szCs w:val="20"/>
              </w:rPr>
              <w:t xml:space="preserve">Employee/Admin</w:t>
            </w:r>
          </w:p>
        </w:tc>
        <w:tc>
          <w:tcPr>
            <w:tcW w:type="dxa" w:w="4900"/>
          </w:tcPr>
          <w:p>
            <w:r>
              <w:rPr>
                <w:b w:val="false"/>
                <w:bCs w:val="false"/>
                <w:sz w:val="20"/>
                <w:szCs w:val="20"/>
              </w:rPr>
              <w:t xml:space="preserve">Paginated notification history, filterable by recipient and status.</w:t>
            </w:r>
          </w:p>
        </w:tc>
      </w:tr>
      <w:tr>
        <w:tc>
          <w:tcPr>
            <w:tcW w:type="dxa" w:w="2800"/>
          </w:tcPr>
          <w:p>
            <w:r>
              <w:rPr>
                <w:b w:val="false"/>
                <w:bCs w:val="false"/>
                <w:sz w:val="20"/>
                <w:szCs w:val="20"/>
              </w:rPr>
              <w:t xml:space="preserve">GET /api/notifications/{id}</w:t>
            </w:r>
          </w:p>
        </w:tc>
        <w:tc>
          <w:tcPr>
            <w:tcW w:type="dxa" w:w="1800"/>
          </w:tcPr>
          <w:p>
            <w:r>
              <w:rPr>
                <w:b w:val="false"/>
                <w:bCs w:val="false"/>
                <w:sz w:val="20"/>
                <w:szCs w:val="20"/>
              </w:rPr>
              <w:t xml:space="preserve">Employee/Admin</w:t>
            </w:r>
          </w:p>
        </w:tc>
        <w:tc>
          <w:tcPr>
            <w:tcW w:type="dxa" w:w="4900"/>
          </w:tcPr>
          <w:p>
            <w:r>
              <w:rPr>
                <w:b w:val="false"/>
                <w:bCs w:val="false"/>
                <w:sz w:val="20"/>
                <w:szCs w:val="20"/>
              </w:rPr>
              <w:t xml:space="preserve">Notification detail.</w:t>
            </w:r>
          </w:p>
        </w:tc>
      </w:tr>
      <w:tr>
        <w:tc>
          <w:tcPr>
            <w:tcW w:type="dxa" w:w="2800"/>
          </w:tcPr>
          <w:p>
            <w:r>
              <w:rPr>
                <w:b w:val="false"/>
                <w:bCs w:val="false"/>
                <w:sz w:val="20"/>
                <w:szCs w:val="20"/>
              </w:rPr>
              <w:t xml:space="preserve">POST /api/notifications/{id}/resend</w:t>
            </w:r>
          </w:p>
        </w:tc>
        <w:tc>
          <w:tcPr>
            <w:tcW w:type="dxa" w:w="1800"/>
          </w:tcPr>
          <w:p>
            <w:r>
              <w:rPr>
                <w:b w:val="false"/>
                <w:bCs w:val="false"/>
                <w:sz w:val="20"/>
                <w:szCs w:val="20"/>
              </w:rPr>
              <w:t xml:space="preserve">Employee/Admin</w:t>
            </w:r>
          </w:p>
        </w:tc>
        <w:tc>
          <w:tcPr>
            <w:tcW w:type="dxa" w:w="4900"/>
          </w:tcPr>
          <w:p>
            <w:r>
              <w:rPr>
                <w:b w:val="false"/>
                <w:bCs w:val="false"/>
                <w:sz w:val="20"/>
                <w:szCs w:val="20"/>
              </w:rPr>
              <w:t xml:space="preserve">Re-attempt a FAILED notification.</w:t>
            </w:r>
          </w:p>
        </w:tc>
      </w:tr>
      <w:tr>
        <w:tc>
          <w:tcPr>
            <w:tcW w:type="dxa" w:w="2800"/>
          </w:tcPr>
          <w:p>
            <w:r>
              <w:rPr>
                <w:b w:val="false"/>
                <w:bCs w:val="false"/>
                <w:sz w:val="20"/>
                <w:szCs w:val="20"/>
              </w:rPr>
              <w:t xml:space="preserve">GET/POST/PUT/DELETE /api/notification-templates/{id}</w:t>
            </w:r>
          </w:p>
        </w:tc>
        <w:tc>
          <w:tcPr>
            <w:tcW w:type="dxa" w:w="1800"/>
          </w:tcPr>
          <w:p>
            <w:r>
              <w:rPr>
                <w:b w:val="false"/>
                <w:bCs w:val="false"/>
                <w:sz w:val="20"/>
                <w:szCs w:val="20"/>
              </w:rPr>
              <w:t xml:space="preserve">Admin</w:t>
            </w:r>
          </w:p>
        </w:tc>
        <w:tc>
          <w:tcPr>
            <w:tcW w:type="dxa" w:w="4900"/>
          </w:tcPr>
          <w:p>
            <w:r>
              <w:rPr>
                <w:b w:val="false"/>
                <w:bCs w:val="false"/>
                <w:sz w:val="20"/>
                <w:szCs w:val="20"/>
              </w:rPr>
              <w:t xml:space="preserve">Manage per-event, per-locale templates.</w:t>
            </w:r>
          </w:p>
        </w:tc>
      </w:tr>
      <w:tr>
        <w:tc>
          <w:tcPr>
            <w:tcW w:type="dxa" w:w="2800"/>
          </w:tcPr>
          <w:p>
            <w:r>
              <w:rPr>
                <w:b w:val="false"/>
                <w:bCs w:val="false"/>
                <w:sz w:val="20"/>
                <w:szCs w:val="20"/>
              </w:rPr>
              <w:t xml:space="preserve">GET /actuator/health</w:t>
            </w:r>
          </w:p>
        </w:tc>
        <w:tc>
          <w:tcPr>
            <w:tcW w:type="dxa" w:w="1800"/>
          </w:tcPr>
          <w:p>
            <w:r>
              <w:rPr>
                <w:b w:val="false"/>
                <w:bCs w:val="false"/>
                <w:sz w:val="20"/>
                <w:szCs w:val="20"/>
              </w:rPr>
              <w:t xml:space="preserve">Restricted (NFR-19)</w:t>
            </w:r>
          </w:p>
        </w:tc>
        <w:tc>
          <w:tcPr>
            <w:tcW w:type="dxa" w:w="4900"/>
          </w:tcPr>
          <w:p>
            <w:r>
              <w:rPr>
                <w:b w:val="false"/>
                <w:bCs w:val="false"/>
                <w:sz w:val="20"/>
                <w:szCs w:val="20"/>
              </w:rPr>
              <w:t xml:space="preserve">Liveness/readiness for orchestration.</w:t>
            </w:r>
          </w:p>
        </w:tc>
      </w:tr>
    </w:tbl>
    <w:p>
      <w:pPr>
        <w:shd w:fill="F0F0F0" w:val="clear"/>
        <w:spacing w:after="160" w:before="80"/>
      </w:pPr>
      <w:r>
        <w:rPr>
          <w:b/>
          <w:bCs/>
          <w:i/>
          <w:iCs/>
        </w:rPr>
        <w:t xml:space="preserve">Diagram: notification_service_class_diagram.mermaid</w:t>
      </w:r>
      <w:r>
        <w:rPr>
          <w:i/>
          <w:iCs/>
        </w:rPr>
        <w:t xml:space="preserve"> — NotificationEventListener, dispatch, templates, and the Email/SMS/Push sender strategy</w:t>
      </w:r>
    </w:p>
    <w:p>
      <w:pPr>
        <w:pStyle w:val="Heading1"/>
        <w:spacing w:after="150" w:before="320"/>
      </w:pPr>
      <w:r>
        <w:t xml:space="preserve">15. Custom notification-client Spring Boot starter</w:t>
      </w:r>
    </w:p>
    <w:p>
      <w:pPr>
        <w:spacing w:after="120"/>
      </w:pPr>
      <w:r>
        <w:t xml:space="preserve">The starter is what implements everything in section 13. It is added as a dependency of the main backend only (the Notification Service is a consumer, not a producer, and does not need it). It depends on notification-event-contract for the NotificationEvent/NotificationEventType types, so the schema it writes to the outbox is identical to the schema the Notification Service reads from Kafka.</w:t>
      </w:r>
    </w:p>
    <w:p>
      <w:pPr>
        <w:pStyle w:val="ListParagraph"/>
        <w:numPr>
          <w:ilvl w:val="0"/>
          <w:numId w:val="1"/>
        </w:numPr>
        <w:spacing w:after="80"/>
      </w:pPr>
      <w:r>
        <w:t xml:space="preserve">NotificationClientAutoConfiguration registers, via Spring Boot's auto-configuration mechanism: NotificationEventMapperRegistry (auto-collecting all NotificationEventMapper&lt;?&gt; beans found in the application context), NotificationOutboxPublisher as the DomainEventPublisher implementation, NotificationOutboxService for direct/manual enqueue, NotificationOutboxRepository (JPA), KafkaEventProducer, and OutboxRelayScheduler.</w:t>
      </w:r>
    </w:p>
    <w:p>
      <w:pPr>
        <w:pStyle w:val="ListParagraph"/>
        <w:numPr>
          <w:ilvl w:val="0"/>
          <w:numId w:val="1"/>
        </w:numPr>
        <w:spacing w:after="80"/>
      </w:pPr>
      <w:r>
        <w:t xml:space="preserve">NotificationClientProperties (@ConfigurationProperties(prefix = "notification.client")) externalizes topic name, DLQ topic name, outbox poll interval and batch size (NFR-16).</w:t>
      </w:r>
    </w:p>
    <w:p>
      <w:pPr>
        <w:pStyle w:val="ListParagraph"/>
        <w:numPr>
          <w:ilvl w:val="0"/>
          <w:numId w:val="1"/>
        </w:numPr>
        <w:spacing w:after="80"/>
      </w:pPr>
      <w:r>
        <w:t xml:space="preserve">Auto-configuration is opt-out via notification.client.enabled=false, and every bean uses @ConditionalOnMissingBean so the backend can override any part of the wiring.</w:t>
      </w:r>
    </w:p>
    <w:p>
      <w:pPr>
        <w:pStyle w:val="ListParagraph"/>
        <w:numPr>
          <w:ilvl w:val="0"/>
          <w:numId w:val="1"/>
        </w:numPr>
        <w:spacing w:after="80"/>
      </w:pPr>
      <w:r>
        <w:t xml:space="preserve">Registration uses the standard org.springframework.boot.autoconfigure.AutoConfiguration.imports file, so simply adding the dependency (plus the business subdomains' own mapper beans) is enough — no manual @Import is required.</w:t>
      </w:r>
    </w:p>
    <w:p>
      <w:pPr>
        <w:pStyle w:val="ListParagraph"/>
        <w:numPr>
          <w:ilvl w:val="0"/>
          <w:numId w:val="1"/>
        </w:numPr>
        <w:spacing w:after="80"/>
      </w:pPr>
      <w:r>
        <w:t xml:space="preserve">The starter itself defines no mapper implementations — only the NotificationEventMapper&lt;T&gt; interface and the registry. Mapping logic for a specific event (e.g. how to turn an OrderPlacedEvent into a NotificationEvent) is business knowledge and stays with the owning subdomain.</w:t>
      </w:r>
    </w:p>
    <w:p>
      <w:pPr>
        <w:pStyle w:val="Heading3"/>
        <w:spacing w:after="90" w:before="180"/>
      </w:pPr>
      <w:r>
        <w:t xml:space="preserve">Configuration properties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300"/>
      </w:tblGrid>
      <w:tr>
        <w:trPr>
          <w:tblHeader/>
        </w:trPr>
        <w:tc>
          <w:tcPr>
            <w:tcW w:type="dxa" w:w="3400"/>
            <w:shd w:fill="2F5496" w:val="clear"/>
          </w:tcPr>
          <w:p>
            <w:r>
              <w:rPr>
                <w:b/>
                <w:bCs/>
                <w:color w:val="FFFFFF"/>
                <w:sz w:val="20"/>
                <w:szCs w:val="20"/>
              </w:rPr>
              <w:t xml:space="preserve">Property</w:t>
            </w:r>
          </w:p>
        </w:tc>
        <w:tc>
          <w:tcPr>
            <w:tcW w:type="dxa" w:w="1800"/>
            <w:shd w:fill="2F5496" w:val="clear"/>
          </w:tcPr>
          <w:p>
            <w:r>
              <w:rPr>
                <w:b/>
                <w:bCs/>
                <w:color w:val="FFFFFF"/>
                <w:sz w:val="20"/>
                <w:szCs w:val="20"/>
              </w:rPr>
              <w:t xml:space="preserve">Default</w:t>
            </w:r>
          </w:p>
        </w:tc>
        <w:tc>
          <w:tcPr>
            <w:tcW w:type="dxa" w:w="4300"/>
            <w:shd w:fill="2F5496" w:val="clear"/>
          </w:tcPr>
          <w:p>
            <w:r>
              <w:rPr>
                <w:b/>
                <w:bCs/>
                <w:color w:val="FFFFFF"/>
                <w:sz w:val="20"/>
                <w:szCs w:val="20"/>
              </w:rPr>
              <w:t xml:space="preserve">Meaning</w:t>
            </w:r>
          </w:p>
        </w:tc>
      </w:tr>
      <w:tr>
        <w:tc>
          <w:tcPr>
            <w:tcW w:type="dxa" w:w="3400"/>
          </w:tcPr>
          <w:p>
            <w:r>
              <w:rPr>
                <w:b w:val="false"/>
                <w:bCs w:val="false"/>
                <w:sz w:val="20"/>
                <w:szCs w:val="20"/>
              </w:rPr>
              <w:t xml:space="preserve">notification.client.enabled</w:t>
            </w:r>
          </w:p>
        </w:tc>
        <w:tc>
          <w:tcPr>
            <w:tcW w:type="dxa" w:w="1800"/>
          </w:tcPr>
          <w:p>
            <w:r>
              <w:rPr>
                <w:b w:val="false"/>
                <w:bCs w:val="false"/>
                <w:sz w:val="20"/>
                <w:szCs w:val="20"/>
              </w:rPr>
              <w:t xml:space="preserve">true</w:t>
            </w:r>
          </w:p>
        </w:tc>
        <w:tc>
          <w:tcPr>
            <w:tcW w:type="dxa" w:w="4300"/>
          </w:tcPr>
          <w:p>
            <w:r>
              <w:rPr>
                <w:b w:val="false"/>
                <w:bCs w:val="false"/>
                <w:sz w:val="20"/>
                <w:szCs w:val="20"/>
              </w:rPr>
              <w:t xml:space="preserve">Turns the starter's auto-configuration on/off.</w:t>
            </w:r>
          </w:p>
        </w:tc>
      </w:tr>
      <w:tr>
        <w:tc>
          <w:tcPr>
            <w:tcW w:type="dxa" w:w="3400"/>
          </w:tcPr>
          <w:p>
            <w:r>
              <w:rPr>
                <w:b w:val="false"/>
                <w:bCs w:val="false"/>
                <w:sz w:val="20"/>
                <w:szCs w:val="20"/>
              </w:rPr>
              <w:t xml:space="preserve">notification.client.kafka-topic</w:t>
            </w:r>
          </w:p>
        </w:tc>
        <w:tc>
          <w:tcPr>
            <w:tcW w:type="dxa" w:w="1800"/>
          </w:tcPr>
          <w:p>
            <w:r>
              <w:rPr>
                <w:b w:val="false"/>
                <w:bCs w:val="false"/>
                <w:sz w:val="20"/>
                <w:szCs w:val="20"/>
              </w:rPr>
              <w:t xml:space="preserve">notification-events</w:t>
            </w:r>
          </w:p>
        </w:tc>
        <w:tc>
          <w:tcPr>
            <w:tcW w:type="dxa" w:w="4300"/>
          </w:tcPr>
          <w:p>
            <w:r>
              <w:rPr>
                <w:b w:val="false"/>
                <w:bCs w:val="false"/>
                <w:sz w:val="20"/>
                <w:szCs w:val="20"/>
              </w:rPr>
              <w:t xml:space="preserve">The single topic the OutboxRelay publishes every NotificationEvent to.</w:t>
            </w:r>
          </w:p>
        </w:tc>
      </w:tr>
      <w:tr>
        <w:tc>
          <w:tcPr>
            <w:tcW w:type="dxa" w:w="3400"/>
          </w:tcPr>
          <w:p>
            <w:r>
              <w:rPr>
                <w:b w:val="false"/>
                <w:bCs w:val="false"/>
                <w:sz w:val="20"/>
                <w:szCs w:val="20"/>
              </w:rPr>
              <w:t xml:space="preserve">notification.client.kafka-dlq-topic</w:t>
            </w:r>
          </w:p>
        </w:tc>
        <w:tc>
          <w:tcPr>
            <w:tcW w:type="dxa" w:w="1800"/>
          </w:tcPr>
          <w:p>
            <w:r>
              <w:rPr>
                <w:b w:val="false"/>
                <w:bCs w:val="false"/>
                <w:sz w:val="20"/>
                <w:szCs w:val="20"/>
              </w:rPr>
              <w:t xml:space="preserve">notification-events-dlq</w:t>
            </w:r>
          </w:p>
        </w:tc>
        <w:tc>
          <w:tcPr>
            <w:tcW w:type="dxa" w:w="4300"/>
          </w:tcPr>
          <w:p>
            <w:r>
              <w:rPr>
                <w:b w:val="false"/>
                <w:bCs w:val="false"/>
                <w:sz w:val="20"/>
                <w:szCs w:val="20"/>
              </w:rPr>
              <w:t xml:space="preserve">Dead-letter topic (used on the consumer side).</w:t>
            </w:r>
          </w:p>
        </w:tc>
      </w:tr>
      <w:tr>
        <w:tc>
          <w:tcPr>
            <w:tcW w:type="dxa" w:w="3400"/>
          </w:tcPr>
          <w:p>
            <w:r>
              <w:rPr>
                <w:b w:val="false"/>
                <w:bCs w:val="false"/>
                <w:sz w:val="20"/>
                <w:szCs w:val="20"/>
              </w:rPr>
              <w:t xml:space="preserve">notification.client.outbox-poll-interval</w:t>
            </w:r>
          </w:p>
        </w:tc>
        <w:tc>
          <w:tcPr>
            <w:tcW w:type="dxa" w:w="1800"/>
          </w:tcPr>
          <w:p>
            <w:r>
              <w:rPr>
                <w:b w:val="false"/>
                <w:bCs w:val="false"/>
                <w:sz w:val="20"/>
                <w:szCs w:val="20"/>
              </w:rPr>
              <w:t xml:space="preserve">2s</w:t>
            </w:r>
          </w:p>
        </w:tc>
        <w:tc>
          <w:tcPr>
            <w:tcW w:type="dxa" w:w="4300"/>
          </w:tcPr>
          <w:p>
            <w:r>
              <w:rPr>
                <w:b w:val="false"/>
                <w:bCs w:val="false"/>
                <w:sz w:val="20"/>
                <w:szCs w:val="20"/>
              </w:rPr>
              <w:t xml:space="preserve">How often OutboxRelayScheduler polls for pending rows.</w:t>
            </w:r>
          </w:p>
        </w:tc>
      </w:tr>
      <w:tr>
        <w:tc>
          <w:tcPr>
            <w:tcW w:type="dxa" w:w="3400"/>
          </w:tcPr>
          <w:p>
            <w:r>
              <w:rPr>
                <w:b w:val="false"/>
                <w:bCs w:val="false"/>
                <w:sz w:val="20"/>
                <w:szCs w:val="20"/>
              </w:rPr>
              <w:t xml:space="preserve">notification.client.outbox-batch-size</w:t>
            </w:r>
          </w:p>
        </w:tc>
        <w:tc>
          <w:tcPr>
            <w:tcW w:type="dxa" w:w="1800"/>
          </w:tcPr>
          <w:p>
            <w:r>
              <w:rPr>
                <w:b w:val="false"/>
                <w:bCs w:val="false"/>
                <w:sz w:val="20"/>
                <w:szCs w:val="20"/>
              </w:rPr>
              <w:t xml:space="preserve">50</w:t>
            </w:r>
          </w:p>
        </w:tc>
        <w:tc>
          <w:tcPr>
            <w:tcW w:type="dxa" w:w="4300"/>
          </w:tcPr>
          <w:p>
            <w:r>
              <w:rPr>
                <w:b w:val="false"/>
                <w:bCs w:val="false"/>
                <w:sz w:val="20"/>
                <w:szCs w:val="20"/>
              </w:rPr>
              <w:t xml:space="preserve">Max rows relayed per poll.</w:t>
            </w:r>
          </w:p>
        </w:tc>
      </w:tr>
    </w:tbl>
    <w:p>
      <w:pPr>
        <w:shd w:fill="F0F0F0" w:val="clear"/>
        <w:spacing w:after="160" w:before="80"/>
      </w:pPr>
      <w:r>
        <w:rPr>
          <w:b/>
          <w:bCs/>
          <w:i/>
          <w:iCs/>
        </w:rPr>
        <w:t xml:space="preserve">Diagram: notification_starter_class_diagram.mermaid</w:t>
      </w:r>
      <w:r>
        <w:rPr>
          <w:i/>
          <w:iCs/>
        </w:rPr>
        <w:t xml:space="preserve"> — NotificationClientAutoConfiguration, properties, and the beans it registers</w:t>
      </w:r>
    </w:p>
    <w:p>
      <w:pPr>
        <w:pStyle w:val="Heading1"/>
        <w:spacing w:after="150" w:before="320"/>
      </w:pPr>
      <w:r>
        <w:t xml:space="preserve">16. Deployment view</w:t>
      </w:r>
    </w:p>
    <w:p>
      <w:pPr>
        <w:spacing w:after="120"/>
      </w:pPr>
      <w:r>
        <w:t xml:space="preserve">All components are runnable through Docker Compose (NFR-15): the React frontend, the backend monolith, PostgreSQL, Kafka (with Zookeeper or KRaft), and the Notification Service as a separate container/image. The backend and the Notification Service scale independently; only the Notification Service needs to scale with notification volume (NFR-18).</w:t>
      </w:r>
    </w:p>
    <w:p>
      <w:pPr>
        <w:pStyle w:val="Heading1"/>
        <w:spacing w:after="150" w:before="320"/>
      </w:pPr>
      <w:r>
        <w:t xml:space="preserve">17. Traceability to requirements</w:t>
      </w:r>
    </w:p>
    <w:p>
      <w:pPr>
        <w:spacing w:after="120"/>
      </w:pPr>
      <w:r>
        <w:t xml:space="preserve">This architecture directly implements: the domain model and relationships from the requirements' section 5–6 (identity, catalog, cart, ordering, payment, delivery, now expressed as subdomains); FR-15 notification events (registration, activation, order placement/approval/rejection, payment and delivery status changes) via the outbox pattern and Kafka; FR-19 cart/checkout as the Ordering subdomain's CheckoutService; FR-20 reporting as its own read-only subdomain; and FR-21's order-confirmation feature flag as a Strategy-pattern seam controlled by externalized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2026-08-22T07:26:08.401Z</dcterms:created>
  <dcterms:modified xsi:type="dcterms:W3CDTF">2026-08-22T07:26:08.412Z</dcterms:modified>
</cp:coreProperties>
</file>

<file path=docProps/custom.xml><?xml version="1.0" encoding="utf-8"?>
<Properties xmlns="http://schemas.openxmlformats.org/officeDocument/2006/custom-properties" xmlns:vt="http://schemas.openxmlformats.org/officeDocument/2006/docPropsVTypes"/>
</file>