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A2B7B" w14:textId="4BBC1905" w:rsidR="008233D7" w:rsidRPr="00561543" w:rsidRDefault="00000000" w:rsidP="00561543">
      <w:r w:rsidRPr="00561543">
        <w:t xml:space="preserve">Nvidia's </w:t>
      </w:r>
      <w:r w:rsidR="004F410C">
        <w:t xml:space="preserve">(NVDA) </w:t>
      </w:r>
      <w:r w:rsidRPr="00561543">
        <w:t xml:space="preserve">quarterly results have become one of the most highly anticipated events in the market, but it’s not because of Nvidia </w:t>
      </w:r>
      <w:r w:rsidR="008C1AC5" w:rsidRPr="00561543">
        <w:t>alone</w:t>
      </w:r>
      <w:r w:rsidRPr="00561543">
        <w:t>. When the company reports its recent financials, stocks that have nothing to do with chips also move. This spillover effect functions through a few different mechanisms that are imperative for all investors to understand, even if they own shares of a seemingly unrelated company or only have broad exposure through a whole-market index fund.</w:t>
      </w:r>
    </w:p>
    <w:p w14:paraId="54A2EEF1" w14:textId="21D72C29" w:rsidR="008233D7" w:rsidRPr="00561543" w:rsidRDefault="00000000" w:rsidP="00561543">
      <w:r w:rsidRPr="00561543">
        <w:t xml:space="preserve">On May 20, Nvidia reported </w:t>
      </w:r>
      <w:proofErr w:type="gramStart"/>
      <w:r w:rsidRPr="00561543">
        <w:t>a fiscal</w:t>
      </w:r>
      <w:proofErr w:type="gramEnd"/>
      <w:r w:rsidRPr="00561543">
        <w:t xml:space="preserve"> first-quarter 2027 revenue of $81.6 billion, up 85% from the year prior, with data center revenue making up more than 92% of the total (Nvidia, 2026). In addition, the company </w:t>
      </w:r>
      <w:r w:rsidR="00165064">
        <w:t>projects</w:t>
      </w:r>
      <w:r w:rsidRPr="00561543">
        <w:t xml:space="preserve"> next quarter’s revenue to reach $91 billion</w:t>
      </w:r>
      <w:r w:rsidR="00E3479D" w:rsidRPr="00561543">
        <w:t xml:space="preserve">, with CEO Jensen Huang describing the AI buildout as </w:t>
      </w:r>
      <w:r w:rsidR="00381B54">
        <w:t>“</w:t>
      </w:r>
      <w:r w:rsidR="00E3479D" w:rsidRPr="00561543">
        <w:t xml:space="preserve">the largest infrastructure expansion in human history” (Nvidia, 2026). </w:t>
      </w:r>
      <w:r w:rsidRPr="00561543">
        <w:t xml:space="preserve">Despite these positive developments, </w:t>
      </w:r>
      <w:r w:rsidR="004F410C">
        <w:t xml:space="preserve">NVDA </w:t>
      </w:r>
      <w:r w:rsidRPr="00561543">
        <w:t>fell 1.5% in after-hours trading</w:t>
      </w:r>
      <w:r w:rsidR="00E3479D" w:rsidRPr="00561543">
        <w:t xml:space="preserve">. </w:t>
      </w:r>
      <w:r w:rsidRPr="00561543">
        <w:t xml:space="preserve">While these results at first may seem contradictory, </w:t>
      </w:r>
      <w:r w:rsidR="00381B54">
        <w:t>the reason for the decline</w:t>
      </w:r>
      <w:r w:rsidRPr="00561543">
        <w:t xml:space="preserve"> becomes clearer once we understand why and how Nvidia now influences so many different parts of the market.</w:t>
      </w:r>
    </w:p>
    <w:p w14:paraId="09B5648D" w14:textId="32CFDD8D" w:rsidR="008233D7" w:rsidRPr="00561543" w:rsidRDefault="00000000" w:rsidP="00561543">
      <w:r w:rsidRPr="00561543">
        <w:t xml:space="preserve">Among Nvidia’s </w:t>
      </w:r>
      <w:r w:rsidR="00165064">
        <w:t xml:space="preserve">main products </w:t>
      </w:r>
      <w:r w:rsidRPr="00561543">
        <w:t>are semiconductor chips, crucial to the modern-day AI buildout, and its customers are spending at massive, unprecedented rate</w:t>
      </w:r>
      <w:r w:rsidR="00E3479D" w:rsidRPr="00561543">
        <w:t>s</w:t>
      </w:r>
      <w:r w:rsidRPr="00561543">
        <w:t xml:space="preserve">. Microsoft, Amazon, Meta, and Google’s parent company, Alphabet, have collectively committed to over $600 billion in spending throughout 2026, a rise of approximately 70% from last year, with most of it going toward chips, data center capacity, and related infrastructure </w:t>
      </w:r>
      <w:r w:rsidR="000C5E92" w:rsidRPr="00561543">
        <w:t>(Bratton, 2026)</w:t>
      </w:r>
      <w:r w:rsidR="00482BD0" w:rsidRPr="00561543">
        <w:t>.</w:t>
      </w:r>
      <w:r w:rsidR="000C5E92" w:rsidRPr="00561543">
        <w:t xml:space="preserve"> </w:t>
      </w:r>
      <w:r w:rsidRPr="00561543">
        <w:t>Because Nvidia controls about 90% of the market for AI chips (</w:t>
      </w:r>
      <w:proofErr w:type="spellStart"/>
      <w:r w:rsidRPr="00561543">
        <w:t>Mbachu</w:t>
      </w:r>
      <w:proofErr w:type="spellEnd"/>
      <w:r w:rsidRPr="00561543">
        <w:t>, 2026), much of the money firms spend on AI hardware ends up directly in Nvidia’s pockets. Therefore, their quarterly revenue is a direct indicator of the momentum and trajectory of the AI boom, a matter pertinent to far more investors than just those holding NVDA.</w:t>
      </w:r>
    </w:p>
    <w:p w14:paraId="0EDF3644" w14:textId="231F9F26" w:rsidR="008233D7" w:rsidRPr="00561543" w:rsidRDefault="00000000" w:rsidP="00561543">
      <w:r w:rsidRPr="00561543">
        <w:t>The first layer of spillover is straightforward: other firms in the semiconductor industry. Some of these companies are connected to Nvidia through the supply chain, like TSMC, Micron, and SK Hynix, while others, like AMD, are direct competitors</w:t>
      </w:r>
      <w:r w:rsidR="00E3479D" w:rsidRPr="00561543">
        <w:t xml:space="preserve">. </w:t>
      </w:r>
      <w:r w:rsidRPr="00561543">
        <w:t>Broadcom, which sells chips and networking equipment, and Arm, which provides chip designs, have slightly less direct connections, but still benefit from the same growth in demand for AI</w:t>
      </w:r>
      <w:r w:rsidR="00E3479D" w:rsidRPr="00561543">
        <w:t xml:space="preserve">. </w:t>
      </w:r>
      <w:r w:rsidRPr="00561543">
        <w:t xml:space="preserve">The market reaction made that link clear, with TSMC, Micron, and Broadcom trading lower alongside Nvidia, falling 0.4%, 0.8%, and 0.3%, respectively. Because these firms are all governed by the same demand cycle, Nvidia’s earnings have become a proxy for the health of the semiconductor </w:t>
      </w:r>
      <w:proofErr w:type="gramStart"/>
      <w:r w:rsidRPr="00561543">
        <w:t>industry as a whole</w:t>
      </w:r>
      <w:proofErr w:type="gramEnd"/>
      <w:r w:rsidRPr="00561543">
        <w:t xml:space="preserve">. However, </w:t>
      </w:r>
      <w:r w:rsidR="00381B54">
        <w:t xml:space="preserve">the company’s influence reaches </w:t>
      </w:r>
      <w:r w:rsidRPr="00561543">
        <w:t>beyond semiconductors, widening into major indexes, where its sheer size confers market-wide importance upon each earnings report.</w:t>
      </w:r>
    </w:p>
    <w:p w14:paraId="2431754B" w14:textId="788BA5DB" w:rsidR="008233D7" w:rsidRPr="00561543" w:rsidRDefault="00000000" w:rsidP="00561543">
      <w:r w:rsidRPr="00561543">
        <w:t xml:space="preserve">The numbers </w:t>
      </w:r>
      <w:r w:rsidR="00381B54">
        <w:t>display</w:t>
      </w:r>
      <w:r w:rsidRPr="00561543">
        <w:t xml:space="preserve"> how </w:t>
      </w:r>
      <w:r w:rsidR="00165064">
        <w:t>large</w:t>
      </w:r>
      <w:r w:rsidRPr="00561543">
        <w:t xml:space="preserve"> this influence really is. As of early 2026, </w:t>
      </w:r>
      <w:r w:rsidR="004F410C">
        <w:t>NVDA’s</w:t>
      </w:r>
      <w:r w:rsidRPr="00561543">
        <w:t xml:space="preserve"> weight in the S&amp;P 500 was just over 7%, making it the single largest component of the index (</w:t>
      </w:r>
      <w:proofErr w:type="spellStart"/>
      <w:r w:rsidRPr="00561543">
        <w:t>SlickCharts</w:t>
      </w:r>
      <w:proofErr w:type="spellEnd"/>
      <w:r w:rsidRPr="00561543">
        <w:t>, 2026). The top ten holdings now account for more than 36% of the S&amp;P 500</w:t>
      </w:r>
      <w:r w:rsidR="00E3479D" w:rsidRPr="00561543">
        <w:t xml:space="preserve"> </w:t>
      </w:r>
      <w:r w:rsidR="000C5E92" w:rsidRPr="00561543">
        <w:t>(</w:t>
      </w:r>
      <w:proofErr w:type="spellStart"/>
      <w:r w:rsidR="000C5E92" w:rsidRPr="00561543">
        <w:t>Foelber</w:t>
      </w:r>
      <w:proofErr w:type="spellEnd"/>
      <w:r w:rsidR="000C5E92" w:rsidRPr="00561543">
        <w:t>, 2025</w:t>
      </w:r>
      <w:r w:rsidR="00E3479D" w:rsidRPr="00561543">
        <w:t>)</w:t>
      </w:r>
      <w:r w:rsidRPr="00561543">
        <w:t>, a concentration not seen since the early 2000s (not exactly comforting, given the dot-com bubble). That group also includes familiar names like Alphabet, Microsoft, Amazon, and Meta, the same companies spending heavily on Nvidia’s hardware</w:t>
      </w:r>
      <w:r w:rsidR="00E3479D" w:rsidRPr="00561543">
        <w:t xml:space="preserve">. </w:t>
      </w:r>
      <w:r w:rsidRPr="00561543">
        <w:t>As a result, Nvidia’s earnings affect</w:t>
      </w:r>
      <w:r w:rsidR="00A370F9">
        <w:t xml:space="preserve"> the index through two main channels</w:t>
      </w:r>
      <w:r w:rsidRPr="00561543">
        <w:t xml:space="preserve">: directly through Nvidia’s own weight, and indirectly through what its results indicate about the companies buying its chips. As a result, while an index fund like this can look diversified on paper, it may still be heavily exposed to a single company’s performance </w:t>
      </w:r>
      <w:r w:rsidR="000C5E92" w:rsidRPr="00561543">
        <w:t>(Shalett, 2023)</w:t>
      </w:r>
      <w:r w:rsidR="00482BD0" w:rsidRPr="00561543">
        <w:t>.</w:t>
      </w:r>
    </w:p>
    <w:p w14:paraId="186D86A1" w14:textId="3B61E8B2" w:rsidR="008233D7" w:rsidRPr="00561543" w:rsidRDefault="00000000" w:rsidP="00561543">
      <w:r w:rsidRPr="00561543">
        <w:t xml:space="preserve">However, the impact is not only mechanical; because the S&amp;P 500 is a benchmark investors use to judge the market </w:t>
      </w:r>
      <w:r w:rsidR="000806D8">
        <w:t>overall</w:t>
      </w:r>
      <w:r w:rsidRPr="00561543">
        <w:t xml:space="preserve">, a move driven by Nvidia and co. influences broader sentiment and </w:t>
      </w:r>
      <w:r w:rsidRPr="00561543">
        <w:lastRenderedPageBreak/>
        <w:t xml:space="preserve">risk </w:t>
      </w:r>
      <w:proofErr w:type="gramStart"/>
      <w:r w:rsidRPr="00561543">
        <w:t>appetite as a whole</w:t>
      </w:r>
      <w:proofErr w:type="gramEnd"/>
      <w:r w:rsidR="00E3479D" w:rsidRPr="00561543">
        <w:t xml:space="preserve">. </w:t>
      </w:r>
      <w:r w:rsidRPr="00561543">
        <w:t>If Nvidia pulls the index higher, it can reinforce momentum and make investors more willing to stay exposed to high-valuation growth stocks. On the other hand, if it pulls the index lower, the market can feel more fragile, even for investors whose portfolios have no direct connection to semiconductors. At this point, the ripple effect has little to do with operational proximity to Nvidia and everything to do with collective investor confidence (Baker &amp; Wurgler, 2006).</w:t>
      </w:r>
    </w:p>
    <w:p w14:paraId="3CD293CC" w14:textId="1FC41969" w:rsidR="008233D7" w:rsidRPr="00561543" w:rsidRDefault="00000000" w:rsidP="00561543">
      <w:r w:rsidRPr="00561543">
        <w:t xml:space="preserve">That shift in confidence is what brings unrelated stocks into the picture. Once Nvidia influences the index, the backdrop against which other stocks are valued changes, and effects can start to trickle down. </w:t>
      </w:r>
      <w:r w:rsidR="00186795">
        <w:t xml:space="preserve">Although a </w:t>
      </w:r>
      <w:r w:rsidRPr="00561543">
        <w:t xml:space="preserve">retailer, bank, or healthcare company </w:t>
      </w:r>
      <w:r w:rsidR="00186795">
        <w:t>may not have</w:t>
      </w:r>
      <w:r w:rsidRPr="00561543">
        <w:t xml:space="preserve"> even a tangential link to Nvidia</w:t>
      </w:r>
      <w:r w:rsidR="00186795">
        <w:t xml:space="preserve">, stocks do not trade in a vacuum. </w:t>
      </w:r>
      <w:r w:rsidRPr="00561543">
        <w:t xml:space="preserve">In a strong market, investors may be willing to pay a premium for growth or scalability; in a weaker one, that premium can shrink, and unrelated stocks can fall even without unfavorable company-specific news. This sums up the pressure Nvidia can </w:t>
      </w:r>
      <w:proofErr w:type="gramStart"/>
      <w:r w:rsidRPr="00561543">
        <w:t>create:</w:t>
      </w:r>
      <w:proofErr w:type="gramEnd"/>
      <w:r w:rsidRPr="00561543">
        <w:t xml:space="preserve"> it doesn’t change other businesses directly, but by changing the market environment, it can affect how investors are willing to price them.</w:t>
      </w:r>
    </w:p>
    <w:p w14:paraId="757CD39F" w14:textId="7F5DD3F9" w:rsidR="008233D7" w:rsidRPr="00561543" w:rsidRDefault="00000000" w:rsidP="00561543">
      <w:r w:rsidRPr="00561543">
        <w:t xml:space="preserve">Now, as I alluded to earlier, this logic can also help us understand the after-hours decline immediately after Nvidia’s positive earnings report. The problem is that Nvidia’s influence has become circular: its growth supports optimism across AI, semiconductors, and broader indexes, but that same optimism then raises the bar Nvidia </w:t>
      </w:r>
      <w:proofErr w:type="gramStart"/>
      <w:r w:rsidRPr="00561543">
        <w:t>has to</w:t>
      </w:r>
      <w:proofErr w:type="gramEnd"/>
      <w:r w:rsidRPr="00561543">
        <w:t xml:space="preserve"> reach each quarter. This meant that a strong quarter would not be enough to raise </w:t>
      </w:r>
      <w:r w:rsidR="004F410C">
        <w:t xml:space="preserve">NVDA </w:t>
      </w:r>
      <w:r w:rsidRPr="00561543">
        <w:t xml:space="preserve">by itself. Instead, earnings had to be a slam dunk, giving investors a genuine reason to heighten their expectations even further. While Nvidia’s report confirmed that demand remained strong, that strength was already priced in. </w:t>
      </w:r>
      <w:r w:rsidR="00186795">
        <w:t xml:space="preserve">According to </w:t>
      </w:r>
      <w:r w:rsidRPr="00561543">
        <w:t>Susquehanna analyst Christopher Rolland</w:t>
      </w:r>
      <w:r w:rsidR="00186795">
        <w:t>,</w:t>
      </w:r>
      <w:r w:rsidRPr="00561543">
        <w:t xml:space="preserve"> “Buy side expectations probably got a little bit ahead of themselves” (Marino-</w:t>
      </w:r>
      <w:proofErr w:type="spellStart"/>
      <w:r w:rsidRPr="00561543">
        <w:t>Nachison</w:t>
      </w:r>
      <w:proofErr w:type="spellEnd"/>
      <w:r w:rsidRPr="00561543">
        <w:t xml:space="preserve">, 2026). Despite validating the market’s existing sentiment, </w:t>
      </w:r>
      <w:r w:rsidR="00E3479D" w:rsidRPr="00561543">
        <w:t>earnings</w:t>
      </w:r>
      <w:r w:rsidRPr="00561543">
        <w:t xml:space="preserve"> left no reason for </w:t>
      </w:r>
      <w:r w:rsidR="00AC6CD8">
        <w:t xml:space="preserve">NVDA </w:t>
      </w:r>
      <w:r w:rsidRPr="00561543">
        <w:t>to move higher.</w:t>
      </w:r>
    </w:p>
    <w:p w14:paraId="50CF64C9" w14:textId="54CD4FB7" w:rsidR="008233D7" w:rsidRPr="00561543" w:rsidRDefault="00F80AD5" w:rsidP="00561543">
      <w:r>
        <w:t>The m</w:t>
      </w:r>
      <w:r w:rsidR="00000000" w:rsidRPr="00561543">
        <w:t xml:space="preserve">ain question </w:t>
      </w:r>
      <w:r>
        <w:t xml:space="preserve">going forward </w:t>
      </w:r>
      <w:r w:rsidR="00000000" w:rsidRPr="00561543">
        <w:t>is whether the AI boom can produce returns large enough to match the prices investors are paying today</w:t>
      </w:r>
      <w:r w:rsidR="00E3479D" w:rsidRPr="00561543">
        <w:t xml:space="preserve">. </w:t>
      </w:r>
      <w:r w:rsidR="00000000" w:rsidRPr="00561543">
        <w:t xml:space="preserve">Right now, the largest tech companies are pouring money into AI infrastructure, much of that spending flows to Nvidia, and Nvidia’s growth then reinforces the valuation of those same companies funding AI </w:t>
      </w:r>
      <w:r w:rsidR="00AC6CD8">
        <w:t xml:space="preserve">expansion </w:t>
      </w:r>
      <w:r w:rsidR="000C5E92" w:rsidRPr="00561543">
        <w:t>(Milmo, 2025)</w:t>
      </w:r>
      <w:r w:rsidR="00000000" w:rsidRPr="00561543">
        <w:t xml:space="preserve">. That positive feedback loop has remained stable so far, but it also creates unease and uncertainty among investors. As valuations climb to extreme levels and beyond, the AI sector has begun to blur the line between unusually strong </w:t>
      </w:r>
      <w:proofErr w:type="gramStart"/>
      <w:r w:rsidR="00000000" w:rsidRPr="00561543">
        <w:t>growth</w:t>
      </w:r>
      <w:proofErr w:type="gramEnd"/>
      <w:r w:rsidR="00000000" w:rsidRPr="00561543">
        <w:t xml:space="preserve"> and a test of how much optimism investors are willing to tolerate.</w:t>
      </w:r>
      <w:r w:rsidR="00AC6CD8">
        <w:t xml:space="preserve"> In fact,</w:t>
      </w:r>
      <w:r w:rsidR="00000000" w:rsidRPr="00561543">
        <w:t xml:space="preserve"> Nvidia’s market </w:t>
      </w:r>
      <w:r w:rsidR="00AC6CD8">
        <w:t>cap</w:t>
      </w:r>
      <w:r w:rsidR="00000000" w:rsidRPr="00561543">
        <w:t xml:space="preserve"> has become so large that it is comparable to the </w:t>
      </w:r>
      <w:r w:rsidR="00AC6CD8">
        <w:t>total</w:t>
      </w:r>
      <w:r w:rsidR="00000000" w:rsidRPr="00561543">
        <w:t xml:space="preserve"> value of every acre of land in Australia</w:t>
      </w:r>
      <w:r w:rsidR="00DF3A89" w:rsidRPr="00561543">
        <w:t xml:space="preserve"> (Australian Bureau of Statistics, 2024)</w:t>
      </w:r>
      <w:r w:rsidR="00E3479D" w:rsidRPr="00561543">
        <w:t xml:space="preserve">. </w:t>
      </w:r>
      <w:r w:rsidR="00000000" w:rsidRPr="00561543">
        <w:t>While comparisons like that are not proof of a bubble, they do show how much future success investors are already pricing in, which could be a cause for concern.</w:t>
      </w:r>
    </w:p>
    <w:p w14:paraId="3F5A4DC2" w14:textId="322F78CC" w:rsidR="008233D7" w:rsidRPr="00561543" w:rsidRDefault="00000000" w:rsidP="00561543">
      <w:r w:rsidRPr="00561543">
        <w:t xml:space="preserve">For the average investor, the takeaway should not be that every stock depends on Nvidia in the same way. Rather, for the time being, Nvidia’s earnings give investors a valuable read on several parts of the market at once. In such a concentrated market environment, information like </w:t>
      </w:r>
      <w:proofErr w:type="gramStart"/>
      <w:r w:rsidRPr="00561543">
        <w:t>this matters</w:t>
      </w:r>
      <w:proofErr w:type="gramEnd"/>
      <w:r w:rsidRPr="00561543">
        <w:t xml:space="preserve"> to everyone because broad exposure is not as far removed from single-company risk as it may appear</w:t>
      </w:r>
      <w:r w:rsidR="00E3479D" w:rsidRPr="00561543">
        <w:t xml:space="preserve">. </w:t>
      </w:r>
      <w:r w:rsidRPr="00561543">
        <w:t xml:space="preserve">Even investors who never own </w:t>
      </w:r>
      <w:r w:rsidR="004F410C">
        <w:t>NVDA</w:t>
      </w:r>
      <w:r w:rsidRPr="00561543">
        <w:t xml:space="preserve"> are still playing in a market where the AI chip giant sets much of the tone. There isn’t only risk in </w:t>
      </w:r>
      <w:r w:rsidR="00AC6CD8">
        <w:t>holding</w:t>
      </w:r>
      <w:r w:rsidRPr="00561543">
        <w:t xml:space="preserve"> NVDA; there’s </w:t>
      </w:r>
      <w:r w:rsidR="00275E72">
        <w:t xml:space="preserve">also </w:t>
      </w:r>
      <w:r w:rsidRPr="00561543">
        <w:t>risk in assuming you are unaffected by Nvidia just because it’s not in your portfolio.</w:t>
      </w:r>
    </w:p>
    <w:p w14:paraId="6D280400" w14:textId="77777777" w:rsidR="00DF3A89" w:rsidRPr="00561543" w:rsidRDefault="00000000" w:rsidP="00561543">
      <w:r w:rsidRPr="00561543">
        <w:t>References</w:t>
      </w:r>
    </w:p>
    <w:p w14:paraId="581E7998" w14:textId="6B170502" w:rsidR="00DF3A89" w:rsidRPr="00561543" w:rsidRDefault="00DF3A89" w:rsidP="00561543">
      <w:r w:rsidRPr="00561543">
        <w:lastRenderedPageBreak/>
        <w:t>Australian Bureau of Statistics. (2024, November 27). National Land Account, Experimental Estimates, 2021. https://www.abs.gov.au/statistics/environment/environmental-accounts/national-land-account-experimental-estimates/latest-release</w:t>
      </w:r>
    </w:p>
    <w:p w14:paraId="0DEA484D" w14:textId="6353D1C4" w:rsidR="008233D7" w:rsidRPr="00561543" w:rsidRDefault="00000000" w:rsidP="00561543">
      <w:r w:rsidRPr="00561543">
        <w:t xml:space="preserve">Baker, M., &amp; Wurgler, J. (2006). Investor sentiment and the cross-section of stock returns. The Journal of Finance, 61(4), 1645–1680. </w:t>
      </w:r>
      <w:r w:rsidR="00DF3A89" w:rsidRPr="00561543">
        <w:t>https://doi.org/10.1111/j.1540-6261.2006.00885.x</w:t>
      </w:r>
    </w:p>
    <w:p w14:paraId="630F246C" w14:textId="0E839CCE" w:rsidR="00DF3A89" w:rsidRPr="00561543" w:rsidRDefault="00DF3A89" w:rsidP="00561543">
      <w:r w:rsidRPr="00561543">
        <w:t>Bratton, L. (2026, February 6). Big Tech set to spend $650 billion in 2026 as AI investments soar. Yahoo Finance. https://finance.yahoo.com/news/big-tech-set-to-spend-650-billion-in-2026-as-ai-investments-soar-163907630.html</w:t>
      </w:r>
    </w:p>
    <w:p w14:paraId="54447877" w14:textId="235AB01B" w:rsidR="00482BD0" w:rsidRPr="00561543" w:rsidRDefault="00DF3A89" w:rsidP="00561543">
      <w:proofErr w:type="spellStart"/>
      <w:r w:rsidRPr="00561543">
        <w:t>Foelber</w:t>
      </w:r>
      <w:proofErr w:type="spellEnd"/>
      <w:r w:rsidRPr="00561543">
        <w:t>, D. (2025, November 17). Nvidia and 19 other stocks now make up 50% of the S&amp;P 500. Here's what it means for your investment portfolio. Nasdaq. https://www.nasdaq.com/articles/nvidia-and-19-other-stocks-now-make-50-sp-500-heres-what-it-means-your-investment</w:t>
      </w:r>
    </w:p>
    <w:p w14:paraId="15101421" w14:textId="77777777" w:rsidR="008233D7" w:rsidRPr="00561543" w:rsidRDefault="00000000" w:rsidP="00561543">
      <w:r w:rsidRPr="00561543">
        <w:t>Marino-</w:t>
      </w:r>
      <w:proofErr w:type="spellStart"/>
      <w:r w:rsidRPr="00561543">
        <w:t>Nachison</w:t>
      </w:r>
      <w:proofErr w:type="spellEnd"/>
      <w:r w:rsidRPr="00561543">
        <w:t>, D. (2026, May 20). Nvidia earnings live: AI chip giant beats Street expectations on profits, sales. Investopedia. https://www.investopedia.com/nvidia-earnings-live-coverage-q1-fy2027-nvda-stock-11974368</w:t>
      </w:r>
    </w:p>
    <w:p w14:paraId="24E0F2FB" w14:textId="655991E3" w:rsidR="008233D7" w:rsidRPr="00561543" w:rsidRDefault="00000000" w:rsidP="00561543">
      <w:proofErr w:type="spellStart"/>
      <w:r w:rsidRPr="00561543">
        <w:t>Mbachu</w:t>
      </w:r>
      <w:proofErr w:type="spellEnd"/>
      <w:r w:rsidRPr="00561543">
        <w:t xml:space="preserve">, J. (2026, February 6). Big tech will spend $600B on AI in 2026: 5 stocks cashing the checks. Investing.com. </w:t>
      </w:r>
      <w:r w:rsidR="00DF3A89" w:rsidRPr="00561543">
        <w:t>https://www.investing.com/analysis/big-tech-will-spend-600b-on-ai-in-2026-5-stocks-cashing-the-checks-200674615</w:t>
      </w:r>
    </w:p>
    <w:p w14:paraId="66BD5F5D" w14:textId="10C6AF84" w:rsidR="00DF3A89" w:rsidRPr="00561543" w:rsidRDefault="00DF3A89" w:rsidP="00561543">
      <w:r w:rsidRPr="00561543">
        <w:t xml:space="preserve">Milmo, D. (2025, October 8). Do OpenAI’s multibillion-dollar deals mean exuberance has got out of hand? The Guardian. </w:t>
      </w:r>
      <w:r w:rsidR="00482BD0" w:rsidRPr="00561543">
        <w:t>https://www.theguardian.com/business/2025/oct/08/openai-multibillion-dollar-deals-exuberance-circular-nvidia-amd</w:t>
      </w:r>
    </w:p>
    <w:p w14:paraId="69620D9E" w14:textId="6922CE3A" w:rsidR="00482BD0" w:rsidRPr="00561543" w:rsidRDefault="00880551" w:rsidP="00561543">
      <w:r w:rsidRPr="00561543">
        <w:t xml:space="preserve">Nvidia. (2026, May 20). </w:t>
      </w:r>
      <w:r w:rsidR="00482BD0" w:rsidRPr="00561543">
        <w:t xml:space="preserve">NVIDIA announces financial results for first </w:t>
      </w:r>
      <w:proofErr w:type="gramStart"/>
      <w:r w:rsidR="00482BD0" w:rsidRPr="00561543">
        <w:t>quarter</w:t>
      </w:r>
      <w:proofErr w:type="gramEnd"/>
      <w:r w:rsidR="00482BD0" w:rsidRPr="00561543">
        <w:t xml:space="preserve"> fiscal 2027. https://nvidianews.nvidia.com/news/nvidia-announces-financial-results-for-first-quarter-fiscal-2027</w:t>
      </w:r>
    </w:p>
    <w:p w14:paraId="67185A90" w14:textId="77777777" w:rsidR="000C5E92" w:rsidRPr="00561543" w:rsidRDefault="000C5E92" w:rsidP="00561543">
      <w:r w:rsidRPr="00561543">
        <w:t xml:space="preserve">Shalett, L. (2023, May 24). Why investing in the S&amp;P 500 isn’t true diversification. Morgan Stanley. https://www.morganstanley.com/ideas/concentration-risk-high-s-and-p-500-q2-2023 </w:t>
      </w:r>
    </w:p>
    <w:p w14:paraId="3198D87C" w14:textId="156A7B2F" w:rsidR="008233D7" w:rsidRPr="00561543" w:rsidRDefault="00000000" w:rsidP="00561543">
      <w:proofErr w:type="spellStart"/>
      <w:r w:rsidRPr="00561543">
        <w:t>SlickCharts</w:t>
      </w:r>
      <w:proofErr w:type="spellEnd"/>
      <w:r w:rsidRPr="00561543">
        <w:t xml:space="preserve">. (2026). S&amp;P 500 companies by </w:t>
      </w:r>
      <w:r w:rsidR="000B0435" w:rsidRPr="00561543">
        <w:t>market cap</w:t>
      </w:r>
      <w:r w:rsidRPr="00561543">
        <w:t>. https://www.slickcharts.com/sp500</w:t>
      </w:r>
    </w:p>
    <w:sectPr w:rsidR="008233D7" w:rsidRPr="0056154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3093238">
    <w:abstractNumId w:val="8"/>
  </w:num>
  <w:num w:numId="2" w16cid:durableId="348258868">
    <w:abstractNumId w:val="6"/>
  </w:num>
  <w:num w:numId="3" w16cid:durableId="1189757618">
    <w:abstractNumId w:val="5"/>
  </w:num>
  <w:num w:numId="4" w16cid:durableId="1225525541">
    <w:abstractNumId w:val="4"/>
  </w:num>
  <w:num w:numId="5" w16cid:durableId="860318174">
    <w:abstractNumId w:val="7"/>
  </w:num>
  <w:num w:numId="6" w16cid:durableId="1552880206">
    <w:abstractNumId w:val="3"/>
  </w:num>
  <w:num w:numId="7" w16cid:durableId="2088383378">
    <w:abstractNumId w:val="2"/>
  </w:num>
  <w:num w:numId="8" w16cid:durableId="62028329">
    <w:abstractNumId w:val="1"/>
  </w:num>
  <w:num w:numId="9" w16cid:durableId="1711955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6D8"/>
    <w:rsid w:val="000B0435"/>
    <w:rsid w:val="000C5E92"/>
    <w:rsid w:val="0015074B"/>
    <w:rsid w:val="00165064"/>
    <w:rsid w:val="00186795"/>
    <w:rsid w:val="00275E72"/>
    <w:rsid w:val="0029639D"/>
    <w:rsid w:val="00326F90"/>
    <w:rsid w:val="0034219D"/>
    <w:rsid w:val="00381B54"/>
    <w:rsid w:val="004279D1"/>
    <w:rsid w:val="00482BD0"/>
    <w:rsid w:val="004C6910"/>
    <w:rsid w:val="004F410C"/>
    <w:rsid w:val="00554802"/>
    <w:rsid w:val="00561543"/>
    <w:rsid w:val="00623F57"/>
    <w:rsid w:val="007F6479"/>
    <w:rsid w:val="008233D7"/>
    <w:rsid w:val="00880551"/>
    <w:rsid w:val="008C1AC5"/>
    <w:rsid w:val="00941354"/>
    <w:rsid w:val="009C082F"/>
    <w:rsid w:val="00A370F9"/>
    <w:rsid w:val="00A647D8"/>
    <w:rsid w:val="00AA1D8D"/>
    <w:rsid w:val="00AB6F65"/>
    <w:rsid w:val="00AC6CD8"/>
    <w:rsid w:val="00B47730"/>
    <w:rsid w:val="00CB0664"/>
    <w:rsid w:val="00D126F6"/>
    <w:rsid w:val="00DF3A89"/>
    <w:rsid w:val="00E3479D"/>
    <w:rsid w:val="00EA1CFF"/>
    <w:rsid w:val="00F80A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5605AA"/>
  <w14:defaultImageDpi w14:val="300"/>
  <w15:docId w15:val="{CAC8DB33-BD49-4FC0-921C-B12646A2A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4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E3479D"/>
    <w:rPr>
      <w:sz w:val="16"/>
      <w:szCs w:val="16"/>
    </w:rPr>
  </w:style>
  <w:style w:type="paragraph" w:styleId="CommentText">
    <w:name w:val="annotation text"/>
    <w:basedOn w:val="Normal"/>
    <w:link w:val="CommentTextChar"/>
    <w:uiPriority w:val="99"/>
    <w:unhideWhenUsed/>
    <w:rsid w:val="00E3479D"/>
    <w:rPr>
      <w:sz w:val="20"/>
      <w:szCs w:val="20"/>
    </w:rPr>
  </w:style>
  <w:style w:type="character" w:customStyle="1" w:styleId="CommentTextChar">
    <w:name w:val="Comment Text Char"/>
    <w:basedOn w:val="DefaultParagraphFont"/>
    <w:link w:val="CommentText"/>
    <w:uiPriority w:val="99"/>
    <w:rsid w:val="00E3479D"/>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3479D"/>
    <w:rPr>
      <w:b/>
      <w:bCs/>
    </w:rPr>
  </w:style>
  <w:style w:type="character" w:customStyle="1" w:styleId="CommentSubjectChar">
    <w:name w:val="Comment Subject Char"/>
    <w:basedOn w:val="CommentTextChar"/>
    <w:link w:val="CommentSubject"/>
    <w:uiPriority w:val="99"/>
    <w:semiHidden/>
    <w:rsid w:val="00E3479D"/>
    <w:rPr>
      <w:rFonts w:ascii="Times New Roman" w:eastAsia="Times New Roman" w:hAnsi="Times New Roman"/>
      <w:b/>
      <w:bCs/>
      <w:sz w:val="20"/>
      <w:szCs w:val="20"/>
    </w:rPr>
  </w:style>
  <w:style w:type="character" w:styleId="Hyperlink">
    <w:name w:val="Hyperlink"/>
    <w:basedOn w:val="DefaultParagraphFont"/>
    <w:uiPriority w:val="99"/>
    <w:unhideWhenUsed/>
    <w:rsid w:val="000C5E92"/>
    <w:rPr>
      <w:color w:val="0000FF" w:themeColor="hyperlink"/>
      <w:u w:val="single"/>
    </w:rPr>
  </w:style>
  <w:style w:type="character" w:styleId="UnresolvedMention">
    <w:name w:val="Unresolved Mention"/>
    <w:basedOn w:val="DefaultParagraphFont"/>
    <w:uiPriority w:val="99"/>
    <w:semiHidden/>
    <w:unhideWhenUsed/>
    <w:rsid w:val="000C5E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3</Pages>
  <Words>1452</Words>
  <Characters>8281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Lancellotti, Mason</cp:lastModifiedBy>
  <cp:revision>24</cp:revision>
  <dcterms:created xsi:type="dcterms:W3CDTF">2013-12-23T23:15:00Z</dcterms:created>
  <dcterms:modified xsi:type="dcterms:W3CDTF">2026-05-22T07:07:00Z</dcterms:modified>
  <cp:category/>
</cp:coreProperties>
</file>