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mc:AlternateContent xmlns:mc="http://schemas.openxmlformats.org/markup-compatibility/2006">
          <mc:Choice Requires="wps">
            <w:drawing xmlns:wp="http://schemas.openxmlformats.org/drawingml/2006/wordprocessingDrawing" xmlns:a="http://schemas.openxmlformats.org/drawingml/2006/main" xmlns:wps="http://schemas.microsoft.com/office/word/2010/wordprocessingShape">
              <wp:inline>
                <a:graphic>
                  <a:graphicData>
                    <wps:wsp>
                      <wps:txbx>
                        <w:txbxContent>
                          <w:p>
                            <w:r>
                              <w:t>文本框金额12800元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ict>
              <w:txbxContent>
                <w:p>
                  <w:r>
                    <w:t>文本框金额12800元</w:t>
                  </w:r>
                </w:p>
              </w:txbxContent>
            </w:pict>
          </mc:Fallback>
        </mc:AlternateContent>
      </w:r>
    </w:p>
    <w:sectPr/>
  </w:body>
</w:document>
</file>