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Freight Rate Prediction</w:t>
      </w:r>
    </w:p>
    <w:p>
      <w:r>
        <w:t>Masood Ahmad · Spotter ML Engineer assessment</w:t>
      </w:r>
    </w:p>
    <w:p>
      <w:pPr>
        <w:pStyle w:val="Heading1"/>
      </w:pPr>
      <w:r>
        <w:t>Summary</w:t>
      </w:r>
    </w:p>
    <w:p>
      <w:r>
        <w:t>The final model prices a load from its lane, equipment, distance, weight and day, using LightGBM on log rate per mile with an L1 loss, recency weighting and a three-seed average. It leaves out quote_signal and market_index on purpose: neither held up when tested forward in time. On the most recent backtest (train Jan to Aug, predict Sep to Oct) the model's error is 1.9% on normal loads and 4.4% on all loads, against 3.4% and 6.9% for a lane-average baseline.</w:t>
      </w:r>
    </w:p>
    <w:p>
      <w:pPr>
        <w:pStyle w:val="Heading1"/>
      </w:pPr>
      <w:r>
        <w:t>Data</w:t>
      </w:r>
    </w:p>
    <w:p>
      <w:r>
        <w:t>Training covers 48,000 loads from 01 Jan to 31 Oct 2025. Validation is 12,000 loads from 01 Nov to 31 Dec 2025, so the task is a two-month forecast past the training data. Issues found and how I handled them:</w:t>
      </w:r>
    </w:p>
    <w:p>
      <w:pPr>
        <w:pStyle w:val="ListBullet"/>
      </w:pPr>
      <w:r>
        <w:t>292 negative weights. The magnitudes are in the normal 15k to 47k lb range, so I treat them as sign flips and take the absolute value, keeping a flag.</w:t>
      </w:r>
    </w:p>
    <w:p>
      <w:pPr>
        <w:pStyle w:val="ListBullet"/>
      </w:pPr>
      <w:r>
        <w:t>300 missing weights, filled with the median for that equipment type, with a flag.</w:t>
      </w:r>
    </w:p>
    <w:p>
      <w:pPr>
        <w:pStyle w:val="ListBullet"/>
      </w:pPr>
      <w:r>
        <w:t>374 missing market_index values, filled with that day's median.</w:t>
      </w:r>
    </w:p>
    <w:p>
      <w:pPr>
        <w:pStyle w:val="ListBullet"/>
      </w:pPr>
      <w:r>
        <w:t>Rates are tightly clustered: 91% of loads sit within 7% of the median rate per mile for their lane and equipment.</w:t>
      </w:r>
    </w:p>
    <w:p>
      <w:pPr>
        <w:pStyle w:val="ListBullet"/>
      </w:pPr>
      <w:r>
        <w:t>About 1.3% of rates are 0.2 to 0.4x or 2.5 to 4.5x their lane norm. These look like unit or entry errors. I drop them from training only; they stay in every evaluation number marked 'all'.</w:t>
      </w:r>
    </w:p>
    <w:p>
      <w:pPr>
        <w:pStyle w:val="ListBullet"/>
      </w:pPr>
      <w:r>
        <w:t>quote_signal is off its lane norm by more than 25% on 12% of loads, so it behaves like a noisy hint rather than a price.</w:t>
      </w:r>
    </w:p>
    <w:p>
      <w:pPr>
        <w:pStyle w:val="Heading1"/>
      </w:pPr>
      <w:r>
        <w:t>Split approach</w:t>
      </w:r>
    </w:p>
    <w:p>
      <w:r>
        <w:t>Random splits would leak future prices into training, so every evaluation is forward in time with the same two-month horizon as the real task. Window A trains on January to June and predicts July and August. Window B trains on January to August and predicts September and October. Results are reported on all test loads and on normal loads (excluding the rate errors described above, which no model can predict). The final model is then retrained on all of January to October before predicting November and December.</w:t>
      </w:r>
    </w:p>
    <w:p>
      <w:pPr>
        <w:pStyle w:val="Heading1"/>
      </w:pPr>
      <w:r>
        <w:t>Validation results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7"/>
              </w:rPr>
              <w:t>window</w:t>
            </w:r>
          </w:p>
        </w:tc>
        <w:tc>
          <w:tcPr>
            <w:tcW w:type="dxa" w:w="1440"/>
          </w:tcPr>
          <w:p>
            <w:r>
              <w:rPr>
                <w:sz w:val="17"/>
              </w:rPr>
              <w:t>model</w:t>
            </w:r>
          </w:p>
        </w:tc>
        <w:tc>
          <w:tcPr>
            <w:tcW w:type="dxa" w:w="1440"/>
          </w:tcPr>
          <w:p>
            <w:r>
              <w:rPr>
                <w:sz w:val="17"/>
              </w:rPr>
              <w:t>MAPE all %</w:t>
            </w:r>
          </w:p>
        </w:tc>
        <w:tc>
          <w:tcPr>
            <w:tcW w:type="dxa" w:w="1440"/>
          </w:tcPr>
          <w:p>
            <w:r>
              <w:rPr>
                <w:sz w:val="17"/>
              </w:rPr>
              <w:t>MAE all $</w:t>
            </w:r>
          </w:p>
        </w:tc>
        <w:tc>
          <w:tcPr>
            <w:tcW w:type="dxa" w:w="1440"/>
          </w:tcPr>
          <w:p>
            <w:r>
              <w:rPr>
                <w:sz w:val="17"/>
              </w:rPr>
              <w:t>MAPE clean %</w:t>
            </w:r>
          </w:p>
        </w:tc>
        <w:tc>
          <w:tcPr>
            <w:tcW w:type="dxa" w:w="1440"/>
          </w:tcPr>
          <w:p>
            <w:r>
              <w:rPr>
                <w:sz w:val="17"/>
              </w:rPr>
              <w:t>median APE clean %</w:t>
            </w:r>
          </w:p>
        </w:tc>
      </w:tr>
      <w:tr>
        <w:tc>
          <w:tcPr>
            <w:tcW w:type="dxa" w:w="1440"/>
          </w:tcPr>
          <w:p>
            <w:r>
              <w:rPr>
                <w:sz w:val="17"/>
              </w:rPr>
              <w:t>A: Jul-Aug</w:t>
            </w:r>
          </w:p>
        </w:tc>
        <w:tc>
          <w:tcPr>
            <w:tcW w:type="dxa" w:w="1440"/>
          </w:tcPr>
          <w:p>
            <w:r>
              <w:rPr>
                <w:sz w:val="17"/>
              </w:rPr>
              <w:t>distance x quote_signal</w:t>
            </w:r>
          </w:p>
        </w:tc>
        <w:tc>
          <w:tcPr>
            <w:tcW w:type="dxa" w:w="1440"/>
          </w:tcPr>
          <w:p>
            <w:r>
              <w:rPr>
                <w:sz w:val="17"/>
              </w:rPr>
              <w:t>17.82</w:t>
            </w:r>
          </w:p>
        </w:tc>
        <w:tc>
          <w:tcPr>
            <w:tcW w:type="dxa" w:w="1440"/>
          </w:tcPr>
          <w:p>
            <w:r>
              <w:rPr>
                <w:sz w:val="17"/>
              </w:rPr>
              <w:t>368.00</w:t>
            </w:r>
          </w:p>
        </w:tc>
        <w:tc>
          <w:tcPr>
            <w:tcW w:type="dxa" w:w="1440"/>
          </w:tcPr>
          <w:p>
            <w:r>
              <w:rPr>
                <w:sz w:val="17"/>
              </w:rPr>
              <w:t>15.71</w:t>
            </w:r>
          </w:p>
        </w:tc>
        <w:tc>
          <w:tcPr>
            <w:tcW w:type="dxa" w:w="1440"/>
          </w:tcPr>
          <w:p>
            <w:r>
              <w:rPr>
                <w:sz w:val="17"/>
              </w:rPr>
              <w:t>12.80</w:t>
            </w:r>
          </w:p>
        </w:tc>
      </w:tr>
      <w:tr>
        <w:tc>
          <w:tcPr>
            <w:tcW w:type="dxa" w:w="1440"/>
          </w:tcPr>
          <w:p>
            <w:r>
              <w:rPr>
                <w:sz w:val="17"/>
              </w:rPr>
              <w:t>A: Jul-Aug</w:t>
            </w:r>
          </w:p>
        </w:tc>
        <w:tc>
          <w:tcPr>
            <w:tcW w:type="dxa" w:w="1440"/>
          </w:tcPr>
          <w:p>
            <w:r>
              <w:rPr>
                <w:sz w:val="17"/>
              </w:rPr>
              <w:t>lane median rate/mile x distance</w:t>
            </w:r>
          </w:p>
        </w:tc>
        <w:tc>
          <w:tcPr>
            <w:tcW w:type="dxa" w:w="1440"/>
          </w:tcPr>
          <w:p>
            <w:r>
              <w:rPr>
                <w:sz w:val="17"/>
              </w:rPr>
              <w:t>7.96</w:t>
            </w:r>
          </w:p>
        </w:tc>
        <w:tc>
          <w:tcPr>
            <w:tcW w:type="dxa" w:w="1440"/>
          </w:tcPr>
          <w:p>
            <w:r>
              <w:rPr>
                <w:sz w:val="17"/>
              </w:rPr>
              <w:t>186.76</w:t>
            </w:r>
          </w:p>
        </w:tc>
        <w:tc>
          <w:tcPr>
            <w:tcW w:type="dxa" w:w="1440"/>
          </w:tcPr>
          <w:p>
            <w:r>
              <w:rPr>
                <w:sz w:val="17"/>
              </w:rPr>
              <w:t>3.83</w:t>
            </w:r>
          </w:p>
        </w:tc>
        <w:tc>
          <w:tcPr>
            <w:tcW w:type="dxa" w:w="1440"/>
          </w:tcPr>
          <w:p>
            <w:r>
              <w:rPr>
                <w:sz w:val="17"/>
              </w:rPr>
              <w:t>3.24</w:t>
            </w:r>
          </w:p>
        </w:tc>
      </w:tr>
      <w:tr>
        <w:tc>
          <w:tcPr>
            <w:tcW w:type="dxa" w:w="1440"/>
          </w:tcPr>
          <w:p>
            <w:r>
              <w:rPr>
                <w:sz w:val="17"/>
              </w:rPr>
              <w:t>A: Jul-Aug</w:t>
            </w:r>
          </w:p>
        </w:tc>
        <w:tc>
          <w:tcPr>
            <w:tcW w:type="dxa" w:w="1440"/>
          </w:tcPr>
          <w:p>
            <w:r>
              <w:rPr>
                <w:sz w:val="17"/>
              </w:rPr>
              <w:t>LightGBM + market_index + quote_signal</w:t>
            </w:r>
          </w:p>
        </w:tc>
        <w:tc>
          <w:tcPr>
            <w:tcW w:type="dxa" w:w="1440"/>
          </w:tcPr>
          <w:p>
            <w:r>
              <w:rPr>
                <w:sz w:val="17"/>
              </w:rPr>
              <w:t>6.16</w:t>
            </w:r>
          </w:p>
        </w:tc>
        <w:tc>
          <w:tcPr>
            <w:tcW w:type="dxa" w:w="1440"/>
          </w:tcPr>
          <w:p>
            <w:r>
              <w:rPr>
                <w:sz w:val="17"/>
              </w:rPr>
              <w:t>128.10</w:t>
            </w:r>
          </w:p>
        </w:tc>
        <w:tc>
          <w:tcPr>
            <w:tcW w:type="dxa" w:w="1440"/>
          </w:tcPr>
          <w:p>
            <w:r>
              <w:rPr>
                <w:sz w:val="17"/>
              </w:rPr>
              <w:t>3.90</w:t>
            </w:r>
          </w:p>
        </w:tc>
        <w:tc>
          <w:tcPr>
            <w:tcW w:type="dxa" w:w="1440"/>
          </w:tcPr>
          <w:p>
            <w:r>
              <w:rPr>
                <w:sz w:val="17"/>
              </w:rPr>
              <w:t>2.11</w:t>
            </w:r>
          </w:p>
        </w:tc>
      </w:tr>
      <w:tr>
        <w:tc>
          <w:tcPr>
            <w:tcW w:type="dxa" w:w="1440"/>
          </w:tcPr>
          <w:p>
            <w:r>
              <w:rPr>
                <w:sz w:val="17"/>
              </w:rPr>
              <w:t>A: Jul-Aug</w:t>
            </w:r>
          </w:p>
        </w:tc>
        <w:tc>
          <w:tcPr>
            <w:tcW w:type="dxa" w:w="1440"/>
          </w:tcPr>
          <w:p>
            <w:r>
              <w:rPr>
                <w:sz w:val="17"/>
              </w:rPr>
              <w:t>LightGBM + market_index</w:t>
            </w:r>
          </w:p>
        </w:tc>
        <w:tc>
          <w:tcPr>
            <w:tcW w:type="dxa" w:w="1440"/>
          </w:tcPr>
          <w:p>
            <w:r>
              <w:rPr>
                <w:sz w:val="17"/>
              </w:rPr>
              <w:t>4.52</w:t>
            </w:r>
          </w:p>
        </w:tc>
        <w:tc>
          <w:tcPr>
            <w:tcW w:type="dxa" w:w="1440"/>
          </w:tcPr>
          <w:p>
            <w:r>
              <w:rPr>
                <w:sz w:val="17"/>
              </w:rPr>
              <w:t>105.34</w:t>
            </w:r>
          </w:p>
        </w:tc>
        <w:tc>
          <w:tcPr>
            <w:tcW w:type="dxa" w:w="1440"/>
          </w:tcPr>
          <w:p>
            <w:r>
              <w:rPr>
                <w:sz w:val="17"/>
              </w:rPr>
              <w:t>2.28</w:t>
            </w:r>
          </w:p>
        </w:tc>
        <w:tc>
          <w:tcPr>
            <w:tcW w:type="dxa" w:w="1440"/>
          </w:tcPr>
          <w:p>
            <w:r>
              <w:rPr>
                <w:sz w:val="17"/>
              </w:rPr>
              <w:t>2.08</w:t>
            </w:r>
          </w:p>
        </w:tc>
      </w:tr>
      <w:tr>
        <w:tc>
          <w:tcPr>
            <w:tcW w:type="dxa" w:w="1440"/>
          </w:tcPr>
          <w:p>
            <w:r>
              <w:rPr>
                <w:sz w:val="17"/>
              </w:rPr>
              <w:t>A: Jul-Aug</w:t>
            </w:r>
          </w:p>
        </w:tc>
        <w:tc>
          <w:tcPr>
            <w:tcW w:type="dxa" w:w="1440"/>
          </w:tcPr>
          <w:p>
            <w:r>
              <w:rPr>
                <w:sz w:val="17"/>
              </w:rPr>
              <w:t>LightGBM, no market signals</w:t>
            </w:r>
          </w:p>
        </w:tc>
        <w:tc>
          <w:tcPr>
            <w:tcW w:type="dxa" w:w="1440"/>
          </w:tcPr>
          <w:p>
            <w:r>
              <w:rPr>
                <w:sz w:val="17"/>
              </w:rPr>
              <w:t>4.79</w:t>
            </w:r>
          </w:p>
        </w:tc>
        <w:tc>
          <w:tcPr>
            <w:tcW w:type="dxa" w:w="1440"/>
          </w:tcPr>
          <w:p>
            <w:r>
              <w:rPr>
                <w:sz w:val="17"/>
              </w:rPr>
              <w:t>112.80</w:t>
            </w:r>
          </w:p>
        </w:tc>
        <w:tc>
          <w:tcPr>
            <w:tcW w:type="dxa" w:w="1440"/>
          </w:tcPr>
          <w:p>
            <w:r>
              <w:rPr>
                <w:sz w:val="17"/>
              </w:rPr>
              <w:t>2.50</w:t>
            </w:r>
          </w:p>
        </w:tc>
        <w:tc>
          <w:tcPr>
            <w:tcW w:type="dxa" w:w="1440"/>
          </w:tcPr>
          <w:p>
            <w:r>
              <w:rPr>
                <w:sz w:val="17"/>
              </w:rPr>
              <w:t>2.17</w:t>
            </w:r>
          </w:p>
        </w:tc>
      </w:tr>
      <w:tr>
        <w:tc>
          <w:tcPr>
            <w:tcW w:type="dxa" w:w="1440"/>
          </w:tcPr>
          <w:p>
            <w:r>
              <w:rPr>
                <w:sz w:val="17"/>
              </w:rPr>
              <w:t>A: Jul-Aug</w:t>
            </w:r>
          </w:p>
        </w:tc>
        <w:tc>
          <w:tcPr>
            <w:tcW w:type="dxa" w:w="1440"/>
          </w:tcPr>
          <w:p>
            <w:r>
              <w:rPr>
                <w:sz w:val="17"/>
              </w:rPr>
              <w:t>LightGBM, no market signals, recency-weighted (final)</w:t>
            </w:r>
          </w:p>
        </w:tc>
        <w:tc>
          <w:tcPr>
            <w:tcW w:type="dxa" w:w="1440"/>
          </w:tcPr>
          <w:p>
            <w:r>
              <w:rPr>
                <w:sz w:val="17"/>
              </w:rPr>
              <w:t>4.79</w:t>
            </w:r>
          </w:p>
        </w:tc>
        <w:tc>
          <w:tcPr>
            <w:tcW w:type="dxa" w:w="1440"/>
          </w:tcPr>
          <w:p>
            <w:r>
              <w:rPr>
                <w:sz w:val="17"/>
              </w:rPr>
              <w:t>111.78</w:t>
            </w:r>
          </w:p>
        </w:tc>
        <w:tc>
          <w:tcPr>
            <w:tcW w:type="dxa" w:w="1440"/>
          </w:tcPr>
          <w:p>
            <w:r>
              <w:rPr>
                <w:sz w:val="17"/>
              </w:rPr>
              <w:t>2.47</w:t>
            </w:r>
          </w:p>
        </w:tc>
        <w:tc>
          <w:tcPr>
            <w:tcW w:type="dxa" w:w="1440"/>
          </w:tcPr>
          <w:p>
            <w:r>
              <w:rPr>
                <w:sz w:val="17"/>
              </w:rPr>
              <w:t>2.20</w:t>
            </w:r>
          </w:p>
        </w:tc>
      </w:tr>
      <w:tr>
        <w:tc>
          <w:tcPr>
            <w:tcW w:type="dxa" w:w="1440"/>
          </w:tcPr>
          <w:p>
            <w:r>
              <w:rPr>
                <w:sz w:val="17"/>
              </w:rPr>
              <w:t>B: Sep-Oct</w:t>
            </w:r>
          </w:p>
        </w:tc>
        <w:tc>
          <w:tcPr>
            <w:tcW w:type="dxa" w:w="1440"/>
          </w:tcPr>
          <w:p>
            <w:r>
              <w:rPr>
                <w:sz w:val="17"/>
              </w:rPr>
              <w:t>distance x quote_signal</w:t>
            </w:r>
          </w:p>
        </w:tc>
        <w:tc>
          <w:tcPr>
            <w:tcW w:type="dxa" w:w="1440"/>
          </w:tcPr>
          <w:p>
            <w:r>
              <w:rPr>
                <w:sz w:val="17"/>
              </w:rPr>
              <w:t>12.11</w:t>
            </w:r>
          </w:p>
        </w:tc>
        <w:tc>
          <w:tcPr>
            <w:tcW w:type="dxa" w:w="1440"/>
          </w:tcPr>
          <w:p>
            <w:r>
              <w:rPr>
                <w:sz w:val="17"/>
              </w:rPr>
              <w:t>246.02</w:t>
            </w:r>
          </w:p>
        </w:tc>
        <w:tc>
          <w:tcPr>
            <w:tcW w:type="dxa" w:w="1440"/>
          </w:tcPr>
          <w:p>
            <w:r>
              <w:rPr>
                <w:sz w:val="17"/>
              </w:rPr>
              <w:t>9.80</w:t>
            </w:r>
          </w:p>
        </w:tc>
        <w:tc>
          <w:tcPr>
            <w:tcW w:type="dxa" w:w="1440"/>
          </w:tcPr>
          <w:p>
            <w:r>
              <w:rPr>
                <w:sz w:val="17"/>
              </w:rPr>
              <w:t>2.00</w:t>
            </w:r>
          </w:p>
        </w:tc>
      </w:tr>
      <w:tr>
        <w:tc>
          <w:tcPr>
            <w:tcW w:type="dxa" w:w="1440"/>
          </w:tcPr>
          <w:p>
            <w:r>
              <w:rPr>
                <w:sz w:val="17"/>
              </w:rPr>
              <w:t>B: Sep-Oct</w:t>
            </w:r>
          </w:p>
        </w:tc>
        <w:tc>
          <w:tcPr>
            <w:tcW w:type="dxa" w:w="1440"/>
          </w:tcPr>
          <w:p>
            <w:r>
              <w:rPr>
                <w:sz w:val="17"/>
              </w:rPr>
              <w:t>lane median rate/mile x distance</w:t>
            </w:r>
          </w:p>
        </w:tc>
        <w:tc>
          <w:tcPr>
            <w:tcW w:type="dxa" w:w="1440"/>
          </w:tcPr>
          <w:p>
            <w:r>
              <w:rPr>
                <w:sz w:val="17"/>
              </w:rPr>
              <w:t>6.87</w:t>
            </w:r>
          </w:p>
        </w:tc>
        <w:tc>
          <w:tcPr>
            <w:tcW w:type="dxa" w:w="1440"/>
          </w:tcPr>
          <w:p>
            <w:r>
              <w:rPr>
                <w:sz w:val="17"/>
              </w:rPr>
              <w:t>154.84</w:t>
            </w:r>
          </w:p>
        </w:tc>
        <w:tc>
          <w:tcPr>
            <w:tcW w:type="dxa" w:w="1440"/>
          </w:tcPr>
          <w:p>
            <w:r>
              <w:rPr>
                <w:sz w:val="17"/>
              </w:rPr>
              <w:t>3.44</w:t>
            </w:r>
          </w:p>
        </w:tc>
        <w:tc>
          <w:tcPr>
            <w:tcW w:type="dxa" w:w="1440"/>
          </w:tcPr>
          <w:p>
            <w:r>
              <w:rPr>
                <w:sz w:val="17"/>
              </w:rPr>
              <w:t>2.96</w:t>
            </w:r>
          </w:p>
        </w:tc>
      </w:tr>
      <w:tr>
        <w:tc>
          <w:tcPr>
            <w:tcW w:type="dxa" w:w="1440"/>
          </w:tcPr>
          <w:p>
            <w:r>
              <w:rPr>
                <w:sz w:val="17"/>
              </w:rPr>
              <w:t>B: Sep-Oct</w:t>
            </w:r>
          </w:p>
        </w:tc>
        <w:tc>
          <w:tcPr>
            <w:tcW w:type="dxa" w:w="1440"/>
          </w:tcPr>
          <w:p>
            <w:r>
              <w:rPr>
                <w:sz w:val="17"/>
              </w:rPr>
              <w:t>LightGBM + market_index + quote_signal</w:t>
            </w:r>
          </w:p>
        </w:tc>
        <w:tc>
          <w:tcPr>
            <w:tcW w:type="dxa" w:w="1440"/>
          </w:tcPr>
          <w:p>
            <w:r>
              <w:rPr>
                <w:sz w:val="17"/>
              </w:rPr>
              <w:t>5.55</w:t>
            </w:r>
          </w:p>
        </w:tc>
        <w:tc>
          <w:tcPr>
            <w:tcW w:type="dxa" w:w="1440"/>
          </w:tcPr>
          <w:p>
            <w:r>
              <w:rPr>
                <w:sz w:val="17"/>
              </w:rPr>
              <w:t>133.37</w:t>
            </w:r>
          </w:p>
        </w:tc>
        <w:tc>
          <w:tcPr>
            <w:tcW w:type="dxa" w:w="1440"/>
          </w:tcPr>
          <w:p>
            <w:r>
              <w:rPr>
                <w:sz w:val="17"/>
              </w:rPr>
              <w:t>3.12</w:t>
            </w:r>
          </w:p>
        </w:tc>
        <w:tc>
          <w:tcPr>
            <w:tcW w:type="dxa" w:w="1440"/>
          </w:tcPr>
          <w:p>
            <w:r>
              <w:rPr>
                <w:sz w:val="17"/>
              </w:rPr>
              <w:t>2.97</w:t>
            </w:r>
          </w:p>
        </w:tc>
      </w:tr>
      <w:tr>
        <w:tc>
          <w:tcPr>
            <w:tcW w:type="dxa" w:w="1440"/>
          </w:tcPr>
          <w:p>
            <w:r>
              <w:rPr>
                <w:sz w:val="17"/>
              </w:rPr>
              <w:t>B: Sep-Oct</w:t>
            </w:r>
          </w:p>
        </w:tc>
        <w:tc>
          <w:tcPr>
            <w:tcW w:type="dxa" w:w="1440"/>
          </w:tcPr>
          <w:p>
            <w:r>
              <w:rPr>
                <w:sz w:val="17"/>
              </w:rPr>
              <w:t>LightGBM + market_index</w:t>
            </w:r>
          </w:p>
        </w:tc>
        <w:tc>
          <w:tcPr>
            <w:tcW w:type="dxa" w:w="1440"/>
          </w:tcPr>
          <w:p>
            <w:r>
              <w:rPr>
                <w:sz w:val="17"/>
              </w:rPr>
              <w:t>7.24</w:t>
            </w:r>
          </w:p>
        </w:tc>
        <w:tc>
          <w:tcPr>
            <w:tcW w:type="dxa" w:w="1440"/>
          </w:tcPr>
          <w:p>
            <w:r>
              <w:rPr>
                <w:sz w:val="17"/>
              </w:rPr>
              <w:t>171.23</w:t>
            </w:r>
          </w:p>
        </w:tc>
        <w:tc>
          <w:tcPr>
            <w:tcW w:type="dxa" w:w="1440"/>
          </w:tcPr>
          <w:p>
            <w:r>
              <w:rPr>
                <w:sz w:val="17"/>
              </w:rPr>
              <w:t>4.85</w:t>
            </w:r>
          </w:p>
        </w:tc>
        <w:tc>
          <w:tcPr>
            <w:tcW w:type="dxa" w:w="1440"/>
          </w:tcPr>
          <w:p>
            <w:r>
              <w:rPr>
                <w:sz w:val="17"/>
              </w:rPr>
              <w:t>4.80</w:t>
            </w:r>
          </w:p>
        </w:tc>
      </w:tr>
      <w:tr>
        <w:tc>
          <w:tcPr>
            <w:tcW w:type="dxa" w:w="1440"/>
          </w:tcPr>
          <w:p>
            <w:r>
              <w:rPr>
                <w:sz w:val="17"/>
              </w:rPr>
              <w:t>B: Sep-Oct</w:t>
            </w:r>
          </w:p>
        </w:tc>
        <w:tc>
          <w:tcPr>
            <w:tcW w:type="dxa" w:w="1440"/>
          </w:tcPr>
          <w:p>
            <w:r>
              <w:rPr>
                <w:sz w:val="17"/>
              </w:rPr>
              <w:t>LightGBM, no market signals</w:t>
            </w:r>
          </w:p>
        </w:tc>
        <w:tc>
          <w:tcPr>
            <w:tcW w:type="dxa" w:w="1440"/>
          </w:tcPr>
          <w:p>
            <w:r>
              <w:rPr>
                <w:sz w:val="17"/>
              </w:rPr>
              <w:t>4.68</w:t>
            </w:r>
          </w:p>
        </w:tc>
        <w:tc>
          <w:tcPr>
            <w:tcW w:type="dxa" w:w="1440"/>
          </w:tcPr>
          <w:p>
            <w:r>
              <w:rPr>
                <w:sz w:val="17"/>
              </w:rPr>
              <w:t>106.63</w:t>
            </w:r>
          </w:p>
        </w:tc>
        <w:tc>
          <w:tcPr>
            <w:tcW w:type="dxa" w:w="1440"/>
          </w:tcPr>
          <w:p>
            <w:r>
              <w:rPr>
                <w:sz w:val="17"/>
              </w:rPr>
              <w:t>2.18</w:t>
            </w:r>
          </w:p>
        </w:tc>
        <w:tc>
          <w:tcPr>
            <w:tcW w:type="dxa" w:w="1440"/>
          </w:tcPr>
          <w:p>
            <w:r>
              <w:rPr>
                <w:sz w:val="17"/>
              </w:rPr>
              <w:t>1.87</w:t>
            </w:r>
          </w:p>
        </w:tc>
      </w:tr>
      <w:tr>
        <w:tc>
          <w:tcPr>
            <w:tcW w:type="dxa" w:w="1440"/>
          </w:tcPr>
          <w:p>
            <w:r>
              <w:rPr>
                <w:sz w:val="17"/>
              </w:rPr>
              <w:t>B: Sep-Oct</w:t>
            </w:r>
          </w:p>
        </w:tc>
        <w:tc>
          <w:tcPr>
            <w:tcW w:type="dxa" w:w="1440"/>
          </w:tcPr>
          <w:p>
            <w:r>
              <w:rPr>
                <w:sz w:val="17"/>
              </w:rPr>
              <w:t>LightGBM, no market signals, recency-weighted (final)</w:t>
            </w:r>
          </w:p>
        </w:tc>
        <w:tc>
          <w:tcPr>
            <w:tcW w:type="dxa" w:w="1440"/>
          </w:tcPr>
          <w:p>
            <w:r>
              <w:rPr>
                <w:sz w:val="17"/>
              </w:rPr>
              <w:t>4.44</w:t>
            </w:r>
          </w:p>
        </w:tc>
        <w:tc>
          <w:tcPr>
            <w:tcW w:type="dxa" w:w="1440"/>
          </w:tcPr>
          <w:p>
            <w:r>
              <w:rPr>
                <w:sz w:val="17"/>
              </w:rPr>
              <w:t>101.15</w:t>
            </w:r>
          </w:p>
        </w:tc>
        <w:tc>
          <w:tcPr>
            <w:tcW w:type="dxa" w:w="1440"/>
          </w:tcPr>
          <w:p>
            <w:r>
              <w:rPr>
                <w:sz w:val="17"/>
              </w:rPr>
              <w:t>1.90</w:t>
            </w:r>
          </w:p>
        </w:tc>
        <w:tc>
          <w:tcPr>
            <w:tcW w:type="dxa" w:w="1440"/>
          </w:tcPr>
          <w:p>
            <w:r>
              <w:rPr>
                <w:sz w:val="17"/>
              </w:rPr>
              <w:t>1.60</w:t>
            </w:r>
          </w:p>
        </w:tc>
      </w:tr>
    </w:tbl>
    <w:p/>
    <w:p>
      <w:r>
        <w:drawing>
          <wp:inline xmlns:a="http://schemas.openxmlformats.org/drawingml/2006/main" xmlns:pic="http://schemas.openxmlformats.org/drawingml/2006/picture">
            <wp:extent cx="5669280" cy="2570074"/>
            <wp:docPr id="1" name="Picture 1"/>
            <wp:cNvGraphicFramePr>
              <a:graphicFrameLocks noChangeAspect="1"/>
            </wp:cNvGraphicFramePr>
            <a:graphic>
              <a:graphicData uri="http://schemas.openxmlformats.org/drawingml/2006/picture">
                <pic:pic>
                  <pic:nvPicPr>
                    <pic:cNvPr id="0" name="backtest_chart.png"/>
                    <pic:cNvPicPr/>
                  </pic:nvPicPr>
                  <pic:blipFill>
                    <a:blip r:embed="rId9"/>
                    <a:stretch>
                      <a:fillRect/>
                    </a:stretch>
                  </pic:blipFill>
                  <pic:spPr>
                    <a:xfrm>
                      <a:off x="0" y="0"/>
                      <a:ext cx="5669280" cy="2570074"/>
                    </a:xfrm>
                    <a:prstGeom prst="rect"/>
                  </pic:spPr>
                </pic:pic>
              </a:graphicData>
            </a:graphic>
          </wp:inline>
        </w:drawing>
      </w:r>
    </w:p>
    <w:p>
      <w:r>
        <w:t>Two things decided the model. First, anchoring on distance x quote_signal is the worst option because the quote is wrong on a sizeable share of loads. Second, market_index is unstable: it helped slightly in window A and hurt badly in window B, where the index dropped to 0.93 after peaking at 1.30 in May while actual rates held up. The validation months sit in that same low range (0.93), so the model without it is the safer choice for the period being scored. Among the models without market signals, a 90-day recency weight was better in both windows, most clearly in the later one.</w:t>
      </w:r>
    </w:p>
    <w:p>
      <w:pPr>
        <w:pStyle w:val="Heading1"/>
      </w:pPr>
      <w:r>
        <w:t>December forecast</w:t>
      </w:r>
    </w:p>
    <w:p>
      <w:r>
        <w:t>Lexington to Fort Wayne, 360 miles, Dry Van, 32,000 lb, one prediction per day. The December inputs carry no quote_signal or market_index, which the final model does not need. City coordinates come from the same cities in the other files. Predicted rates run from $820.30 to $847.30, with a weekly pattern (midweek higher, weekends lower) that matches the training data. Recent dry-van loads on this lane paid about $780 to $865 for similar distances, so the level is consistent with history.</w:t>
      </w:r>
    </w:p>
    <w:p>
      <w:r>
        <w:drawing>
          <wp:inline xmlns:a="http://schemas.openxmlformats.org/drawingml/2006/main" xmlns:pic="http://schemas.openxmlformats.org/drawingml/2006/picture">
            <wp:extent cx="5852160" cy="1906063"/>
            <wp:docPr id="2" name="Picture 2"/>
            <wp:cNvGraphicFramePr>
              <a:graphicFrameLocks noChangeAspect="1"/>
            </wp:cNvGraphicFramePr>
            <a:graphic>
              <a:graphicData uri="http://schemas.openxmlformats.org/drawingml/2006/picture">
                <pic:pic>
                  <pic:nvPicPr>
                    <pic:cNvPr id="0" name="candidate_december.png"/>
                    <pic:cNvPicPr/>
                  </pic:nvPicPr>
                  <pic:blipFill>
                    <a:blip r:embed="rId10"/>
                    <a:stretch>
                      <a:fillRect/>
                    </a:stretch>
                  </pic:blipFill>
                  <pic:spPr>
                    <a:xfrm>
                      <a:off x="0" y="0"/>
                      <a:ext cx="5852160" cy="1906063"/>
                    </a:xfrm>
                    <a:prstGeom prst="rect"/>
                  </pic:spPr>
                </pic:pic>
              </a:graphicData>
            </a:graphic>
          </wp:inline>
        </w:drawing>
      </w:r>
    </w:p>
    <w:p>
      <w:pPr>
        <w:pStyle w:val="Heading1"/>
      </w:pPr>
      <w:r>
        <w:t>Limits and next steps</w:t>
      </w:r>
    </w:p>
    <w:p>
      <w:pPr>
        <w:pStyle w:val="ListBullet"/>
      </w:pPr>
      <w:r>
        <w:t>There is no previous December in the data, so holiday effects around Christmas are not modelled.</w:t>
      </w:r>
    </w:p>
    <w:p>
      <w:pPr>
        <w:pStyle w:val="ListBullet"/>
      </w:pPr>
      <w:r>
        <w:t>The rate errors in the target can't be predicted from the inputs. If they come from a known source (per-mile vs total, currency), fixing them upstream would be worth more than any model change.</w:t>
      </w:r>
    </w:p>
    <w:p>
      <w:pPr>
        <w:pStyle w:val="ListBullet"/>
      </w:pPr>
      <w:r>
        <w:t>With more history, I would add a lane-level time trend and retest market_index with a lag instead of same-day.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