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5E" w:val="clear"/>
            <w:tcMar>
              <w:top w:type="dxa" w:w="400"/>
              <w:left w:type="dxa" w:w="400"/>
              <w:bottom w:type="dxa" w:w="400"/>
              <w:right w:type="dxa" w:w="400"/>
            </w:tcMar>
          </w:tcPr>
          <w:p>
            <w:pPr>
              <w:jc w:val="center"/>
            </w:pPr>
            <w:r>
              <w:rPr>
                <w:rFonts w:ascii="Arial" w:cs="Arial" w:eastAsia="Arial" w:hAnsi="Arial"/>
                <w:b/>
                <w:bCs/>
                <w:color w:val="FFFFFF"/>
                <w:sz w:val="72"/>
                <w:szCs w:val="72"/>
              </w:rPr>
              <w:t xml:space="preserve">GenoEquity</w:t>
            </w:r>
          </w:p>
          <w:p>
            <w:pPr>
              <w:jc w:val="center"/>
            </w:pPr>
            <w:r>
              <w:rPr>
                <w:rFonts w:ascii="Arial" w:cs="Arial" w:eastAsia="Arial" w:hAnsi="Arial"/>
                <w:i/>
                <w:iCs/>
                <w:color w:val="A8D5DD"/>
                <w:sz w:val="36"/>
                <w:szCs w:val="36"/>
              </w:rPr>
              <w:t xml:space="preserve">Ancestry-Aware Cancer PRS Bias Auditor</w:t>
            </w:r>
          </w:p>
          <w:p>
            <w:pPr>
              <w:spacing w:after="80" w:before="0"/>
            </w:pPr>
            <w:r>
              <w:t xml:space="preserve"/>
            </w:r>
          </w:p>
          <w:p>
            <w:pPr>
              <w:jc w:val="center"/>
            </w:pPr>
            <w:r>
              <w:rPr>
                <w:rFonts w:ascii="Arial" w:cs="Arial" w:eastAsia="Arial" w:hAnsi="Arial"/>
                <w:color w:val="D0E8EC"/>
                <w:sz w:val="24"/>
                <w:szCs w:val="24"/>
              </w:rPr>
              <w:t xml:space="preserve">Complete Project Specification &amp; Implementation Guide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CC" w:sz="1"/>
              <w:left w:val="single" w:color="B0C4CC" w:sz="1"/>
              <w:bottom w:val="single" w:color="B0C4CC" w:sz="1"/>
              <w:right w:val="single" w:color="B0C4CC" w:sz="1"/>
            </w:tcBorders>
            <w:shd w:fill="2E7D8C" w:val="clear"/>
            <w:tcMar>
              <w:top w:type="dxa" w:w="80"/>
              <w:left w:type="dxa" w:w="180"/>
              <w:bottom w:type="dxa" w:w="80"/>
              <w:right w:type="dxa" w:w="180"/>
            </w:tcMar>
          </w:tcPr>
          <w:p>
            <w:r>
              <w:rPr>
                <w:rFonts w:ascii="Arial" w:cs="Arial" w:eastAsia="Arial" w:hAnsi="Arial"/>
                <w:b/>
                <w:bCs/>
                <w:color w:val="FFFFFF"/>
                <w:sz w:val="22"/>
                <w:szCs w:val="22"/>
              </w:rPr>
              <w:t xml:space="preserve">PROJECT SNAPSHOT</w:t>
            </w:r>
          </w:p>
        </w:tc>
      </w:tr>
      <w:tr>
        <w:tc>
          <w:tcPr>
            <w:tcBorders>
              <w:top w:val="single" w:color="B0C4CC" w:sz="1"/>
              <w:left w:val="single" w:color="B0C4CC" w:sz="1"/>
              <w:bottom w:val="single" w:color="B0C4CC" w:sz="1"/>
              <w:right w:val="single" w:color="B0C4CC" w:sz="1"/>
            </w:tcBorders>
            <w:shd w:fill="E8F4F6" w:val="clear"/>
            <w:tcMar>
              <w:top w:type="dxa" w:w="100"/>
              <w:left w:type="dxa" w:w="180"/>
              <w:bottom w:type="dxa" w:w="100"/>
              <w:right w:type="dxa" w:w="180"/>
            </w:tcMar>
          </w:tcPr>
          <w:p>
            <w:pPr>
              <w:spacing w:after="30" w:before="30"/>
            </w:pPr>
            <w:r>
              <w:rPr>
                <w:rFonts w:ascii="Arial" w:cs="Arial" w:eastAsia="Arial" w:hAnsi="Arial"/>
                <w:color w:val="222222"/>
                <w:sz w:val="21"/>
                <w:szCs w:val="21"/>
              </w:rPr>
              <w:t xml:space="preserve">Purpose:      Audit published cancer polygenic risk score (PRS) models for ancestry representation bias</w:t>
            </w:r>
          </w:p>
          <w:p>
            <w:pPr>
              <w:spacing w:after="30" w:before="30"/>
            </w:pPr>
            <w:r>
              <w:rPr>
                <w:rFonts w:ascii="Arial" w:cs="Arial" w:eastAsia="Arial" w:hAnsi="Arial"/>
                <w:color w:val="222222"/>
                <w:sz w:val="21"/>
                <w:szCs w:val="21"/>
              </w:rPr>
              <w:t xml:space="preserve">Stack:        Python · SQL · Streamlit · gnomAD API · GWAS Catalog API · ReportLab</w:t>
            </w:r>
          </w:p>
          <w:p>
            <w:pPr>
              <w:spacing w:after="30" w:before="30"/>
            </w:pPr>
            <w:r>
              <w:rPr>
                <w:rFonts w:ascii="Arial" w:cs="Arial" w:eastAsia="Arial" w:hAnsi="Arial"/>
                <w:color w:val="222222"/>
                <w:sz w:val="21"/>
                <w:szCs w:val="21"/>
              </w:rPr>
              <w:t xml:space="preserve">Output:       Downloadable PDF bias-audit report per PRS model</w:t>
            </w:r>
          </w:p>
          <w:p>
            <w:pPr>
              <w:spacing w:after="30" w:before="30"/>
            </w:pPr>
            <w:r>
              <w:rPr>
                <w:rFonts w:ascii="Arial" w:cs="Arial" w:eastAsia="Arial" w:hAnsi="Arial"/>
                <w:color w:val="222222"/>
                <w:sz w:val="21"/>
                <w:szCs w:val="21"/>
              </w:rPr>
              <w:t xml:space="preserve">Deployment:   Streamlit Community Cloud (free, permanent public URL)</w:t>
            </w:r>
          </w:p>
          <w:p>
            <w:pPr>
              <w:spacing w:after="30" w:before="30"/>
            </w:pPr>
            <w:r>
              <w:rPr>
                <w:rFonts w:ascii="Arial" w:cs="Arial" w:eastAsia="Arial" w:hAnsi="Arial"/>
                <w:color w:val="222222"/>
                <w:sz w:val="21"/>
                <w:szCs w:val="21"/>
              </w:rPr>
              <w:t xml:space="preserve">Timeline:     4 weeks solo build</w:t>
            </w:r>
          </w:p>
          <w:p>
            <w:pPr>
              <w:spacing w:after="30" w:before="30"/>
            </w:pPr>
            <w:r>
              <w:rPr>
                <w:rFonts w:ascii="Arial" w:cs="Arial" w:eastAsia="Arial" w:hAnsi="Arial"/>
                <w:color w:val="222222"/>
                <w:sz w:val="21"/>
                <w:szCs w:val="21"/>
              </w:rPr>
              <w:t xml:space="preserve">Audience:     Researchers, bioinformaticians, genomic medicine teams, portfolio reviewers</w:t>
            </w:r>
          </w:p>
        </w:tc>
      </w:tr>
    </w:tbl>
    <w:p>
      <w:pPr>
        <w:spacing w:after="80" w:before="0"/>
      </w:pPr>
      <w:r>
        <w:t xml:space="preserve"/>
      </w:r>
    </w:p>
    <w:p>
      <w:pPr>
        <w:pStyle w:val="Heading1"/>
        <w:pBdr>
          <w:bottom w:val="single" w:color="2E7D8C" w:sz="6" w:space="6"/>
        </w:pBdr>
        <w:spacing w:after="120" w:before="360"/>
      </w:pPr>
      <w:r>
        <w:rPr>
          <w:rFonts w:ascii="Arial" w:cs="Arial" w:eastAsia="Arial" w:hAnsi="Arial"/>
          <w:b/>
          <w:bCs/>
          <w:color w:val="1A3C5E"/>
          <w:sz w:val="36"/>
          <w:szCs w:val="36"/>
        </w:rPr>
        <w:t xml:space="preserve">1. Project Overview &amp; Motivation</w:t>
      </w:r>
    </w:p>
    <w:p>
      <w:pPr>
        <w:spacing w:after="100" w:before="60"/>
      </w:pPr>
      <w:r>
        <w:rPr>
          <w:rFonts w:ascii="Arial" w:cs="Arial" w:eastAsia="Arial" w:hAnsi="Arial"/>
          <w:b w:val="false"/>
          <w:bCs w:val="false"/>
          <w:i w:val="false"/>
          <w:iCs w:val="false"/>
          <w:color w:val="222222"/>
          <w:sz w:val="22"/>
          <w:szCs w:val="22"/>
        </w:rPr>
        <w:t xml:space="preserve">Polygenic Risk Scores (PRS) aggregate the effects of thousands of genetic variants to estimate a person's inherited risk for a disease. They are increasingly used in cancer screening, clinical triage, and population health programs. However, the vast majority of GWAS studies that power these models were conducted in individuals of European ancestry.</w:t>
      </w:r>
    </w:p>
    <w:p>
      <w:pPr>
        <w:spacing w:after="80" w:before="0"/>
      </w:pPr>
      <w:r>
        <w:t xml:space="preserve"/>
      </w:r>
    </w:p>
    <w:p>
      <w:pPr>
        <w:spacing w:after="100" w:before="60"/>
      </w:pPr>
      <w:r>
        <w:rPr>
          <w:rFonts w:ascii="Arial" w:cs="Arial" w:eastAsia="Arial" w:hAnsi="Arial"/>
          <w:b w:val="false"/>
          <w:bCs w:val="false"/>
          <w:i w:val="false"/>
          <w:iCs w:val="false"/>
          <w:color w:val="222222"/>
          <w:sz w:val="22"/>
          <w:szCs w:val="22"/>
        </w:rPr>
        <w:t xml:space="preserve">This creates a compounding problem: the variants chosen for the model, the effect sizes assigned to them, and the allele frequencies used to calibrate predictions are all European-centric. When applied to individuals of African, Latino, East Asian, South Asian, or admixed ancestry, these models can be systematically less accurate — and clinicians and researchers have no easy way to know how bad the gap is for a specific published model.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CC" w:sz="1"/>
              <w:left w:val="single" w:color="B0C4CC" w:sz="1"/>
              <w:bottom w:val="single" w:color="B0C4CC" w:sz="1"/>
              <w:right w:val="single" w:color="B0C4CC" w:sz="1"/>
            </w:tcBorders>
            <w:shd w:fill="2E7D8C" w:val="clear"/>
            <w:tcMar>
              <w:top w:type="dxa" w:w="80"/>
              <w:left w:type="dxa" w:w="180"/>
              <w:bottom w:type="dxa" w:w="80"/>
              <w:right w:type="dxa" w:w="180"/>
            </w:tcMar>
          </w:tcPr>
          <w:p>
            <w:r>
              <w:rPr>
                <w:rFonts w:ascii="Arial" w:cs="Arial" w:eastAsia="Arial" w:hAnsi="Arial"/>
                <w:b/>
                <w:bCs/>
                <w:color w:val="FFFFFF"/>
                <w:sz w:val="22"/>
                <w:szCs w:val="22"/>
              </w:rPr>
              <w:t xml:space="preserve">The Core Problem GenoEquity Solves</w:t>
            </w:r>
          </w:p>
        </w:tc>
      </w:tr>
      <w:tr>
        <w:tc>
          <w:tcPr>
            <w:tcBorders>
              <w:top w:val="single" w:color="B0C4CC" w:sz="1"/>
              <w:left w:val="single" w:color="B0C4CC" w:sz="1"/>
              <w:bottom w:val="single" w:color="B0C4CC" w:sz="1"/>
              <w:right w:val="single" w:color="B0C4CC" w:sz="1"/>
            </w:tcBorders>
            <w:shd w:fill="E8F4F6" w:val="clear"/>
            <w:tcMar>
              <w:top w:type="dxa" w:w="100"/>
              <w:left w:type="dxa" w:w="180"/>
              <w:bottom w:type="dxa" w:w="100"/>
              <w:right w:type="dxa" w:w="180"/>
            </w:tcMar>
          </w:tcPr>
          <w:p>
            <w:pPr>
              <w:spacing w:after="30" w:before="30"/>
            </w:pPr>
            <w:r>
              <w:rPr>
                <w:rFonts w:ascii="Arial" w:cs="Arial" w:eastAsia="Arial" w:hAnsi="Arial"/>
                <w:color w:val="222222"/>
                <w:sz w:val="21"/>
                <w:szCs w:val="21"/>
              </w:rPr>
              <w:t xml:space="preserve">There is no accessible, automated tool that takes a published PRS model and tells you:</w:t>
            </w:r>
          </w:p>
          <w:p>
            <w:pPr>
              <w:spacing w:after="30" w:before="30"/>
            </w:pPr>
            <w:r>
              <w:rPr>
                <w:rFonts w:ascii="Arial" w:cs="Arial" w:eastAsia="Arial" w:hAnsi="Arial"/>
                <w:color w:val="222222"/>
                <w:sz w:val="21"/>
                <w:szCs w:val="21"/>
              </w:rPr>
              <w:t xml:space="preserve">   - What fraction of its variants are well-characterized in non-European populations?</w:t>
            </w:r>
          </w:p>
          <w:p>
            <w:pPr>
              <w:spacing w:after="30" w:before="30"/>
            </w:pPr>
            <w:r>
              <w:rPr>
                <w:rFonts w:ascii="Arial" w:cs="Arial" w:eastAsia="Arial" w:hAnsi="Arial"/>
                <w:color w:val="222222"/>
                <w:sz w:val="21"/>
                <w:szCs w:val="21"/>
              </w:rPr>
              <w:t xml:space="preserve">   - Where does the model's predictive power degrade by ancestry?</w:t>
            </w:r>
          </w:p>
          <w:p>
            <w:pPr>
              <w:spacing w:after="30" w:before="30"/>
            </w:pPr>
            <w:r>
              <w:rPr>
                <w:rFonts w:ascii="Arial" w:cs="Arial" w:eastAsia="Arial" w:hAnsi="Arial"/>
                <w:color w:val="222222"/>
                <w:sz w:val="21"/>
                <w:szCs w:val="21"/>
              </w:rPr>
              <w:t xml:space="preserve">   - Which specific variants are the biggest contributors to the gap?</w:t>
            </w:r>
          </w:p>
          <w:p>
            <w:pPr>
              <w:spacing w:after="30" w:before="30"/>
            </w:pPr>
            <w:r>
              <w:rPr>
                <w:rFonts w:ascii="Arial" w:cs="Arial" w:eastAsia="Arial" w:hAnsi="Arial"/>
                <w:color w:val="222222"/>
                <w:sz w:val="21"/>
                <w:szCs w:val="21"/>
              </w:rPr>
              <w:t xml:space="preserve">GenoEquity generates that audit report in seconds, for any cancer PRS model in the GWAS Catalog.</w:t>
            </w:r>
          </w:p>
        </w:tc>
      </w:tr>
    </w:tbl>
    <w:p>
      <w:pPr>
        <w:spacing w:after="80" w:before="0"/>
      </w:pPr>
      <w:r>
        <w:t xml:space="preserve"/>
      </w:r>
    </w:p>
    <w:p>
      <w:pPr>
        <w:spacing w:after="100" w:before="60"/>
      </w:pPr>
      <w:r>
        <w:rPr>
          <w:rFonts w:ascii="Arial" w:cs="Arial" w:eastAsia="Arial" w:hAnsi="Arial"/>
          <w:b w:val="false"/>
          <w:bCs w:val="false"/>
          <w:i w:val="false"/>
          <w:iCs w:val="false"/>
          <w:color w:val="222222"/>
          <w:sz w:val="22"/>
          <w:szCs w:val="22"/>
        </w:rPr>
        <w:t xml:space="preserve">This is directly relevant to Dr. Alexander Ioannidis's published research on PRS portability across diverse populations, the Mexican Biobank, and underrepresented genomic cohorts. It also leverages real-world cancer signal understanding from Natera's cfDNA liquid biopsy context.</w:t>
      </w:r>
    </w:p>
    <w:p>
      <w:pPr>
        <w:pBdr>
          <w:bottom w:val="single" w:color="B0C4CC" w:sz="3" w:space="1"/>
        </w:pBdr>
        <w:spacing w:after="200" w:before="200"/>
      </w:pPr>
      <w:r>
        <w:t xml:space="preserve"/>
      </w:r>
    </w:p>
    <w:p>
      <w:pPr>
        <w:pStyle w:val="Heading1"/>
        <w:pBdr>
          <w:bottom w:val="single" w:color="2E7D8C" w:sz="6" w:space="6"/>
        </w:pBdr>
        <w:spacing w:after="120" w:before="360"/>
      </w:pPr>
      <w:r>
        <w:rPr>
          <w:rFonts w:ascii="Arial" w:cs="Arial" w:eastAsia="Arial" w:hAnsi="Arial"/>
          <w:b/>
          <w:bCs/>
          <w:color w:val="1A3C5E"/>
          <w:sz w:val="36"/>
          <w:szCs w:val="36"/>
        </w:rPr>
        <w:t xml:space="preserve">2. What the App Does — End to End</w:t>
      </w:r>
    </w:p>
    <w:p>
      <w:pPr>
        <w:pStyle w:val="Heading2"/>
        <w:spacing w:after="80" w:before="280"/>
      </w:pPr>
      <w:r>
        <w:rPr>
          <w:rFonts w:ascii="Arial" w:cs="Arial" w:eastAsia="Arial" w:hAnsi="Arial"/>
          <w:b/>
          <w:bCs/>
          <w:color w:val="2E7D8C"/>
          <w:sz w:val="28"/>
          <w:szCs w:val="28"/>
        </w:rPr>
        <w:t xml:space="preserve">2.1 User Flow</w:t>
      </w:r>
    </w:p>
    <w:p>
      <w:pPr>
        <w:pStyle w:val="ListParagraph"/>
        <w:numPr>
          <w:ilvl w:val="0"/>
          <w:numId w:val="2"/>
        </w:numPr>
        <w:spacing w:after="40" w:before="40"/>
      </w:pPr>
      <w:r>
        <w:rPr>
          <w:rFonts w:ascii="Arial" w:cs="Arial" w:eastAsia="Arial" w:hAnsi="Arial"/>
          <w:sz w:val="22"/>
          <w:szCs w:val="22"/>
        </w:rPr>
        <w:t xml:space="preserve">User opens the app at the public Streamlit URL</w:t>
      </w:r>
    </w:p>
    <w:p>
      <w:pPr>
        <w:pStyle w:val="ListParagraph"/>
        <w:numPr>
          <w:ilvl w:val="0"/>
          <w:numId w:val="2"/>
        </w:numPr>
        <w:spacing w:after="40" w:before="40"/>
      </w:pPr>
      <w:r>
        <w:rPr>
          <w:rFonts w:ascii="Arial" w:cs="Arial" w:eastAsia="Arial" w:hAnsi="Arial"/>
          <w:sz w:val="22"/>
          <w:szCs w:val="22"/>
        </w:rPr>
        <w:t xml:space="preserve">User enters a GWAS Catalog accession ID (e.g. GCST90016564) OR selects from 3 pre-loaded example cancer models</w:t>
      </w:r>
    </w:p>
    <w:p>
      <w:pPr>
        <w:pStyle w:val="ListParagraph"/>
        <w:numPr>
          <w:ilvl w:val="0"/>
          <w:numId w:val="2"/>
        </w:numPr>
        <w:spacing w:after="40" w:before="40"/>
      </w:pPr>
      <w:r>
        <w:rPr>
          <w:rFonts w:ascii="Arial" w:cs="Arial" w:eastAsia="Arial" w:hAnsi="Arial"/>
          <w:sz w:val="22"/>
          <w:szCs w:val="22"/>
        </w:rPr>
        <w:t xml:space="preserve">App fetches the PRS variant weights from GWAS Catalog API</w:t>
      </w:r>
    </w:p>
    <w:p>
      <w:pPr>
        <w:pStyle w:val="ListParagraph"/>
        <w:numPr>
          <w:ilvl w:val="0"/>
          <w:numId w:val="2"/>
        </w:numPr>
        <w:spacing w:after="40" w:before="40"/>
      </w:pPr>
      <w:r>
        <w:rPr>
          <w:rFonts w:ascii="Arial" w:cs="Arial" w:eastAsia="Arial" w:hAnsi="Arial"/>
          <w:sz w:val="22"/>
          <w:szCs w:val="22"/>
        </w:rPr>
        <w:t xml:space="preserve">App queries gnomAD API for allele frequencies of each variant across all ancestry groups</w:t>
      </w:r>
    </w:p>
    <w:p>
      <w:pPr>
        <w:pStyle w:val="ListParagraph"/>
        <w:numPr>
          <w:ilvl w:val="0"/>
          <w:numId w:val="2"/>
        </w:numPr>
        <w:spacing w:after="40" w:before="40"/>
      </w:pPr>
      <w:r>
        <w:rPr>
          <w:rFonts w:ascii="Arial" w:cs="Arial" w:eastAsia="Arial" w:hAnsi="Arial"/>
          <w:sz w:val="22"/>
          <w:szCs w:val="22"/>
        </w:rPr>
        <w:t xml:space="preserve">App computes a per-ancestry Coverage &amp; Reliability Score</w:t>
      </w:r>
    </w:p>
    <w:p>
      <w:pPr>
        <w:pStyle w:val="ListParagraph"/>
        <w:numPr>
          <w:ilvl w:val="0"/>
          <w:numId w:val="2"/>
        </w:numPr>
        <w:spacing w:after="40" w:before="40"/>
      </w:pPr>
      <w:r>
        <w:rPr>
          <w:rFonts w:ascii="Arial" w:cs="Arial" w:eastAsia="Arial" w:hAnsi="Arial"/>
          <w:sz w:val="22"/>
          <w:szCs w:val="22"/>
        </w:rPr>
        <w:t xml:space="preserve">App displays an interactive breakdown: variant table, ancestry heatmap, per-population score cards</w:t>
      </w:r>
    </w:p>
    <w:p>
      <w:pPr>
        <w:pStyle w:val="ListParagraph"/>
        <w:numPr>
          <w:ilvl w:val="0"/>
          <w:numId w:val="2"/>
        </w:numPr>
        <w:spacing w:after="40" w:before="40"/>
      </w:pPr>
      <w:r>
        <w:rPr>
          <w:rFonts w:ascii="Arial" w:cs="Arial" w:eastAsia="Arial" w:hAnsi="Arial"/>
          <w:sz w:val="22"/>
          <w:szCs w:val="22"/>
        </w:rPr>
        <w:t xml:space="preserve">User clicks 'Download Audit Report' — gets a professional PDF with all findings</w:t>
      </w:r>
    </w:p>
    <w:p>
      <w:pPr>
        <w:spacing w:after="80" w:before="0"/>
      </w:pPr>
      <w:r>
        <w:t xml:space="preserve"/>
      </w:r>
    </w:p>
    <w:p>
      <w:pPr>
        <w:pStyle w:val="Heading2"/>
        <w:spacing w:after="80" w:before="280"/>
      </w:pPr>
      <w:r>
        <w:rPr>
          <w:rFonts w:ascii="Arial" w:cs="Arial" w:eastAsia="Arial" w:hAnsi="Arial"/>
          <w:b/>
          <w:bCs/>
          <w:color w:val="2E7D8C"/>
          <w:sz w:val="28"/>
          <w:szCs w:val="28"/>
        </w:rPr>
        <w:t xml:space="preserve">2.2 Outputs</w:t>
      </w:r>
    </w:p>
    <w:p>
      <w:pPr>
        <w:pStyle w:val="ListParagraph"/>
        <w:numPr>
          <w:ilvl w:val="0"/>
          <w:numId w:val="3"/>
        </w:numPr>
        <w:spacing w:after="40" w:before="40"/>
      </w:pPr>
      <w:r>
        <w:rPr>
          <w:rFonts w:ascii="Arial" w:cs="Arial" w:eastAsia="Arial" w:hAnsi="Arial"/>
          <w:sz w:val="22"/>
          <w:szCs w:val="22"/>
        </w:rPr>
        <w:t xml:space="preserve">Interactive web dashboard with ancestry-stratified metrics</w:t>
      </w:r>
    </w:p>
    <w:p>
      <w:pPr>
        <w:pStyle w:val="ListParagraph"/>
        <w:numPr>
          <w:ilvl w:val="0"/>
          <w:numId w:val="3"/>
        </w:numPr>
        <w:spacing w:after="40" w:before="40"/>
      </w:pPr>
      <w:r>
        <w:rPr>
          <w:rFonts w:ascii="Arial" w:cs="Arial" w:eastAsia="Arial" w:hAnsi="Arial"/>
          <w:sz w:val="22"/>
          <w:szCs w:val="22"/>
        </w:rPr>
        <w:t xml:space="preserve">Downloadable PDF audit report (suitable for lab presentations or paper appendices)</w:t>
      </w:r>
    </w:p>
    <w:p>
      <w:pPr>
        <w:pStyle w:val="ListParagraph"/>
        <w:numPr>
          <w:ilvl w:val="0"/>
          <w:numId w:val="3"/>
        </w:numPr>
        <w:spacing w:after="40" w:before="40"/>
      </w:pPr>
      <w:r>
        <w:rPr>
          <w:rFonts w:ascii="Arial" w:cs="Arial" w:eastAsia="Arial" w:hAnsi="Arial"/>
          <w:sz w:val="22"/>
          <w:szCs w:val="22"/>
        </w:rPr>
        <w:t xml:space="preserve">A JSON output of the raw scores (for programmatic use by other researchers)</w:t>
      </w:r>
    </w:p>
    <w:p>
      <w:pPr>
        <w:pStyle w:val="ListParagraph"/>
        <w:numPr>
          <w:ilvl w:val="0"/>
          <w:numId w:val="3"/>
        </w:numPr>
        <w:spacing w:after="40" w:before="40"/>
      </w:pPr>
      <w:r>
        <w:rPr>
          <w:rFonts w:ascii="Arial" w:cs="Arial" w:eastAsia="Arial" w:hAnsi="Arial"/>
          <w:sz w:val="22"/>
          <w:szCs w:val="22"/>
        </w:rPr>
        <w:t xml:space="preserve">A shareable URL with the model ID pre-filled (for linking to a specific audit)</w:t>
      </w:r>
    </w:p>
    <w:p>
      <w:pPr>
        <w:pBdr>
          <w:bottom w:val="single" w:color="B0C4CC" w:sz="3" w:space="1"/>
        </w:pBdr>
        <w:spacing w:after="200" w:before="200"/>
      </w:pPr>
      <w:r>
        <w:t xml:space="preserve"/>
      </w:r>
    </w:p>
    <w:p>
      <w:pPr>
        <w:pStyle w:val="Heading1"/>
        <w:pBdr>
          <w:bottom w:val="single" w:color="2E7D8C" w:sz="6" w:space="6"/>
        </w:pBdr>
        <w:spacing w:after="120" w:before="360"/>
      </w:pPr>
      <w:r>
        <w:rPr>
          <w:rFonts w:ascii="Arial" w:cs="Arial" w:eastAsia="Arial" w:hAnsi="Arial"/>
          <w:b/>
          <w:bCs/>
          <w:color w:val="1A3C5E"/>
          <w:sz w:val="36"/>
          <w:szCs w:val="36"/>
        </w:rPr>
        <w:t xml:space="preserve">3. Data Sources</w:t>
      </w:r>
    </w:p>
    <w:p>
      <w:pPr>
        <w:spacing w:after="100" w:before="60"/>
      </w:pPr>
      <w:r>
        <w:rPr>
          <w:rFonts w:ascii="Arial" w:cs="Arial" w:eastAsia="Arial" w:hAnsi="Arial"/>
          <w:b w:val="false"/>
          <w:bCs w:val="false"/>
          <w:i w:val="false"/>
          <w:iCs w:val="false"/>
          <w:color w:val="222222"/>
          <w:sz w:val="22"/>
          <w:szCs w:val="22"/>
        </w:rPr>
        <w:t xml:space="preserve">All data sources used are completely free and publicly accessible. No IRB, no institutional agreement, no data access committee required.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1860"/>
      </w:tblGrid>
      <w:tr>
        <w:trPr>
          <w:tblHeader/>
        </w:trPr>
        <w:tc>
          <w:tcPr>
            <w:tcW w:type="dxa" w:w="2500"/>
            <w:tcBorders>
              <w:top w:val="single" w:color="B0C4CC" w:sz="1"/>
              <w:left w:val="single" w:color="B0C4CC" w:sz="1"/>
              <w:bottom w:val="single" w:color="B0C4CC" w:sz="1"/>
              <w:right w:val="single" w:color="B0C4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000"/>
            <w:tcBorders>
              <w:top w:val="single" w:color="B0C4CC" w:sz="1"/>
              <w:left w:val="single" w:color="B0C4CC" w:sz="1"/>
              <w:bottom w:val="single" w:color="B0C4CC" w:sz="1"/>
              <w:right w:val="single" w:color="B0C4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Provides</w:t>
            </w:r>
          </w:p>
        </w:tc>
        <w:tc>
          <w:tcPr>
            <w:tcW w:type="dxa" w:w="2000"/>
            <w:tcBorders>
              <w:top w:val="single" w:color="B0C4CC" w:sz="1"/>
              <w:left w:val="single" w:color="B0C4CC" w:sz="1"/>
              <w:bottom w:val="single" w:color="B0C4CC" w:sz="1"/>
              <w:right w:val="single" w:color="B0C4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Access Method</w:t>
            </w:r>
          </w:p>
        </w:tc>
        <w:tc>
          <w:tcPr>
            <w:tcW w:type="dxa" w:w="1860"/>
            <w:tcBorders>
              <w:top w:val="single" w:color="B0C4CC" w:sz="1"/>
              <w:left w:val="single" w:color="B0C4CC" w:sz="1"/>
              <w:bottom w:val="single" w:color="B0C4CC" w:sz="1"/>
              <w:right w:val="single" w:color="B0C4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License</w:t>
            </w:r>
          </w:p>
        </w:tc>
      </w:tr>
      <w:tr>
        <w:tc>
          <w:tcPr>
            <w:tcW w:type="dxa" w:w="25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GWAS Catalog</w:t>
            </w:r>
          </w:p>
        </w:tc>
        <w:tc>
          <w:tcPr>
            <w:tcW w:type="dxa" w:w="30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PRS variant IDs, effect alleles, effect sizes (beta/OR), p-values for published studies</w:t>
            </w:r>
          </w:p>
        </w:tc>
        <w:tc>
          <w:tcPr>
            <w:tcW w:type="dxa" w:w="20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REST API — no key required</w:t>
            </w:r>
          </w:p>
        </w:tc>
        <w:tc>
          <w:tcPr>
            <w:tcW w:type="dxa" w:w="186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EMBL-EBI Open</w:t>
            </w:r>
          </w:p>
        </w:tc>
      </w:tr>
      <w:tr>
        <w:tc>
          <w:tcPr>
            <w:tcW w:type="dxa" w:w="250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gnomAD v4.1</w:t>
            </w:r>
          </w:p>
        </w:tc>
        <w:tc>
          <w:tcPr>
            <w:tcW w:type="dxa" w:w="300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Allele frequencies per variant across 8 ancestry groups: AFR, AMR, ASJ, EAS, FIN, NFE, OTH, SAS</w:t>
            </w:r>
          </w:p>
        </w:tc>
        <w:tc>
          <w:tcPr>
            <w:tcW w:type="dxa" w:w="200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GraphQL API — no key required</w:t>
            </w:r>
          </w:p>
        </w:tc>
        <w:tc>
          <w:tcPr>
            <w:tcW w:type="dxa" w:w="186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CC0</w:t>
            </w:r>
          </w:p>
        </w:tc>
      </w:tr>
      <w:tr>
        <w:tc>
          <w:tcPr>
            <w:tcW w:type="dxa" w:w="25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1000 Genomes</w:t>
            </w:r>
          </w:p>
        </w:tc>
        <w:tc>
          <w:tcPr>
            <w:tcW w:type="dxa" w:w="30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Reference population panel for validation &amp; ancestry labeling</w:t>
            </w:r>
          </w:p>
        </w:tc>
        <w:tc>
          <w:tcPr>
            <w:tcW w:type="dxa" w:w="20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FTP / Hail on Google Cloud</w:t>
            </w:r>
          </w:p>
        </w:tc>
        <w:tc>
          <w:tcPr>
            <w:tcW w:type="dxa" w:w="186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Open</w:t>
            </w:r>
          </w:p>
        </w:tc>
      </w:tr>
      <w:tr>
        <w:tc>
          <w:tcPr>
            <w:tcW w:type="dxa" w:w="250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ClinVar</w:t>
            </w:r>
          </w:p>
        </w:tc>
        <w:tc>
          <w:tcPr>
            <w:tcW w:type="dxa" w:w="300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Clinical significance annotations for variants</w:t>
            </w:r>
          </w:p>
        </w:tc>
        <w:tc>
          <w:tcPr>
            <w:tcW w:type="dxa" w:w="200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NCBI E-utilities API</w:t>
            </w:r>
          </w:p>
        </w:tc>
        <w:tc>
          <w:tcPr>
            <w:tcW w:type="dxa" w:w="186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Public domain</w:t>
            </w:r>
          </w:p>
        </w:tc>
      </w:tr>
      <w:tr>
        <w:tc>
          <w:tcPr>
            <w:tcW w:type="dxa" w:w="25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OpenSNP</w:t>
            </w:r>
          </w:p>
        </w:tc>
        <w:tc>
          <w:tcPr>
            <w:tcW w:type="dxa" w:w="30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Voluntarily shared 23andMe/AncestryDNA files (for demo mode)</w:t>
            </w:r>
          </w:p>
        </w:tc>
        <w:tc>
          <w:tcPr>
            <w:tcW w:type="dxa" w:w="20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Direct download</w:t>
            </w:r>
          </w:p>
        </w:tc>
        <w:tc>
          <w:tcPr>
            <w:tcW w:type="dxa" w:w="186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CC0</w:t>
            </w:r>
          </w:p>
        </w:tc>
      </w:tr>
    </w:tbl>
    <w:p>
      <w:pPr>
        <w:spacing w:after="80" w:before="0"/>
      </w:pPr>
      <w:r>
        <w:t xml:space="preserve"/>
      </w:r>
    </w:p>
    <w:p>
      <w:pPr>
        <w:pStyle w:val="Heading2"/>
        <w:spacing w:after="80" w:before="280"/>
      </w:pPr>
      <w:r>
        <w:rPr>
          <w:rFonts w:ascii="Arial" w:cs="Arial" w:eastAsia="Arial" w:hAnsi="Arial"/>
          <w:b/>
          <w:bCs/>
          <w:color w:val="2E7D8C"/>
          <w:sz w:val="28"/>
          <w:szCs w:val="28"/>
        </w:rPr>
        <w:t xml:space="preserve">3.1 gnomAD Ancestry Groups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B0C4CC" w:sz="1"/>
              <w:left w:val="single" w:color="B0C4CC" w:sz="1"/>
              <w:bottom w:val="single" w:color="B0C4CC" w:sz="1"/>
              <w:right w:val="single" w:color="B0C4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gnomAD Code</w:t>
            </w:r>
          </w:p>
        </w:tc>
        <w:tc>
          <w:tcPr>
            <w:tcW w:type="dxa" w:w="4500"/>
            <w:tcBorders>
              <w:top w:val="single" w:color="B0C4CC" w:sz="1"/>
              <w:left w:val="single" w:color="B0C4CC" w:sz="1"/>
              <w:bottom w:val="single" w:color="B0C4CC" w:sz="1"/>
              <w:right w:val="single" w:color="B0C4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Population</w:t>
            </w:r>
          </w:p>
        </w:tc>
        <w:tc>
          <w:tcPr>
            <w:tcW w:type="dxa" w:w="2860"/>
            <w:tcBorders>
              <w:top w:val="single" w:color="B0C4CC" w:sz="1"/>
              <w:left w:val="single" w:color="B0C4CC" w:sz="1"/>
              <w:bottom w:val="single" w:color="B0C4CC" w:sz="1"/>
              <w:right w:val="single" w:color="B0C4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Sample Size (v4.1)</w:t>
            </w:r>
          </w:p>
        </w:tc>
      </w:tr>
      <w:tr>
        <w:tc>
          <w:tcPr>
            <w:tcW w:type="dxa" w:w="20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AFR</w:t>
            </w:r>
          </w:p>
        </w:tc>
        <w:tc>
          <w:tcPr>
            <w:tcW w:type="dxa" w:w="45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African / African American</w:t>
            </w:r>
          </w:p>
        </w:tc>
        <w:tc>
          <w:tcPr>
            <w:tcW w:type="dxa" w:w="286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~20,000+</w:t>
            </w:r>
          </w:p>
        </w:tc>
      </w:tr>
      <w:tr>
        <w:tc>
          <w:tcPr>
            <w:tcW w:type="dxa" w:w="200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AMR</w:t>
            </w:r>
          </w:p>
        </w:tc>
        <w:tc>
          <w:tcPr>
            <w:tcW w:type="dxa" w:w="450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Latino / Admixed American</w:t>
            </w:r>
          </w:p>
        </w:tc>
        <w:tc>
          <w:tcPr>
            <w:tcW w:type="dxa" w:w="286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~7,600+</w:t>
            </w:r>
          </w:p>
        </w:tc>
      </w:tr>
      <w:tr>
        <w:tc>
          <w:tcPr>
            <w:tcW w:type="dxa" w:w="20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ASJ</w:t>
            </w:r>
          </w:p>
        </w:tc>
        <w:tc>
          <w:tcPr>
            <w:tcW w:type="dxa" w:w="45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Ashkenazi Jewish</w:t>
            </w:r>
          </w:p>
        </w:tc>
        <w:tc>
          <w:tcPr>
            <w:tcW w:type="dxa" w:w="286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~1,500+</w:t>
            </w:r>
          </w:p>
        </w:tc>
      </w:tr>
      <w:tr>
        <w:tc>
          <w:tcPr>
            <w:tcW w:type="dxa" w:w="200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EAS</w:t>
            </w:r>
          </w:p>
        </w:tc>
        <w:tc>
          <w:tcPr>
            <w:tcW w:type="dxa" w:w="450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East Asian</w:t>
            </w:r>
          </w:p>
        </w:tc>
        <w:tc>
          <w:tcPr>
            <w:tcW w:type="dxa" w:w="286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~9,000+</w:t>
            </w:r>
          </w:p>
        </w:tc>
      </w:tr>
      <w:tr>
        <w:tc>
          <w:tcPr>
            <w:tcW w:type="dxa" w:w="20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FIN</w:t>
            </w:r>
          </w:p>
        </w:tc>
        <w:tc>
          <w:tcPr>
            <w:tcW w:type="dxa" w:w="45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Finnish</w:t>
            </w:r>
          </w:p>
        </w:tc>
        <w:tc>
          <w:tcPr>
            <w:tcW w:type="dxa" w:w="286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~10,800+</w:t>
            </w:r>
          </w:p>
        </w:tc>
      </w:tr>
      <w:tr>
        <w:tc>
          <w:tcPr>
            <w:tcW w:type="dxa" w:w="200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NFE</w:t>
            </w:r>
          </w:p>
        </w:tc>
        <w:tc>
          <w:tcPr>
            <w:tcW w:type="dxa" w:w="450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Non-Finnish European</w:t>
            </w:r>
          </w:p>
        </w:tc>
        <w:tc>
          <w:tcPr>
            <w:tcW w:type="dxa" w:w="286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~64,000+</w:t>
            </w:r>
          </w:p>
        </w:tc>
      </w:tr>
      <w:tr>
        <w:tc>
          <w:tcPr>
            <w:tcW w:type="dxa" w:w="20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OTH</w:t>
            </w:r>
          </w:p>
        </w:tc>
        <w:tc>
          <w:tcPr>
            <w:tcW w:type="dxa" w:w="45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Other / Unclassified</w:t>
            </w:r>
          </w:p>
        </w:tc>
        <w:tc>
          <w:tcPr>
            <w:tcW w:type="dxa" w:w="286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~5,000+</w:t>
            </w:r>
          </w:p>
        </w:tc>
      </w:tr>
      <w:tr>
        <w:tc>
          <w:tcPr>
            <w:tcW w:type="dxa" w:w="200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SAS</w:t>
            </w:r>
          </w:p>
        </w:tc>
        <w:tc>
          <w:tcPr>
            <w:tcW w:type="dxa" w:w="450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South Asian</w:t>
            </w:r>
          </w:p>
        </w:tc>
        <w:tc>
          <w:tcPr>
            <w:tcW w:type="dxa" w:w="286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~15,000+</w:t>
            </w:r>
          </w:p>
        </w:tc>
      </w:tr>
    </w:tbl>
    <w:p>
      <w:pPr>
        <w:spacing w:after="80" w:before="0"/>
      </w:pPr>
      <w:r>
        <w:t xml:space="preserve"/>
      </w:r>
    </w:p>
    <w:p>
      <w:pPr>
        <w:spacing w:after="100" w:before="60"/>
      </w:pPr>
      <w:r>
        <w:rPr>
          <w:rFonts w:ascii="Arial" w:cs="Arial" w:eastAsia="Arial" w:hAnsi="Arial"/>
          <w:b w:val="false"/>
          <w:bCs w:val="false"/>
          <w:i w:val="false"/>
          <w:iCs w:val="false"/>
          <w:color w:val="222222"/>
          <w:sz w:val="22"/>
          <w:szCs w:val="22"/>
        </w:rPr>
        <w:t xml:space="preserve">The stark difference in NFE (Non-Finnish European) sample sizes vs AMR or ASJ is itself a core part of the story GenoEquity tells — it is visible and quantified in the audit output.</w:t>
      </w:r>
    </w:p>
    <w:p>
      <w:pPr>
        <w:pBdr>
          <w:bottom w:val="single" w:color="B0C4CC" w:sz="3" w:space="1"/>
        </w:pBdr>
        <w:spacing w:after="200" w:before="200"/>
      </w:pPr>
      <w:r>
        <w:t xml:space="preserve"/>
      </w:r>
    </w:p>
    <w:p>
      <w:pPr>
        <w:pStyle w:val="Heading1"/>
        <w:pBdr>
          <w:bottom w:val="single" w:color="2E7D8C" w:sz="6" w:space="6"/>
        </w:pBdr>
        <w:spacing w:after="120" w:before="360"/>
      </w:pPr>
      <w:r>
        <w:rPr>
          <w:rFonts w:ascii="Arial" w:cs="Arial" w:eastAsia="Arial" w:hAnsi="Arial"/>
          <w:b/>
          <w:bCs/>
          <w:color w:val="1A3C5E"/>
          <w:sz w:val="36"/>
          <w:szCs w:val="36"/>
        </w:rPr>
        <w:t xml:space="preserve">4. Repository Structure</w:t>
      </w:r>
    </w:p>
    <w:p>
      <w:pPr>
        <w:spacing w:after="100" w:before="60"/>
      </w:pPr>
      <w:r>
        <w:rPr>
          <w:rFonts w:ascii="Arial" w:cs="Arial" w:eastAsia="Arial" w:hAnsi="Arial"/>
          <w:b w:val="false"/>
          <w:bCs w:val="false"/>
          <w:i w:val="false"/>
          <w:iCs w:val="false"/>
          <w:color w:val="222222"/>
          <w:sz w:val="22"/>
          <w:szCs w:val="22"/>
        </w:rPr>
        <w:t xml:space="preserve">The project follows a clean, professional structure that demonstrates engineering maturity to potential employers and collaborators.</w:t>
      </w:r>
    </w:p>
    <w:p>
      <w:pPr>
        <w:spacing w:after="80" w:before="0"/>
      </w:pPr>
      <w: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genoequity/</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app/                          # Streamlit frontend</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 main.py                   # App entry point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 pages/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   ├── 01_audit.py           # Main audit workflow page</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   ├── 02_explore.py         # Population explorer page</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   └── 03_about.py           # Methodology &amp; citations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 components/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 score_card.py         # Reusable score card widget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 heatmap.py            # Ancestry heatmap component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genoequity/                   # Core Python package</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 __init__.py</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 gwas.py                   # GWAS Catalog API client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 gnomad.py                 # gnomAD GraphQL client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 scoring.py                # Coverage &amp; reliability scoring logic</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 report.py                 # PDF report generator (ReportLab)</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 cache.py                  # SQLite caching layer</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 models.py                 # Pydantic data models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data/</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 examples/                 # Pre-run results for 3 cancer models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 db/                       # SQLite cache file (gitignored)</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tests/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 test_gwas.py</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 test_gnomad.py</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 test_scoring.py</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 fixtures/                 # Mocked API responses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notebooks/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 exploration.ipynb         # EDA and methodology development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scripts/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 precompute_examples.py    # Pre-run 3 example models for cold start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requirements.txt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.streamlit/config.toml        # Theme and deployment config</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README.md                     # Full documentation with screenshots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LICENSE                       # MIT</w:t>
      </w:r>
    </w:p>
    <w:p>
      <w:pPr>
        <w:pBdr>
          <w:bottom w:val="single" w:color="B0C4CC" w:sz="3" w:space="1"/>
        </w:pBdr>
        <w:spacing w:after="200" w:before="200"/>
      </w:pPr>
      <w:r>
        <w:t xml:space="preserve"/>
      </w:r>
    </w:p>
    <w:p>
      <w:pPr>
        <w:pStyle w:val="Heading1"/>
        <w:pBdr>
          <w:bottom w:val="single" w:color="2E7D8C" w:sz="6" w:space="6"/>
        </w:pBdr>
        <w:spacing w:after="120" w:before="360"/>
      </w:pPr>
      <w:r>
        <w:rPr>
          <w:rFonts w:ascii="Arial" w:cs="Arial" w:eastAsia="Arial" w:hAnsi="Arial"/>
          <w:b/>
          <w:bCs/>
          <w:color w:val="1A3C5E"/>
          <w:sz w:val="36"/>
          <w:szCs w:val="36"/>
        </w:rPr>
        <w:t xml:space="preserve">5. Full Technology Stack</w:t>
      </w:r>
    </w:p>
    <w:p>
      <w:pPr>
        <w:spacing w:after="80" w:before="0"/>
      </w:pPr>
      <w:r>
        <w:t xml:space="preserve"/>
      </w:r>
    </w:p>
    <w:p>
      <w:pPr>
        <w:pStyle w:val="Heading2"/>
        <w:spacing w:after="80" w:before="280"/>
      </w:pPr>
      <w:r>
        <w:rPr>
          <w:rFonts w:ascii="Arial" w:cs="Arial" w:eastAsia="Arial" w:hAnsi="Arial"/>
          <w:b/>
          <w:bCs/>
          <w:color w:val="2E7D8C"/>
          <w:sz w:val="28"/>
          <w:szCs w:val="28"/>
        </w:rPr>
        <w:t xml:space="preserve">5.1 Core Language &amp;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B0C4CC" w:sz="1"/>
              <w:left w:val="single" w:color="B0C4CC" w:sz="1"/>
              <w:bottom w:val="single" w:color="B0C4CC" w:sz="1"/>
              <w:right w:val="single" w:color="B0C4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500"/>
            <w:tcBorders>
              <w:top w:val="single" w:color="B0C4CC" w:sz="1"/>
              <w:left w:val="single" w:color="B0C4CC" w:sz="1"/>
              <w:bottom w:val="single" w:color="B0C4CC" w:sz="1"/>
              <w:right w:val="single" w:color="B0C4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360"/>
            <w:tcBorders>
              <w:top w:val="single" w:color="B0C4CC" w:sz="1"/>
              <w:left w:val="single" w:color="B0C4CC" w:sz="1"/>
              <w:bottom w:val="single" w:color="B0C4CC" w:sz="1"/>
              <w:right w:val="single" w:color="B0C4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Python</w:t>
            </w:r>
          </w:p>
        </w:tc>
        <w:tc>
          <w:tcPr>
            <w:tcW w:type="dxa" w:w="15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3.11+</w:t>
            </w:r>
          </w:p>
        </w:tc>
        <w:tc>
          <w:tcPr>
            <w:tcW w:type="dxa" w:w="536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Primary language for all backend logic, data processing, and app</w:t>
            </w:r>
          </w:p>
        </w:tc>
      </w:tr>
      <w:tr>
        <w:tc>
          <w:tcPr>
            <w:tcW w:type="dxa" w:w="250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pip / venv</w:t>
            </w:r>
          </w:p>
        </w:tc>
        <w:tc>
          <w:tcPr>
            <w:tcW w:type="dxa" w:w="150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Latest</w:t>
            </w:r>
          </w:p>
        </w:tc>
        <w:tc>
          <w:tcPr>
            <w:tcW w:type="dxa" w:w="536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Package and environment management</w:t>
            </w:r>
          </w:p>
        </w:tc>
      </w:tr>
      <w:tr>
        <w:tc>
          <w:tcPr>
            <w:tcW w:type="dxa" w:w="25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Git</w:t>
            </w:r>
          </w:p>
        </w:tc>
        <w:tc>
          <w:tcPr>
            <w:tcW w:type="dxa" w:w="15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Latest</w:t>
            </w:r>
          </w:p>
        </w:tc>
        <w:tc>
          <w:tcPr>
            <w:tcW w:type="dxa" w:w="536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Version control — commit frequently, meaningful messages</w:t>
            </w:r>
          </w:p>
        </w:tc>
      </w:tr>
    </w:tbl>
    <w:p>
      <w:pPr>
        <w:spacing w:after="80" w:before="0"/>
      </w:pPr>
      <w:r>
        <w:t xml:space="preserve"/>
      </w:r>
    </w:p>
    <w:p>
      <w:pPr>
        <w:pStyle w:val="Heading2"/>
        <w:spacing w:after="80" w:before="280"/>
      </w:pPr>
      <w:r>
        <w:rPr>
          <w:rFonts w:ascii="Arial" w:cs="Arial" w:eastAsia="Arial" w:hAnsi="Arial"/>
          <w:b/>
          <w:bCs/>
          <w:color w:val="2E7D8C"/>
          <w:sz w:val="28"/>
          <w:szCs w:val="28"/>
        </w:rPr>
        <w:t xml:space="preserve">5.2 Data Fetching &amp;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B0C4CC" w:sz="1"/>
              <w:left w:val="single" w:color="B0C4CC" w:sz="1"/>
              <w:bottom w:val="single" w:color="B0C4CC" w:sz="1"/>
              <w:right w:val="single" w:color="B0C4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500"/>
            <w:tcBorders>
              <w:top w:val="single" w:color="B0C4CC" w:sz="1"/>
              <w:left w:val="single" w:color="B0C4CC" w:sz="1"/>
              <w:bottom w:val="single" w:color="B0C4CC" w:sz="1"/>
              <w:right w:val="single" w:color="B0C4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660"/>
            <w:tcBorders>
              <w:top w:val="single" w:color="B0C4CC" w:sz="1"/>
              <w:left w:val="single" w:color="B0C4CC" w:sz="1"/>
              <w:bottom w:val="single" w:color="B0C4CC" w:sz="1"/>
              <w:right w:val="single" w:color="B0C4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22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requests</w:t>
            </w:r>
          </w:p>
        </w:tc>
        <w:tc>
          <w:tcPr>
            <w:tcW w:type="dxa" w:w="15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2.31+</w:t>
            </w:r>
          </w:p>
        </w:tc>
        <w:tc>
          <w:tcPr>
            <w:tcW w:type="dxa" w:w="566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HTTP calls to GWAS Catalog REST API and ClinVar E-utilities</w:t>
            </w:r>
          </w:p>
        </w:tc>
      </w:tr>
      <w:tr>
        <w:tc>
          <w:tcPr>
            <w:tcW w:type="dxa" w:w="220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gql</w:t>
            </w:r>
          </w:p>
        </w:tc>
        <w:tc>
          <w:tcPr>
            <w:tcW w:type="dxa" w:w="150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3.5+</w:t>
            </w:r>
          </w:p>
        </w:tc>
        <w:tc>
          <w:tcPr>
            <w:tcW w:type="dxa" w:w="566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GraphQL client for gnomAD API queries (cleaner than raw requests)</w:t>
            </w:r>
          </w:p>
        </w:tc>
      </w:tr>
      <w:tr>
        <w:tc>
          <w:tcPr>
            <w:tcW w:type="dxa" w:w="22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httpx</w:t>
            </w:r>
          </w:p>
        </w:tc>
        <w:tc>
          <w:tcPr>
            <w:tcW w:type="dxa" w:w="15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0.27+</w:t>
            </w:r>
          </w:p>
        </w:tc>
        <w:tc>
          <w:tcPr>
            <w:tcW w:type="dxa" w:w="566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Async HTTP for concurrent gnomAD variant lookups (speeds up large PRS models)</w:t>
            </w:r>
          </w:p>
        </w:tc>
      </w:tr>
      <w:tr>
        <w:tc>
          <w:tcPr>
            <w:tcW w:type="dxa" w:w="220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tenacity</w:t>
            </w:r>
          </w:p>
        </w:tc>
        <w:tc>
          <w:tcPr>
            <w:tcW w:type="dxa" w:w="150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8.2+</w:t>
            </w:r>
          </w:p>
        </w:tc>
        <w:tc>
          <w:tcPr>
            <w:tcW w:type="dxa" w:w="566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Automatic retry with exponential backoff for flaky API calls</w:t>
            </w:r>
          </w:p>
        </w:tc>
      </w:tr>
      <w:tr>
        <w:tc>
          <w:tcPr>
            <w:tcW w:type="dxa" w:w="22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ratelimit</w:t>
            </w:r>
          </w:p>
        </w:tc>
        <w:tc>
          <w:tcPr>
            <w:tcW w:type="dxa" w:w="15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2.2+</w:t>
            </w:r>
          </w:p>
        </w:tc>
        <w:tc>
          <w:tcPr>
            <w:tcW w:type="dxa" w:w="566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Respect gnomAD and GWAS Catalog rate limits</w:t>
            </w:r>
          </w:p>
        </w:tc>
      </w:tr>
    </w:tbl>
    <w:p>
      <w:pPr>
        <w:spacing w:after="80" w:before="0"/>
      </w:pPr>
      <w:r>
        <w:t xml:space="preserve"/>
      </w:r>
    </w:p>
    <w:p>
      <w:pPr>
        <w:pStyle w:val="Heading2"/>
        <w:spacing w:after="80" w:before="280"/>
      </w:pPr>
      <w:r>
        <w:rPr>
          <w:rFonts w:ascii="Arial" w:cs="Arial" w:eastAsia="Arial" w:hAnsi="Arial"/>
          <w:b/>
          <w:bCs/>
          <w:color w:val="2E7D8C"/>
          <w:sz w:val="28"/>
          <w:szCs w:val="28"/>
        </w:rPr>
        <w:t xml:space="preserve">5.3 Data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B0C4CC" w:sz="1"/>
              <w:left w:val="single" w:color="B0C4CC" w:sz="1"/>
              <w:bottom w:val="single" w:color="B0C4CC" w:sz="1"/>
              <w:right w:val="single" w:color="B0C4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500"/>
            <w:tcBorders>
              <w:top w:val="single" w:color="B0C4CC" w:sz="1"/>
              <w:left w:val="single" w:color="B0C4CC" w:sz="1"/>
              <w:bottom w:val="single" w:color="B0C4CC" w:sz="1"/>
              <w:right w:val="single" w:color="B0C4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660"/>
            <w:tcBorders>
              <w:top w:val="single" w:color="B0C4CC" w:sz="1"/>
              <w:left w:val="single" w:color="B0C4CC" w:sz="1"/>
              <w:bottom w:val="single" w:color="B0C4CC" w:sz="1"/>
              <w:right w:val="single" w:color="B0C4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22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pandas</w:t>
            </w:r>
          </w:p>
        </w:tc>
        <w:tc>
          <w:tcPr>
            <w:tcW w:type="dxa" w:w="15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2.2+</w:t>
            </w:r>
          </w:p>
        </w:tc>
        <w:tc>
          <w:tcPr>
            <w:tcW w:type="dxa" w:w="566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Variant dataframes, merging, group-by ancestry computations</w:t>
            </w:r>
          </w:p>
        </w:tc>
      </w:tr>
      <w:tr>
        <w:tc>
          <w:tcPr>
            <w:tcW w:type="dxa" w:w="220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numpy</w:t>
            </w:r>
          </w:p>
        </w:tc>
        <w:tc>
          <w:tcPr>
            <w:tcW w:type="dxa" w:w="150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1.26+</w:t>
            </w:r>
          </w:p>
        </w:tc>
        <w:tc>
          <w:tcPr>
            <w:tcW w:type="dxa" w:w="566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Numerical scoring computations</w:t>
            </w:r>
          </w:p>
        </w:tc>
      </w:tr>
      <w:tr>
        <w:tc>
          <w:tcPr>
            <w:tcW w:type="dxa" w:w="22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pydantic</w:t>
            </w:r>
          </w:p>
        </w:tc>
        <w:tc>
          <w:tcPr>
            <w:tcW w:type="dxa" w:w="15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2.6+</w:t>
            </w:r>
          </w:p>
        </w:tc>
        <w:tc>
          <w:tcPr>
            <w:tcW w:type="dxa" w:w="566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Data validation and typed models for API responses</w:t>
            </w:r>
          </w:p>
        </w:tc>
      </w:tr>
      <w:tr>
        <w:tc>
          <w:tcPr>
            <w:tcW w:type="dxa" w:w="220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sqlite3</w:t>
            </w:r>
          </w:p>
        </w:tc>
        <w:tc>
          <w:tcPr>
            <w:tcW w:type="dxa" w:w="150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stdlib</w:t>
            </w:r>
          </w:p>
        </w:tc>
        <w:tc>
          <w:tcPr>
            <w:tcW w:type="dxa" w:w="566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Built-in Python — local cache database (no setup required)</w:t>
            </w:r>
          </w:p>
        </w:tc>
      </w:tr>
      <w:tr>
        <w:tc>
          <w:tcPr>
            <w:tcW w:type="dxa" w:w="22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sqlalchemy</w:t>
            </w:r>
          </w:p>
        </w:tc>
        <w:tc>
          <w:tcPr>
            <w:tcW w:type="dxa" w:w="15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2.0+</w:t>
            </w:r>
          </w:p>
        </w:tc>
        <w:tc>
          <w:tcPr>
            <w:tcW w:type="dxa" w:w="566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ORM layer over SQLite for cleaner cache queries</w:t>
            </w:r>
          </w:p>
        </w:tc>
      </w:tr>
    </w:tbl>
    <w:p>
      <w:pPr>
        <w:spacing w:after="80" w:before="0"/>
      </w:pPr>
      <w:r>
        <w:t xml:space="preserve"/>
      </w:r>
    </w:p>
    <w:p>
      <w:pPr>
        <w:pStyle w:val="Heading2"/>
        <w:spacing w:after="80" w:before="280"/>
      </w:pPr>
      <w:r>
        <w:rPr>
          <w:rFonts w:ascii="Arial" w:cs="Arial" w:eastAsia="Arial" w:hAnsi="Arial"/>
          <w:b/>
          <w:bCs/>
          <w:color w:val="2E7D8C"/>
          <w:sz w:val="28"/>
          <w:szCs w:val="28"/>
        </w:rPr>
        <w:t xml:space="preserve">5.4 Frontend — Streamlit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B0C4CC" w:sz="1"/>
              <w:left w:val="single" w:color="B0C4CC" w:sz="1"/>
              <w:bottom w:val="single" w:color="B0C4CC" w:sz="1"/>
              <w:right w:val="single" w:color="B0C4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500"/>
            <w:tcBorders>
              <w:top w:val="single" w:color="B0C4CC" w:sz="1"/>
              <w:left w:val="single" w:color="B0C4CC" w:sz="1"/>
              <w:bottom w:val="single" w:color="B0C4CC" w:sz="1"/>
              <w:right w:val="single" w:color="B0C4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160"/>
            <w:tcBorders>
              <w:top w:val="single" w:color="B0C4CC" w:sz="1"/>
              <w:left w:val="single" w:color="B0C4CC" w:sz="1"/>
              <w:bottom w:val="single" w:color="B0C4CC" w:sz="1"/>
              <w:right w:val="single" w:color="B0C4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27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streamlit</w:t>
            </w:r>
          </w:p>
        </w:tc>
        <w:tc>
          <w:tcPr>
            <w:tcW w:type="dxa" w:w="15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1.33+</w:t>
            </w:r>
          </w:p>
        </w:tc>
        <w:tc>
          <w:tcPr>
            <w:tcW w:type="dxa" w:w="516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Entire web UI — pages, state, widgets, caching</w:t>
            </w:r>
          </w:p>
        </w:tc>
      </w:tr>
      <w:tr>
        <w:tc>
          <w:tcPr>
            <w:tcW w:type="dxa" w:w="270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plotly</w:t>
            </w:r>
          </w:p>
        </w:tc>
        <w:tc>
          <w:tcPr>
            <w:tcW w:type="dxa" w:w="150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5.20+</w:t>
            </w:r>
          </w:p>
        </w:tc>
        <w:tc>
          <w:tcPr>
            <w:tcW w:type="dxa" w:w="516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Interactive heatmaps, bar charts, scatter plots</w:t>
            </w:r>
          </w:p>
        </w:tc>
      </w:tr>
      <w:tr>
        <w:tc>
          <w:tcPr>
            <w:tcW w:type="dxa" w:w="27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altair</w:t>
            </w:r>
          </w:p>
        </w:tc>
        <w:tc>
          <w:tcPr>
            <w:tcW w:type="dxa" w:w="15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5.3+</w:t>
            </w:r>
          </w:p>
        </w:tc>
        <w:tc>
          <w:tcPr>
            <w:tcW w:type="dxa" w:w="516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Declarative charts for per-variant breakdowns</w:t>
            </w:r>
          </w:p>
        </w:tc>
      </w:tr>
      <w:tr>
        <w:tc>
          <w:tcPr>
            <w:tcW w:type="dxa" w:w="270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streamlit-extras</w:t>
            </w:r>
          </w:p>
        </w:tc>
        <w:tc>
          <w:tcPr>
            <w:tcW w:type="dxa" w:w="150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0.4+</w:t>
            </w:r>
          </w:p>
        </w:tc>
        <w:tc>
          <w:tcPr>
            <w:tcW w:type="dxa" w:w="516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Additional UI components (metric cards, badges)</w:t>
            </w:r>
          </w:p>
        </w:tc>
      </w:tr>
      <w:tr>
        <w:tc>
          <w:tcPr>
            <w:tcW w:type="dxa" w:w="27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st-aggrid</w:t>
            </w:r>
          </w:p>
        </w:tc>
        <w:tc>
          <w:tcPr>
            <w:tcW w:type="dxa" w:w="15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0.3+</w:t>
            </w:r>
          </w:p>
        </w:tc>
        <w:tc>
          <w:tcPr>
            <w:tcW w:type="dxa" w:w="516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Interactive sortable/filterable variant table in the app</w:t>
            </w:r>
          </w:p>
        </w:tc>
      </w:tr>
    </w:tbl>
    <w:p>
      <w:pPr>
        <w:spacing w:after="80" w:before="0"/>
      </w:pPr>
      <w:r>
        <w:t xml:space="preserve"/>
      </w:r>
    </w:p>
    <w:p>
      <w:pPr>
        <w:pStyle w:val="Heading2"/>
        <w:spacing w:after="80" w:before="280"/>
      </w:pPr>
      <w:r>
        <w:rPr>
          <w:rFonts w:ascii="Arial" w:cs="Arial" w:eastAsia="Arial" w:hAnsi="Arial"/>
          <w:b/>
          <w:bCs/>
          <w:color w:val="2E7D8C"/>
          <w:sz w:val="28"/>
          <w:szCs w:val="28"/>
        </w:rPr>
        <w:t xml:space="preserve">5.5 PDF Report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B0C4CC" w:sz="1"/>
              <w:left w:val="single" w:color="B0C4CC" w:sz="1"/>
              <w:bottom w:val="single" w:color="B0C4CC" w:sz="1"/>
              <w:right w:val="single" w:color="B0C4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500"/>
            <w:tcBorders>
              <w:top w:val="single" w:color="B0C4CC" w:sz="1"/>
              <w:left w:val="single" w:color="B0C4CC" w:sz="1"/>
              <w:bottom w:val="single" w:color="B0C4CC" w:sz="1"/>
              <w:right w:val="single" w:color="B0C4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660"/>
            <w:tcBorders>
              <w:top w:val="single" w:color="B0C4CC" w:sz="1"/>
              <w:left w:val="single" w:color="B0C4CC" w:sz="1"/>
              <w:bottom w:val="single" w:color="B0C4CC" w:sz="1"/>
              <w:right w:val="single" w:color="B0C4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22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reportlab</w:t>
            </w:r>
          </w:p>
        </w:tc>
        <w:tc>
          <w:tcPr>
            <w:tcW w:type="dxa" w:w="15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4.1+</w:t>
            </w:r>
          </w:p>
        </w:tc>
        <w:tc>
          <w:tcPr>
            <w:tcW w:type="dxa" w:w="566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Core PDF generation — layout, fonts, tables, colors</w:t>
            </w:r>
          </w:p>
        </w:tc>
      </w:tr>
      <w:tr>
        <w:tc>
          <w:tcPr>
            <w:tcW w:type="dxa" w:w="220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matplotlib</w:t>
            </w:r>
          </w:p>
        </w:tc>
        <w:tc>
          <w:tcPr>
            <w:tcW w:type="dxa" w:w="150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3.8+</w:t>
            </w:r>
          </w:p>
        </w:tc>
        <w:tc>
          <w:tcPr>
            <w:tcW w:type="dxa" w:w="566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Generate static chart PNGs that are embedded in the PDF</w:t>
            </w:r>
          </w:p>
        </w:tc>
      </w:tr>
      <w:tr>
        <w:tc>
          <w:tcPr>
            <w:tcW w:type="dxa" w:w="22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Pillow</w:t>
            </w:r>
          </w:p>
        </w:tc>
        <w:tc>
          <w:tcPr>
            <w:tcW w:type="dxa" w:w="15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10.3+</w:t>
            </w:r>
          </w:p>
        </w:tc>
        <w:tc>
          <w:tcPr>
            <w:tcW w:type="dxa" w:w="566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Image handling for embedded figures in ReportLab</w:t>
            </w:r>
          </w:p>
        </w:tc>
      </w:tr>
    </w:tbl>
    <w:p>
      <w:pPr>
        <w:spacing w:after="80" w:before="0"/>
      </w:pPr>
      <w:r>
        <w:t xml:space="preserve"/>
      </w:r>
    </w:p>
    <w:p>
      <w:pPr>
        <w:pStyle w:val="Heading2"/>
        <w:spacing w:after="80" w:before="280"/>
      </w:pPr>
      <w:r>
        <w:rPr>
          <w:rFonts w:ascii="Arial" w:cs="Arial" w:eastAsia="Arial" w:hAnsi="Arial"/>
          <w:b/>
          <w:bCs/>
          <w:color w:val="2E7D8C"/>
          <w:sz w:val="28"/>
          <w:szCs w:val="28"/>
        </w:rPr>
        <w:t xml:space="preserve">5.6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B0C4CC" w:sz="1"/>
              <w:left w:val="single" w:color="B0C4CC" w:sz="1"/>
              <w:bottom w:val="single" w:color="B0C4CC" w:sz="1"/>
              <w:right w:val="single" w:color="B0C4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500"/>
            <w:tcBorders>
              <w:top w:val="single" w:color="B0C4CC" w:sz="1"/>
              <w:left w:val="single" w:color="B0C4CC" w:sz="1"/>
              <w:bottom w:val="single" w:color="B0C4CC" w:sz="1"/>
              <w:right w:val="single" w:color="B0C4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660"/>
            <w:tcBorders>
              <w:top w:val="single" w:color="B0C4CC" w:sz="1"/>
              <w:left w:val="single" w:color="B0C4CC" w:sz="1"/>
              <w:bottom w:val="single" w:color="B0C4CC" w:sz="1"/>
              <w:right w:val="single" w:color="B0C4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22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pytest</w:t>
            </w:r>
          </w:p>
        </w:tc>
        <w:tc>
          <w:tcPr>
            <w:tcW w:type="dxa" w:w="15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8.1+</w:t>
            </w:r>
          </w:p>
        </w:tc>
        <w:tc>
          <w:tcPr>
            <w:tcW w:type="dxa" w:w="566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Test runner</w:t>
            </w:r>
          </w:p>
        </w:tc>
      </w:tr>
      <w:tr>
        <w:tc>
          <w:tcPr>
            <w:tcW w:type="dxa" w:w="220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pytest-mock</w:t>
            </w:r>
          </w:p>
        </w:tc>
        <w:tc>
          <w:tcPr>
            <w:tcW w:type="dxa" w:w="150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3.14+</w:t>
            </w:r>
          </w:p>
        </w:tc>
        <w:tc>
          <w:tcPr>
            <w:tcW w:type="dxa" w:w="566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Mock API calls so tests run offline without hitting real APIs</w:t>
            </w:r>
          </w:p>
        </w:tc>
      </w:tr>
      <w:tr>
        <w:tc>
          <w:tcPr>
            <w:tcW w:type="dxa" w:w="22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responses</w:t>
            </w:r>
          </w:p>
        </w:tc>
        <w:tc>
          <w:tcPr>
            <w:tcW w:type="dxa" w:w="15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0.25+</w:t>
            </w:r>
          </w:p>
        </w:tc>
        <w:tc>
          <w:tcPr>
            <w:tcW w:type="dxa" w:w="566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Mock HTTP responses for requests-based tests</w:t>
            </w:r>
          </w:p>
        </w:tc>
      </w:tr>
      <w:tr>
        <w:tc>
          <w:tcPr>
            <w:tcW w:type="dxa" w:w="220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pytest-asyncio</w:t>
            </w:r>
          </w:p>
        </w:tc>
        <w:tc>
          <w:tcPr>
            <w:tcW w:type="dxa" w:w="150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0.23+</w:t>
            </w:r>
          </w:p>
        </w:tc>
        <w:tc>
          <w:tcPr>
            <w:tcW w:type="dxa" w:w="566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Test async httpx code</w:t>
            </w:r>
          </w:p>
        </w:tc>
      </w:tr>
      <w:tr>
        <w:tc>
          <w:tcPr>
            <w:tcW w:type="dxa" w:w="22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coverage</w:t>
            </w:r>
          </w:p>
        </w:tc>
        <w:tc>
          <w:tcPr>
            <w:tcW w:type="dxa" w:w="15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7.4+</w:t>
            </w:r>
          </w:p>
        </w:tc>
        <w:tc>
          <w:tcPr>
            <w:tcW w:type="dxa" w:w="566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Track test coverage — aim for &gt;80% on core scoring logic</w:t>
            </w:r>
          </w:p>
        </w:tc>
      </w:tr>
    </w:tbl>
    <w:p>
      <w:pPr>
        <w:spacing w:after="80" w:before="0"/>
      </w:pPr>
      <w:r>
        <w:t xml:space="preserve"/>
      </w:r>
    </w:p>
    <w:p>
      <w:pPr>
        <w:pStyle w:val="Heading2"/>
        <w:spacing w:after="80" w:before="280"/>
      </w:pPr>
      <w:r>
        <w:rPr>
          <w:rFonts w:ascii="Arial" w:cs="Arial" w:eastAsia="Arial" w:hAnsi="Arial"/>
          <w:b/>
          <w:bCs/>
          <w:color w:val="2E7D8C"/>
          <w:sz w:val="28"/>
          <w:szCs w:val="28"/>
        </w:rPr>
        <w:t xml:space="preserve">5.7 Code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0C4CC" w:sz="1"/>
              <w:left w:val="single" w:color="B0C4CC" w:sz="1"/>
              <w:bottom w:val="single" w:color="B0C4CC" w:sz="1"/>
              <w:right w:val="single" w:color="B0C4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860"/>
            <w:tcBorders>
              <w:top w:val="single" w:color="B0C4CC" w:sz="1"/>
              <w:left w:val="single" w:color="B0C4CC" w:sz="1"/>
              <w:bottom w:val="single" w:color="B0C4CC" w:sz="1"/>
              <w:right w:val="single" w:color="B0C4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25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black</w:t>
            </w:r>
          </w:p>
        </w:tc>
        <w:tc>
          <w:tcPr>
            <w:tcW w:type="dxa" w:w="686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Auto-formatting — run before every commit</w:t>
            </w:r>
          </w:p>
        </w:tc>
      </w:tr>
      <w:tr>
        <w:tc>
          <w:tcPr>
            <w:tcW w:type="dxa" w:w="250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ruff</w:t>
            </w:r>
          </w:p>
        </w:tc>
        <w:tc>
          <w:tcPr>
            <w:tcW w:type="dxa" w:w="686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Fast linter (replaces flake8 + isort)</w:t>
            </w:r>
          </w:p>
        </w:tc>
      </w:tr>
      <w:tr>
        <w:tc>
          <w:tcPr>
            <w:tcW w:type="dxa" w:w="25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mypy</w:t>
            </w:r>
          </w:p>
        </w:tc>
        <w:tc>
          <w:tcPr>
            <w:tcW w:type="dxa" w:w="686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Static type checking — use Pydantic models everywhere</w:t>
            </w:r>
          </w:p>
        </w:tc>
      </w:tr>
      <w:tr>
        <w:tc>
          <w:tcPr>
            <w:tcW w:type="dxa" w:w="250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pre-commit</w:t>
            </w:r>
          </w:p>
        </w:tc>
        <w:tc>
          <w:tcPr>
            <w:tcW w:type="dxa" w:w="686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Run black + ruff automatically on git commit</w:t>
            </w:r>
          </w:p>
        </w:tc>
      </w:tr>
    </w:tbl>
    <w:p>
      <w:pPr>
        <w:pBdr>
          <w:bottom w:val="single" w:color="B0C4CC" w:sz="3" w:space="1"/>
        </w:pBdr>
        <w:spacing w:after="200" w:before="200"/>
      </w:pPr>
      <w:r>
        <w:t xml:space="preserve"/>
      </w:r>
    </w:p>
    <w:p>
      <w:pPr>
        <w:pStyle w:val="Heading1"/>
        <w:pBdr>
          <w:bottom w:val="single" w:color="2E7D8C" w:sz="6" w:space="6"/>
        </w:pBdr>
        <w:spacing w:after="120" w:before="360"/>
      </w:pPr>
      <w:r>
        <w:rPr>
          <w:rFonts w:ascii="Arial" w:cs="Arial" w:eastAsia="Arial" w:hAnsi="Arial"/>
          <w:b/>
          <w:bCs/>
          <w:color w:val="1A3C5E"/>
          <w:sz w:val="36"/>
          <w:szCs w:val="36"/>
        </w:rPr>
        <w:t xml:space="preserve">6. Core Algorithms &amp; Scoring Logic</w:t>
      </w:r>
    </w:p>
    <w:p>
      <w:pPr>
        <w:spacing w:after="100" w:before="60"/>
      </w:pPr>
      <w:r>
        <w:rPr>
          <w:rFonts w:ascii="Arial" w:cs="Arial" w:eastAsia="Arial" w:hAnsi="Arial"/>
          <w:b w:val="false"/>
          <w:bCs w:val="false"/>
          <w:i w:val="false"/>
          <w:iCs w:val="false"/>
          <w:color w:val="222222"/>
          <w:sz w:val="22"/>
          <w:szCs w:val="22"/>
        </w:rPr>
        <w:t xml:space="preserve">This is the intellectual heart of the project — the scoring system you design. This is what makes it a project, not just a data pipeline.</w:t>
      </w:r>
    </w:p>
    <w:p>
      <w:pPr>
        <w:spacing w:after="80" w:before="0"/>
      </w:pPr>
      <w:r>
        <w:t xml:space="preserve"/>
      </w:r>
    </w:p>
    <w:p>
      <w:pPr>
        <w:pStyle w:val="Heading2"/>
        <w:spacing w:after="80" w:before="280"/>
      </w:pPr>
      <w:r>
        <w:rPr>
          <w:rFonts w:ascii="Arial" w:cs="Arial" w:eastAsia="Arial" w:hAnsi="Arial"/>
          <w:b/>
          <w:bCs/>
          <w:color w:val="2E7D8C"/>
          <w:sz w:val="28"/>
          <w:szCs w:val="28"/>
        </w:rPr>
        <w:t xml:space="preserve">6.1 Coverage Score (per ancestry per model)</w:t>
      </w:r>
    </w:p>
    <w:p>
      <w:pPr>
        <w:spacing w:after="100" w:before="60"/>
      </w:pPr>
      <w:r>
        <w:rPr>
          <w:rFonts w:ascii="Arial" w:cs="Arial" w:eastAsia="Arial" w:hAnsi="Arial"/>
          <w:b w:val="false"/>
          <w:bCs w:val="false"/>
          <w:i w:val="false"/>
          <w:iCs w:val="false"/>
          <w:color w:val="222222"/>
          <w:sz w:val="22"/>
          <w:szCs w:val="22"/>
        </w:rPr>
        <w:t xml:space="preserve">For a given PRS model M with N variants and a target ancestry group 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CC" w:sz="1"/>
              <w:left w:val="single" w:color="B0C4CC" w:sz="1"/>
              <w:bottom w:val="single" w:color="B0C4CC" w:sz="1"/>
              <w:right w:val="single" w:color="B0C4CC" w:sz="1"/>
            </w:tcBorders>
            <w:shd w:fill="2E7D8C" w:val="clear"/>
            <w:tcMar>
              <w:top w:type="dxa" w:w="80"/>
              <w:left w:type="dxa" w:w="180"/>
              <w:bottom w:type="dxa" w:w="80"/>
              <w:right w:type="dxa" w:w="180"/>
            </w:tcMar>
          </w:tcPr>
          <w:p>
            <w:r>
              <w:rPr>
                <w:rFonts w:ascii="Arial" w:cs="Arial" w:eastAsia="Arial" w:hAnsi="Arial"/>
                <w:b/>
                <w:bCs/>
                <w:color w:val="FFFFFF"/>
                <w:sz w:val="22"/>
                <w:szCs w:val="22"/>
              </w:rPr>
              <w:t xml:space="preserve">Coverage Score Formula</w:t>
            </w:r>
          </w:p>
        </w:tc>
      </w:tr>
      <w:tr>
        <w:tc>
          <w:tcPr>
            <w:tcBorders>
              <w:top w:val="single" w:color="B0C4CC" w:sz="1"/>
              <w:left w:val="single" w:color="B0C4CC" w:sz="1"/>
              <w:bottom w:val="single" w:color="B0C4CC" w:sz="1"/>
              <w:right w:val="single" w:color="B0C4CC" w:sz="1"/>
            </w:tcBorders>
            <w:shd w:fill="E8F4F6" w:val="clear"/>
            <w:tcMar>
              <w:top w:type="dxa" w:w="100"/>
              <w:left w:type="dxa" w:w="180"/>
              <w:bottom w:type="dxa" w:w="100"/>
              <w:right w:type="dxa" w:w="180"/>
            </w:tcMar>
          </w:tcPr>
          <w:p>
            <w:pPr>
              <w:spacing w:after="30" w:before="30"/>
            </w:pPr>
            <w:r>
              <w:rPr>
                <w:rFonts w:ascii="Arial" w:cs="Arial" w:eastAsia="Arial" w:hAnsi="Arial"/>
                <w:color w:val="222222"/>
                <w:sz w:val="21"/>
                <w:szCs w:val="21"/>
              </w:rPr>
              <w:t xml:space="preserve">coverage_score(M, A) = (variants with gnomAD AF data in A) / (total variants in M)</w:t>
            </w:r>
          </w:p>
          <w:p>
            <w:pPr>
              <w:spacing w:after="30" w:before="30"/>
            </w:pPr>
            <w:r>
              <w:rPr>
                <w:rFonts w:ascii="Arial" w:cs="Arial" w:eastAsia="Arial" w:hAnsi="Arial"/>
                <w:color w:val="222222"/>
                <w:sz w:val="21"/>
                <w:szCs w:val="21"/>
              </w:rPr>
              <w:t xml:space="preserve"/>
            </w:r>
          </w:p>
          <w:p>
            <w:pPr>
              <w:spacing w:after="30" w:before="30"/>
            </w:pPr>
            <w:r>
              <w:rPr>
                <w:rFonts w:ascii="Arial" w:cs="Arial" w:eastAsia="Arial" w:hAnsi="Arial"/>
                <w:color w:val="222222"/>
                <w:sz w:val="21"/>
                <w:szCs w:val="21"/>
              </w:rPr>
              <w:t xml:space="preserve">A variant is considered 'covered' in ancestry A if:</w:t>
            </w:r>
          </w:p>
          <w:p>
            <w:pPr>
              <w:spacing w:after="30" w:before="30"/>
            </w:pPr>
            <w:r>
              <w:rPr>
                <w:rFonts w:ascii="Arial" w:cs="Arial" w:eastAsia="Arial" w:hAnsi="Arial"/>
                <w:color w:val="222222"/>
                <w:sz w:val="21"/>
                <w:szCs w:val="21"/>
              </w:rPr>
              <w:t xml:space="preserve">  - gnomAD has an allele frequency entry for that variant in population A</w:t>
            </w:r>
          </w:p>
          <w:p>
            <w:pPr>
              <w:spacing w:after="30" w:before="30"/>
            </w:pPr>
            <w:r>
              <w:rPr>
                <w:rFonts w:ascii="Arial" w:cs="Arial" w:eastAsia="Arial" w:hAnsi="Arial"/>
                <w:color w:val="222222"/>
                <w:sz w:val="21"/>
                <w:szCs w:val="21"/>
              </w:rPr>
              <w:t xml:space="preserve">  - AND the gnomAD AN (allele number / sample count) for A &gt;= 1000</w:t>
            </w:r>
          </w:p>
          <w:p>
            <w:pPr>
              <w:spacing w:after="30" w:before="30"/>
            </w:pPr>
            <w:r>
              <w:rPr>
                <w:rFonts w:ascii="Arial" w:cs="Arial" w:eastAsia="Arial" w:hAnsi="Arial"/>
                <w:color w:val="222222"/>
                <w:sz w:val="21"/>
                <w:szCs w:val="21"/>
              </w:rPr>
              <w:t xml:space="preserve">    (low AN = unreliable frequency estimate — this threshold is the key design choice)</w:t>
            </w:r>
          </w:p>
          <w:p>
            <w:pPr>
              <w:spacing w:after="30" w:before="30"/>
            </w:pPr>
            <w:r>
              <w:rPr>
                <w:rFonts w:ascii="Arial" w:cs="Arial" w:eastAsia="Arial" w:hAnsi="Arial"/>
                <w:color w:val="222222"/>
                <w:sz w:val="21"/>
                <w:szCs w:val="21"/>
              </w:rPr>
              <w:t xml:space="preserve"/>
            </w:r>
          </w:p>
          <w:p>
            <w:pPr>
              <w:spacing w:after="30" w:before="30"/>
            </w:pPr>
            <w:r>
              <w:rPr>
                <w:rFonts w:ascii="Arial" w:cs="Arial" w:eastAsia="Arial" w:hAnsi="Arial"/>
                <w:color w:val="222222"/>
                <w:sz w:val="21"/>
                <w:szCs w:val="21"/>
              </w:rPr>
              <w:t xml:space="preserve">Result: A score from 0.0 to 1.0 per ancestry group</w:t>
            </w:r>
          </w:p>
          <w:p>
            <w:pPr>
              <w:spacing w:after="30" w:before="30"/>
            </w:pPr>
            <w:r>
              <w:rPr>
                <w:rFonts w:ascii="Arial" w:cs="Arial" w:eastAsia="Arial" w:hAnsi="Arial"/>
                <w:color w:val="222222"/>
                <w:sz w:val="21"/>
                <w:szCs w:val="21"/>
              </w:rPr>
              <w:t xml:space="preserve">Example: A breast cancer PRS with 300 variants may score 0.97 in NFE but 0.61 in AMR</w:t>
            </w:r>
          </w:p>
        </w:tc>
      </w:tr>
    </w:tbl>
    <w:p>
      <w:pPr>
        <w:spacing w:after="80" w:before="0"/>
      </w:pPr>
      <w:r>
        <w:t xml:space="preserve"/>
      </w:r>
    </w:p>
    <w:p>
      <w:pPr>
        <w:pStyle w:val="Heading2"/>
        <w:spacing w:after="80" w:before="280"/>
      </w:pPr>
      <w:r>
        <w:rPr>
          <w:rFonts w:ascii="Arial" w:cs="Arial" w:eastAsia="Arial" w:hAnsi="Arial"/>
          <w:b/>
          <w:bCs/>
          <w:color w:val="2E7D8C"/>
          <w:sz w:val="28"/>
          <w:szCs w:val="28"/>
        </w:rPr>
        <w:t xml:space="preserve">6.2 Reliability Score (per ancestry per model)</w:t>
      </w:r>
    </w:p>
    <w:p>
      <w:pPr>
        <w:spacing w:after="100" w:before="60"/>
      </w:pPr>
      <w:r>
        <w:rPr>
          <w:rFonts w:ascii="Arial" w:cs="Arial" w:eastAsia="Arial" w:hAnsi="Arial"/>
          <w:b w:val="false"/>
          <w:bCs w:val="false"/>
          <w:i w:val="false"/>
          <w:iCs w:val="false"/>
          <w:color w:val="222222"/>
          <w:sz w:val="22"/>
          <w:szCs w:val="22"/>
        </w:rPr>
        <w:t xml:space="preserve">Coverage tells you if data exists. Reliability tells you if the effect sizes are trustworthy in that population. This is a weighted score based on variant-level sample depth:</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CC" w:sz="1"/>
              <w:left w:val="single" w:color="B0C4CC" w:sz="1"/>
              <w:bottom w:val="single" w:color="B0C4CC" w:sz="1"/>
              <w:right w:val="single" w:color="B0C4CC" w:sz="1"/>
            </w:tcBorders>
            <w:shd w:fill="2E7D8C" w:val="clear"/>
            <w:tcMar>
              <w:top w:type="dxa" w:w="80"/>
              <w:left w:type="dxa" w:w="180"/>
              <w:bottom w:type="dxa" w:w="80"/>
              <w:right w:type="dxa" w:w="180"/>
            </w:tcMar>
          </w:tcPr>
          <w:p>
            <w:r>
              <w:rPr>
                <w:rFonts w:ascii="Arial" w:cs="Arial" w:eastAsia="Arial" w:hAnsi="Arial"/>
                <w:b/>
                <w:bCs/>
                <w:color w:val="FFFFFF"/>
                <w:sz w:val="22"/>
                <w:szCs w:val="22"/>
              </w:rPr>
              <w:t xml:space="preserve">Reliability Score Formula</w:t>
            </w:r>
          </w:p>
        </w:tc>
      </w:tr>
      <w:tr>
        <w:tc>
          <w:tcPr>
            <w:tcBorders>
              <w:top w:val="single" w:color="B0C4CC" w:sz="1"/>
              <w:left w:val="single" w:color="B0C4CC" w:sz="1"/>
              <w:bottom w:val="single" w:color="B0C4CC" w:sz="1"/>
              <w:right w:val="single" w:color="B0C4CC" w:sz="1"/>
            </w:tcBorders>
            <w:shd w:fill="E8F4F6" w:val="clear"/>
            <w:tcMar>
              <w:top w:type="dxa" w:w="100"/>
              <w:left w:type="dxa" w:w="180"/>
              <w:bottom w:type="dxa" w:w="100"/>
              <w:right w:type="dxa" w:w="180"/>
            </w:tcMar>
          </w:tcPr>
          <w:p>
            <w:pPr>
              <w:spacing w:after="30" w:before="30"/>
            </w:pPr>
            <w:r>
              <w:rPr>
                <w:rFonts w:ascii="Arial" w:cs="Arial" w:eastAsia="Arial" w:hAnsi="Arial"/>
                <w:color w:val="222222"/>
                <w:sz w:val="21"/>
                <w:szCs w:val="21"/>
              </w:rPr>
              <w:t xml:space="preserve">For each variant i in model M with effect size weight |beta_i|:</w:t>
            </w:r>
          </w:p>
          <w:p>
            <w:pPr>
              <w:spacing w:after="30" w:before="30"/>
            </w:pPr>
            <w:r>
              <w:rPr>
                <w:rFonts w:ascii="Arial" w:cs="Arial" w:eastAsia="Arial" w:hAnsi="Arial"/>
                <w:color w:val="222222"/>
                <w:sz w:val="21"/>
                <w:szCs w:val="21"/>
              </w:rPr>
              <w:t xml:space="preserve"/>
            </w:r>
          </w:p>
          <w:p>
            <w:pPr>
              <w:spacing w:after="30" w:before="30"/>
            </w:pPr>
            <w:r>
              <w:rPr>
                <w:rFonts w:ascii="Arial" w:cs="Arial" w:eastAsia="Arial" w:hAnsi="Arial"/>
                <w:color w:val="222222"/>
                <w:sz w:val="21"/>
                <w:szCs w:val="21"/>
              </w:rPr>
              <w:t xml:space="preserve">  reliability_score(M, A) = sum(|beta_i| * reliability_weight(i, A)) / sum(|beta_i|)</w:t>
            </w:r>
          </w:p>
          <w:p>
            <w:pPr>
              <w:spacing w:after="30" w:before="30"/>
            </w:pPr>
            <w:r>
              <w:rPr>
                <w:rFonts w:ascii="Arial" w:cs="Arial" w:eastAsia="Arial" w:hAnsi="Arial"/>
                <w:color w:val="222222"/>
                <w:sz w:val="21"/>
                <w:szCs w:val="21"/>
              </w:rPr>
              <w:t xml:space="preserve"/>
            </w:r>
          </w:p>
          <w:p>
            <w:pPr>
              <w:spacing w:after="30" w:before="30"/>
            </w:pPr>
            <w:r>
              <w:rPr>
                <w:rFonts w:ascii="Arial" w:cs="Arial" w:eastAsia="Arial" w:hAnsi="Arial"/>
                <w:color w:val="222222"/>
                <w:sz w:val="21"/>
                <w:szCs w:val="21"/>
              </w:rPr>
              <w:t xml:space="preserve">Where reliability_weight(i, A) = min(AN(i, A) / AN_TARGET, 1.0)</w:t>
            </w:r>
          </w:p>
          <w:p>
            <w:pPr>
              <w:spacing w:after="30" w:before="30"/>
            </w:pPr>
            <w:r>
              <w:rPr>
                <w:rFonts w:ascii="Arial" w:cs="Arial" w:eastAsia="Arial" w:hAnsi="Arial"/>
                <w:color w:val="222222"/>
                <w:sz w:val="21"/>
                <w:szCs w:val="21"/>
              </w:rPr>
              <w:t xml:space="preserve">  AN_TARGET = 10,000 (the allele number at which we consider a variant fully reliable)</w:t>
            </w:r>
          </w:p>
          <w:p>
            <w:pPr>
              <w:spacing w:after="30" w:before="30"/>
            </w:pPr>
            <w:r>
              <w:rPr>
                <w:rFonts w:ascii="Arial" w:cs="Arial" w:eastAsia="Arial" w:hAnsi="Arial"/>
                <w:color w:val="222222"/>
                <w:sz w:val="21"/>
                <w:szCs w:val="21"/>
              </w:rPr>
              <w:t xml:space="preserve">  AN(i, A) = gnomAD allele number for variant i in ancestry A</w:t>
            </w:r>
          </w:p>
          <w:p>
            <w:pPr>
              <w:spacing w:after="30" w:before="30"/>
            </w:pPr>
            <w:r>
              <w:rPr>
                <w:rFonts w:ascii="Arial" w:cs="Arial" w:eastAsia="Arial" w:hAnsi="Arial"/>
                <w:color w:val="222222"/>
                <w:sz w:val="21"/>
                <w:szCs w:val="21"/>
              </w:rPr>
              <w:t xml:space="preserve"/>
            </w:r>
          </w:p>
          <w:p>
            <w:pPr>
              <w:spacing w:after="30" w:before="30"/>
            </w:pPr>
            <w:r>
              <w:rPr>
                <w:rFonts w:ascii="Arial" w:cs="Arial" w:eastAsia="Arial" w:hAnsi="Arial"/>
                <w:color w:val="222222"/>
                <w:sz w:val="21"/>
                <w:szCs w:val="21"/>
              </w:rPr>
              <w:t xml:space="preserve">This weights reliability by biological impact (beta) not just variant count.</w:t>
            </w:r>
          </w:p>
          <w:p>
            <w:pPr>
              <w:spacing w:after="30" w:before="30"/>
            </w:pPr>
            <w:r>
              <w:rPr>
                <w:rFonts w:ascii="Arial" w:cs="Arial" w:eastAsia="Arial" w:hAnsi="Arial"/>
                <w:color w:val="222222"/>
                <w:sz w:val="21"/>
                <w:szCs w:val="21"/>
              </w:rPr>
              <w:t xml:space="preserve">A high-weight variant with poor AN in AMR penalizes the score more than a low-weight one.</w:t>
            </w:r>
          </w:p>
        </w:tc>
      </w:tr>
    </w:tbl>
    <w:p>
      <w:pPr>
        <w:spacing w:after="80" w:before="0"/>
      </w:pPr>
      <w:r>
        <w:t xml:space="preserve"/>
      </w:r>
    </w:p>
    <w:p>
      <w:pPr>
        <w:pStyle w:val="Heading2"/>
        <w:spacing w:after="80" w:before="280"/>
      </w:pPr>
      <w:r>
        <w:rPr>
          <w:rFonts w:ascii="Arial" w:cs="Arial" w:eastAsia="Arial" w:hAnsi="Arial"/>
          <w:b/>
          <w:bCs/>
          <w:color w:val="2E7D8C"/>
          <w:sz w:val="28"/>
          <w:szCs w:val="28"/>
        </w:rPr>
        <w:t xml:space="preserve">6.3 Gap Index</w:t>
      </w:r>
    </w:p>
    <w:p>
      <w:pPr>
        <w:spacing w:after="100" w:before="60"/>
      </w:pPr>
      <w:r>
        <w:rPr>
          <w:rFonts w:ascii="Arial" w:cs="Arial" w:eastAsia="Arial" w:hAnsi="Arial"/>
          <w:b w:val="false"/>
          <w:bCs w:val="false"/>
          <w:i w:val="false"/>
          <w:iCs w:val="false"/>
          <w:color w:val="222222"/>
          <w:sz w:val="22"/>
          <w:szCs w:val="22"/>
        </w:rPr>
        <w:t xml:space="preserve">A single summary metric comparing each ancestry to European (NFE) as baseline: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CC" w:sz="1"/>
              <w:left w:val="single" w:color="B0C4CC" w:sz="1"/>
              <w:bottom w:val="single" w:color="B0C4CC" w:sz="1"/>
              <w:right w:val="single" w:color="B0C4CC" w:sz="1"/>
            </w:tcBorders>
            <w:shd w:fill="1B5E20" w:val="clear"/>
            <w:tcMar>
              <w:top w:type="dxa" w:w="80"/>
              <w:left w:type="dxa" w:w="180"/>
              <w:bottom w:type="dxa" w:w="80"/>
              <w:right w:type="dxa" w:w="180"/>
            </w:tcMar>
          </w:tcPr>
          <w:p>
            <w:r>
              <w:rPr>
                <w:rFonts w:ascii="Arial" w:cs="Arial" w:eastAsia="Arial" w:hAnsi="Arial"/>
                <w:b/>
                <w:bCs/>
                <w:color w:val="FFFFFF"/>
                <w:sz w:val="22"/>
                <w:szCs w:val="22"/>
              </w:rPr>
              <w:t xml:space="preserve">Gap Index Formula</w:t>
            </w:r>
          </w:p>
        </w:tc>
      </w:tr>
      <w:tr>
        <w:tc>
          <w:tcPr>
            <w:tcBorders>
              <w:top w:val="single" w:color="B0C4CC" w:sz="1"/>
              <w:left w:val="single" w:color="B0C4CC" w:sz="1"/>
              <w:bottom w:val="single" w:color="B0C4CC" w:sz="1"/>
              <w:right w:val="single" w:color="B0C4CC" w:sz="1"/>
            </w:tcBorders>
            <w:shd w:fill="E8F5E9" w:val="clear"/>
            <w:tcMar>
              <w:top w:type="dxa" w:w="100"/>
              <w:left w:type="dxa" w:w="180"/>
              <w:bottom w:type="dxa" w:w="100"/>
              <w:right w:type="dxa" w:w="180"/>
            </w:tcMar>
          </w:tcPr>
          <w:p>
            <w:pPr>
              <w:spacing w:after="30" w:before="30"/>
            </w:pPr>
            <w:r>
              <w:rPr>
                <w:rFonts w:ascii="Arial" w:cs="Arial" w:eastAsia="Arial" w:hAnsi="Arial"/>
                <w:color w:val="222222"/>
                <w:sz w:val="21"/>
                <w:szCs w:val="21"/>
              </w:rPr>
              <w:t xml:space="preserve">gap_index(M, A) = 1 - (reliability_score(M, A) / reliability_score(M, NFE))</w:t>
            </w:r>
          </w:p>
          <w:p>
            <w:pPr>
              <w:spacing w:after="30" w:before="30"/>
            </w:pPr>
            <w:r>
              <w:rPr>
                <w:rFonts w:ascii="Arial" w:cs="Arial" w:eastAsia="Arial" w:hAnsi="Arial"/>
                <w:color w:val="222222"/>
                <w:sz w:val="21"/>
                <w:szCs w:val="21"/>
              </w:rPr>
              <w:t xml:space="preserve"/>
            </w:r>
          </w:p>
          <w:p>
            <w:pPr>
              <w:spacing w:after="30" w:before="30"/>
            </w:pPr>
            <w:r>
              <w:rPr>
                <w:rFonts w:ascii="Arial" w:cs="Arial" w:eastAsia="Arial" w:hAnsi="Arial"/>
                <w:color w:val="222222"/>
                <w:sz w:val="21"/>
                <w:szCs w:val="21"/>
              </w:rPr>
              <w:t xml:space="preserve">Interpretation:</w:t>
            </w:r>
          </w:p>
          <w:p>
            <w:pPr>
              <w:spacing w:after="30" w:before="30"/>
            </w:pPr>
            <w:r>
              <w:rPr>
                <w:rFonts w:ascii="Arial" w:cs="Arial" w:eastAsia="Arial" w:hAnsi="Arial"/>
                <w:color w:val="222222"/>
                <w:sz w:val="21"/>
                <w:szCs w:val="21"/>
              </w:rPr>
              <w:t xml:space="preserve">  0.00  =  No gap — ancestry performs as well as European baseline</w:t>
            </w:r>
          </w:p>
          <w:p>
            <w:pPr>
              <w:spacing w:after="30" w:before="30"/>
            </w:pPr>
            <w:r>
              <w:rPr>
                <w:rFonts w:ascii="Arial" w:cs="Arial" w:eastAsia="Arial" w:hAnsi="Arial"/>
                <w:color w:val="222222"/>
                <w:sz w:val="21"/>
                <w:szCs w:val="21"/>
              </w:rPr>
              <w:t xml:space="preserve">  0.30  =  30% gap — model is 30% less reliable for this ancestry</w:t>
            </w:r>
          </w:p>
          <w:p>
            <w:pPr>
              <w:spacing w:after="30" w:before="30"/>
            </w:pPr>
            <w:r>
              <w:rPr>
                <w:rFonts w:ascii="Arial" w:cs="Arial" w:eastAsia="Arial" w:hAnsi="Arial"/>
                <w:color w:val="222222"/>
                <w:sz w:val="21"/>
                <w:szCs w:val="21"/>
              </w:rPr>
              <w:t xml:space="preserve">  0.70  =  Severe gap — model is largely unreliable for this ancestry</w:t>
            </w:r>
          </w:p>
          <w:p>
            <w:pPr>
              <w:spacing w:after="30" w:before="30"/>
            </w:pPr>
            <w:r>
              <w:rPr>
                <w:rFonts w:ascii="Arial" w:cs="Arial" w:eastAsia="Arial" w:hAnsi="Arial"/>
                <w:color w:val="222222"/>
                <w:sz w:val="21"/>
                <w:szCs w:val="21"/>
              </w:rPr>
              <w:t xml:space="preserve"/>
            </w:r>
          </w:p>
          <w:p>
            <w:pPr>
              <w:spacing w:after="30" w:before="30"/>
            </w:pPr>
            <w:r>
              <w:rPr>
                <w:rFonts w:ascii="Arial" w:cs="Arial" w:eastAsia="Arial" w:hAnsi="Arial"/>
                <w:color w:val="222222"/>
                <w:sz w:val="21"/>
                <w:szCs w:val="21"/>
              </w:rPr>
              <w:t xml:space="preserve">This is the headline number displayed prominently per ancestry in the report.</w:t>
            </w:r>
          </w:p>
        </w:tc>
      </w:tr>
    </w:tbl>
    <w:p>
      <w:pPr>
        <w:spacing w:after="80" w:before="0"/>
      </w:pPr>
      <w:r>
        <w:t xml:space="preserve"/>
      </w:r>
    </w:p>
    <w:p>
      <w:pPr>
        <w:pStyle w:val="Heading2"/>
        <w:spacing w:after="80" w:before="280"/>
      </w:pPr>
      <w:r>
        <w:rPr>
          <w:rFonts w:ascii="Arial" w:cs="Arial" w:eastAsia="Arial" w:hAnsi="Arial"/>
          <w:b/>
          <w:bCs/>
          <w:color w:val="2E7D8C"/>
          <w:sz w:val="28"/>
          <w:szCs w:val="28"/>
        </w:rPr>
        <w:t xml:space="preserve">6.4 Variant-Level Flags</w:t>
      </w:r>
    </w:p>
    <w:p>
      <w:pPr>
        <w:spacing w:after="100" w:before="60"/>
      </w:pPr>
      <w:r>
        <w:rPr>
          <w:rFonts w:ascii="Arial" w:cs="Arial" w:eastAsia="Arial" w:hAnsi="Arial"/>
          <w:b w:val="false"/>
          <w:bCs w:val="false"/>
          <w:i w:val="false"/>
          <w:iCs w:val="false"/>
          <w:color w:val="222222"/>
          <w:sz w:val="22"/>
          <w:szCs w:val="22"/>
        </w:rPr>
        <w:t xml:space="preserve">For each variant in the model, the app also computes per-variant flags:</w:t>
      </w:r>
    </w:p>
    <w:p>
      <w:pPr>
        <w:pStyle w:val="ListParagraph"/>
        <w:numPr>
          <w:ilvl w:val="0"/>
          <w:numId w:val="3"/>
        </w:numPr>
        <w:spacing w:after="40" w:before="40"/>
      </w:pPr>
      <w:r>
        <w:rPr>
          <w:rFonts w:ascii="Arial" w:cs="Arial" w:eastAsia="Arial" w:hAnsi="Arial"/>
          <w:sz w:val="22"/>
          <w:szCs w:val="22"/>
        </w:rPr>
        <w:t xml:space="preserve">MISSING: Variant has no gnomAD record for a given ancestry</w:t>
      </w:r>
    </w:p>
    <w:p>
      <w:pPr>
        <w:pStyle w:val="ListParagraph"/>
        <w:numPr>
          <w:ilvl w:val="0"/>
          <w:numId w:val="3"/>
        </w:numPr>
        <w:spacing w:after="40" w:before="40"/>
      </w:pPr>
      <w:r>
        <w:rPr>
          <w:rFonts w:ascii="Arial" w:cs="Arial" w:eastAsia="Arial" w:hAnsi="Arial"/>
          <w:sz w:val="22"/>
          <w:szCs w:val="22"/>
        </w:rPr>
        <w:t xml:space="preserve">LOW_AN: Variant exists but AN &lt; 500 in that ancestry (low confidence)</w:t>
      </w:r>
    </w:p>
    <w:p>
      <w:pPr>
        <w:pStyle w:val="ListParagraph"/>
        <w:numPr>
          <w:ilvl w:val="0"/>
          <w:numId w:val="3"/>
        </w:numPr>
        <w:spacing w:after="40" w:before="40"/>
      </w:pPr>
      <w:r>
        <w:rPr>
          <w:rFonts w:ascii="Arial" w:cs="Arial" w:eastAsia="Arial" w:hAnsi="Arial"/>
          <w:sz w:val="22"/>
          <w:szCs w:val="22"/>
        </w:rPr>
        <w:t xml:space="preserve">HIGH_IMPACT_GAP: Variant has |beta| in top 10% of model AND is MISSING or LOW_AN in &gt;= 2 ancestries</w:t>
      </w:r>
    </w:p>
    <w:p>
      <w:pPr>
        <w:pStyle w:val="ListParagraph"/>
        <w:numPr>
          <w:ilvl w:val="0"/>
          <w:numId w:val="3"/>
        </w:numPr>
        <w:spacing w:after="40" w:before="40"/>
      </w:pPr>
      <w:r>
        <w:rPr>
          <w:rFonts w:ascii="Arial" w:cs="Arial" w:eastAsia="Arial" w:hAnsi="Arial"/>
          <w:sz w:val="22"/>
          <w:szCs w:val="22"/>
        </w:rPr>
        <w:t xml:space="preserve">EURO_ONLY: Variant found only in NFE with adequate AN, absent in all other populations</w:t>
      </w:r>
    </w:p>
    <w:p>
      <w:pPr>
        <w:spacing w:after="100" w:before="60"/>
      </w:pPr>
      <w:r>
        <w:rPr>
          <w:rFonts w:ascii="Arial" w:cs="Arial" w:eastAsia="Arial" w:hAnsi="Arial"/>
          <w:b w:val="false"/>
          <w:bCs w:val="false"/>
          <w:i w:val="false"/>
          <w:iCs w:val="false"/>
          <w:color w:val="222222"/>
          <w:sz w:val="22"/>
          <w:szCs w:val="22"/>
        </w:rPr>
        <w:t xml:space="preserve">HIGH_IMPACT_GAP variants are the most actionable output — these are the specific variants driving inequity in the model.</w:t>
      </w:r>
    </w:p>
    <w:p>
      <w:pPr>
        <w:pBdr>
          <w:bottom w:val="single" w:color="B0C4CC" w:sz="3" w:space="1"/>
        </w:pBdr>
        <w:spacing w:after="200" w:before="200"/>
      </w:pPr>
      <w:r>
        <w:t xml:space="preserve"/>
      </w:r>
    </w:p>
    <w:p>
      <w:pPr>
        <w:pStyle w:val="Heading1"/>
        <w:pBdr>
          <w:bottom w:val="single" w:color="2E7D8C" w:sz="6" w:space="6"/>
        </w:pBdr>
        <w:spacing w:after="120" w:before="360"/>
      </w:pPr>
      <w:r>
        <w:rPr>
          <w:rFonts w:ascii="Arial" w:cs="Arial" w:eastAsia="Arial" w:hAnsi="Arial"/>
          <w:b/>
          <w:bCs/>
          <w:color w:val="1A3C5E"/>
          <w:sz w:val="36"/>
          <w:szCs w:val="36"/>
        </w:rPr>
        <w:t xml:space="preserve">7. Implementation — File by File</w:t>
      </w:r>
    </w:p>
    <w:p>
      <w:pPr>
        <w:spacing w:after="80" w:before="0"/>
      </w:pPr>
      <w:r>
        <w:t xml:space="preserve"/>
      </w:r>
    </w:p>
    <w:p>
      <w:pPr>
        <w:pStyle w:val="Heading2"/>
        <w:spacing w:after="80" w:before="280"/>
      </w:pPr>
      <w:r>
        <w:rPr>
          <w:rFonts w:ascii="Arial" w:cs="Arial" w:eastAsia="Arial" w:hAnsi="Arial"/>
          <w:b/>
          <w:bCs/>
          <w:color w:val="2E7D8C"/>
          <w:sz w:val="28"/>
          <w:szCs w:val="28"/>
        </w:rPr>
        <w:t xml:space="preserve">7.1  genoequity/models.py  — Data Models</w:t>
      </w:r>
    </w:p>
    <w:p>
      <w:pPr>
        <w:spacing w:after="100" w:before="60"/>
      </w:pPr>
      <w:r>
        <w:rPr>
          <w:rFonts w:ascii="Arial" w:cs="Arial" w:eastAsia="Arial" w:hAnsi="Arial"/>
          <w:b w:val="false"/>
          <w:bCs w:val="false"/>
          <w:i w:val="false"/>
          <w:iCs w:val="false"/>
          <w:color w:val="222222"/>
          <w:sz w:val="22"/>
          <w:szCs w:val="22"/>
        </w:rPr>
        <w:t xml:space="preserve">Define all data structures using Pydantic v2. This is the first file to write. Every other module imports from here.</w:t>
      </w:r>
    </w:p>
    <w:p>
      <w:pPr>
        <w:spacing w:after="80" w:before="0"/>
      </w:pPr>
      <w: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from pydantic import BaseModel, Field</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from typing import Optional</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class PRSVariant(BaseModel):</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rsid: str                      # e.g. 'rs1234567'</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chr: str                       # chromosome</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pos: int                       # GRCh38 position</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effect_allele: str</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other_allele: str</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beta: float                    # log(OR) or standardized effect size</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p_value: float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class GnomadPopFreq(BaseModel):</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pop: str                       # 'AFR', 'AMR', etc.</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af: Optional[float] = None     # allele frequency, None if missing</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an: Optional[int] = None       # allele number (sample depth proxy)</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class VariantAudit(BaseModel):</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variant: PRSVariant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freqs: list[GnomadPopFreq]</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flags: dict[str, list[str]]    # pop -&gt; list of flag strings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class ModelAuditResult(BaseModel):</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accession: str</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trait: str</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n_variants: int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coverage_scores: dict[str, float]   # pop -&gt; 0.0-1.0</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reliability_scores: dict[str, float]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gap_indices: dict[str, float]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variant_audits: list[VariantAudit]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high_impact_gap_variants: list[str]  # rsids</w:t>
      </w:r>
    </w:p>
    <w:p>
      <w:pPr>
        <w:spacing w:after="80" w:before="0"/>
      </w:pPr>
      <w:r>
        <w:t xml:space="preserve"/>
      </w:r>
    </w:p>
    <w:p>
      <w:pPr>
        <w:pStyle w:val="Heading2"/>
        <w:spacing w:after="80" w:before="280"/>
      </w:pPr>
      <w:r>
        <w:rPr>
          <w:rFonts w:ascii="Arial" w:cs="Arial" w:eastAsia="Arial" w:hAnsi="Arial"/>
          <w:b/>
          <w:bCs/>
          <w:color w:val="2E7D8C"/>
          <w:sz w:val="28"/>
          <w:szCs w:val="28"/>
        </w:rPr>
        <w:t xml:space="preserve">7.2  genoequity/gwas.py  — GWAS Catalog Client</w:t>
      </w:r>
    </w:p>
    <w:p>
      <w:pPr>
        <w:spacing w:after="100" w:before="60"/>
      </w:pPr>
      <w:r>
        <w:rPr>
          <w:rFonts w:ascii="Arial" w:cs="Arial" w:eastAsia="Arial" w:hAnsi="Arial"/>
          <w:b w:val="false"/>
          <w:bCs w:val="false"/>
          <w:i w:val="false"/>
          <w:iCs w:val="false"/>
          <w:color w:val="222222"/>
          <w:sz w:val="22"/>
          <w:szCs w:val="22"/>
        </w:rPr>
        <w:t xml:space="preserve">Fetches variant data for a PRS model accession ID. The GWAS Catalog REST API returns JSON. Key endpoint: https://www.ebi.ac.uk/gwas/rest/api/studies/{accession}/associations</w:t>
      </w:r>
    </w:p>
    <w:p>
      <w:pPr>
        <w:spacing w:after="80" w:before="0"/>
      </w:pPr>
      <w: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import requests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from tenacity import retry, stop_after_attempt, wait_exponential</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from .models import PRSVariant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GWAS_BASE = 'https://www.ebi.ac.uk/gwas/rest/api'</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@retry(stop=stop_after_attempt(3), wait=wait_exponential(min=1, max=10))</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def fetch_prs_variants(accession: str) -&gt; list[PRSVariant]: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url = f'{GWAS_BASE}/studies/{accession}/associations'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params = {'projection': 'associationByStudy', 'size': 1000}</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resp = requests.get(url, params=params, timeout=30)</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resp.raise_for_status()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data = resp.json()</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 parse _embedded.associations -&gt; list[PRSVariant]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 extract rsId, riskFrequency, pvalue, orPerCopyNum</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def fetch_study_metadata(accession: str) -&gt; dict: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 Returns trait name, publication, sample sizes by ancestry</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t>
      </w:r>
    </w:p>
    <w:p>
      <w:pPr>
        <w:spacing w:after="80" w:before="0"/>
      </w:pPr>
      <w:r>
        <w:t xml:space="preserve"/>
      </w:r>
    </w:p>
    <w:p>
      <w:pPr>
        <w:spacing w:after="100" w:before="60"/>
      </w:pPr>
      <w:r>
        <w:rPr>
          <w:rFonts w:ascii="Arial" w:cs="Arial" w:eastAsia="Arial" w:hAnsi="Arial"/>
          <w:b w:val="false"/>
          <w:bCs w:val="false"/>
          <w:i w:val="false"/>
          <w:iCs w:val="false"/>
          <w:color w:val="222222"/>
          <w:sz w:val="22"/>
          <w:szCs w:val="22"/>
        </w:rPr>
        <w:t xml:space="preserve">Important: The GWAS Catalog API paginates results. Implement pagination by following the '_links.next.href' field until absent. PRS models may have 50–2000 variants.</w:t>
      </w:r>
    </w:p>
    <w:p>
      <w:pPr>
        <w:spacing w:after="80" w:before="0"/>
      </w:pPr>
      <w:r>
        <w:t xml:space="preserve"/>
      </w:r>
    </w:p>
    <w:p>
      <w:pPr>
        <w:pStyle w:val="Heading2"/>
        <w:spacing w:after="80" w:before="280"/>
      </w:pPr>
      <w:r>
        <w:rPr>
          <w:rFonts w:ascii="Arial" w:cs="Arial" w:eastAsia="Arial" w:hAnsi="Arial"/>
          <w:b/>
          <w:bCs/>
          <w:color w:val="2E7D8C"/>
          <w:sz w:val="28"/>
          <w:szCs w:val="28"/>
        </w:rPr>
        <w:t xml:space="preserve">7.3  genoequity/gnomad.py  — gnomAD GraphQL Client</w:t>
      </w:r>
    </w:p>
    <w:p>
      <w:pPr>
        <w:spacing w:after="100" w:before="60"/>
      </w:pPr>
      <w:r>
        <w:rPr>
          <w:rFonts w:ascii="Arial" w:cs="Arial" w:eastAsia="Arial" w:hAnsi="Arial"/>
          <w:b w:val="false"/>
          <w:bCs w:val="false"/>
          <w:i w:val="false"/>
          <w:iCs w:val="false"/>
          <w:color w:val="222222"/>
          <w:sz w:val="22"/>
          <w:szCs w:val="22"/>
        </w:rPr>
        <w:t xml:space="preserve">The gnomAD v4.1 API uses GraphQL. Use the 'gql' library. Key query: fetch allele frequency data for a variant across all populations.</w:t>
      </w:r>
    </w:p>
    <w:p>
      <w:pPr>
        <w:spacing w:after="80" w:before="0"/>
      </w:pPr>
      <w: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from gql import gql, Client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from gql.transport.requests import RequestsHTTPTransport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import httpx, asyncio</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from .models import GnomadPopFreq</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GNOMAD_URL = 'https://gnomad.broadinstitute.org/api'</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VARIANT_QUERY = gql('''</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query VariantFreq($variantId: String!, $datasetId: DatasetId!) {</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variant(variantId: $variantId, dataset: $datasetId) {</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genome {</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populations {</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id</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ac</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an</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af</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async def fetch_variant_freqs_async(rsids: list[str]) -&gt; dict[str, list[GnomadPopFreq]]:</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 Use httpx.AsyncClient to fetch all variants concurrently</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 Batch into groups of 50 to avoid rate limits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 Map gnomAD population IDs to standard codes (e.g. 'afr' -&gt; 'AFR')</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def fetch_all_variants(rsids: list[str]) -&gt; dict[str, list[GnomadPopFreq]]:</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return asyncio.run(fetch_variant_freqs_async(rsids))</w:t>
      </w:r>
    </w:p>
    <w:p>
      <w:pPr>
        <w:spacing w:after="80" w:before="0"/>
      </w:pPr>
      <w:r>
        <w:t xml:space="preserve"/>
      </w:r>
    </w:p>
    <w:p>
      <w:pPr>
        <w:spacing w:after="100" w:before="60"/>
      </w:pPr>
      <w:r>
        <w:rPr>
          <w:rFonts w:ascii="Arial" w:cs="Arial" w:eastAsia="Arial" w:hAnsi="Arial"/>
          <w:b w:val="false"/>
          <w:bCs w:val="false"/>
          <w:i w:val="false"/>
          <w:iCs w:val="false"/>
          <w:color w:val="222222"/>
          <w:sz w:val="22"/>
          <w:szCs w:val="22"/>
        </w:rPr>
        <w:t xml:space="preserve">Note on variant IDs: gnomAD uses 'chrom-pos-ref-alt' format (e.g. '17-43092919-A-G'), not rsIDs. You must convert rsIDs to this format. Strategy: query gnomAD's variant search endpoint with the rsID to get the canonical ID first.</w:t>
      </w:r>
    </w:p>
    <w:p>
      <w:pPr>
        <w:spacing w:after="80" w:before="0"/>
      </w:pPr>
      <w:r>
        <w:t xml:space="preserve"/>
      </w:r>
    </w:p>
    <w:p>
      <w:pPr>
        <w:pStyle w:val="Heading2"/>
        <w:spacing w:after="80" w:before="280"/>
      </w:pPr>
      <w:r>
        <w:rPr>
          <w:rFonts w:ascii="Arial" w:cs="Arial" w:eastAsia="Arial" w:hAnsi="Arial"/>
          <w:b/>
          <w:bCs/>
          <w:color w:val="2E7D8C"/>
          <w:sz w:val="28"/>
          <w:szCs w:val="28"/>
        </w:rPr>
        <w:t xml:space="preserve">7.4  genoequity/cache.py  — SQLite Caching Layer</w:t>
      </w:r>
    </w:p>
    <w:p>
      <w:pPr>
        <w:spacing w:after="100" w:before="60"/>
      </w:pPr>
      <w:r>
        <w:rPr>
          <w:rFonts w:ascii="Arial" w:cs="Arial" w:eastAsia="Arial" w:hAnsi="Arial"/>
          <w:b w:val="false"/>
          <w:bCs w:val="false"/>
          <w:i w:val="false"/>
          <w:iCs w:val="false"/>
          <w:color w:val="222222"/>
          <w:sz w:val="22"/>
          <w:szCs w:val="22"/>
        </w:rPr>
        <w:t xml:space="preserve">gnomAD queries are slow (~200ms per variant). Cache results locally in SQLite so repeat queries for the same model are instant. This is critical for good UX.</w:t>
      </w:r>
    </w:p>
    <w:p>
      <w:pPr>
        <w:spacing w:after="80" w:before="0"/>
      </w:pPr>
      <w: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import sqlite3, json, hashlib</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from pathlib import Path</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DB_PATH = Path('data/db/cache.sqlite')</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def init_db():</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conn = sqlite3.connect(DB_PATH)</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conn.execute('''CREATE TABLE IF NOT EXISTS variant_cache (</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rsid TEXT PRIMARY KEY,</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gnomad_data TEXT,       -- JSON blob of GnomadPopFreq list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fetched_at TIMESTAMP DEFAULT CURRENT_TIMESTAMP</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conn.execute('''CREATE TABLE IF NOT EXISTS model_cache (</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accession TEXT PRIMARY KEY,</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audit_json TEXT,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fetched_at TIMESTAMP DEFAULT CURRENT_TIMESTAMP</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conn.commit()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def get_cached_variant(rsid: str) -&gt; dict | None: ...</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def set_cached_variant(rsid: str, data: dict): ...</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def get_cached_model(accession: str) -&gt; dict | None: ...</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def set_cached_model(accession: str, data: dict): ...</w:t>
      </w:r>
    </w:p>
    <w:p>
      <w:pPr>
        <w:spacing w:after="80" w:before="0"/>
      </w:pPr>
      <w:r>
        <w:t xml:space="preserve"/>
      </w:r>
    </w:p>
    <w:p>
      <w:pPr>
        <w:spacing w:after="100" w:before="60"/>
      </w:pPr>
      <w:r>
        <w:rPr>
          <w:rFonts w:ascii="Arial" w:cs="Arial" w:eastAsia="Arial" w:hAnsi="Arial"/>
          <w:b w:val="false"/>
          <w:bCs w:val="false"/>
          <w:i w:val="false"/>
          <w:iCs w:val="false"/>
          <w:color w:val="222222"/>
          <w:sz w:val="22"/>
          <w:szCs w:val="22"/>
        </w:rPr>
        <w:t xml:space="preserve">Cache TTL: Set a 30-day expiry on cached results (gnomAD data does not change often). On Streamlit Cloud, the SQLite file will reset between deploys — this is acceptable; it just means a cold start for new accessions.</w:t>
      </w:r>
    </w:p>
    <w:p>
      <w:pPr>
        <w:spacing w:after="80" w:before="0"/>
      </w:pPr>
      <w:r>
        <w:t xml:space="preserve"/>
      </w:r>
    </w:p>
    <w:p>
      <w:pPr>
        <w:pStyle w:val="Heading2"/>
        <w:spacing w:after="80" w:before="280"/>
      </w:pPr>
      <w:r>
        <w:rPr>
          <w:rFonts w:ascii="Arial" w:cs="Arial" w:eastAsia="Arial" w:hAnsi="Arial"/>
          <w:b/>
          <w:bCs/>
          <w:color w:val="2E7D8C"/>
          <w:sz w:val="28"/>
          <w:szCs w:val="28"/>
        </w:rPr>
        <w:t xml:space="preserve">7.5  genoequity/scoring.py  — Audit Engine</w:t>
      </w:r>
    </w:p>
    <w:p>
      <w:pPr>
        <w:spacing w:after="100" w:before="60"/>
      </w:pPr>
      <w:r>
        <w:rPr>
          <w:rFonts w:ascii="Arial" w:cs="Arial" w:eastAsia="Arial" w:hAnsi="Arial"/>
          <w:b w:val="false"/>
          <w:bCs w:val="false"/>
          <w:i w:val="false"/>
          <w:iCs w:val="false"/>
          <w:color w:val="222222"/>
          <w:sz w:val="22"/>
          <w:szCs w:val="22"/>
        </w:rPr>
        <w:t xml:space="preserve">This is the core logic module. It takes PRSVariant list + gnomAD frequency data and computes all scores.</w:t>
      </w:r>
    </w:p>
    <w:p>
      <w:pPr>
        <w:spacing w:after="80" w:before="0"/>
      </w:pPr>
      <w: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from .models import PRSVariant, GnomadPopFreq, VariantAudit, ModelAuditResult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import numpy as np</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POPULATIONS = ['AFR', 'AMR', 'ASJ', 'EAS', 'FIN', 'NFE', 'OTH', 'SAS']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AN_MIN_COVERAGE = 1000     # minimum AN to count as 'covered'</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AN_TARGET_RELIABILITY = 10000  # AN at which reliability = 1.0</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def compute_coverage_score(variants: list[PRSVariant],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freqs: dict[str, list[GnomadPopFreq]],</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pop: str) -&gt; float: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covered = sum(1 for v in variants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if _is_covered(freqs.get(v.rsid, []), pop))</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return covered / len(variants) if variants else 0.0</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def compute_reliability_score(variants, freqs, pop) -&gt; float: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total_weight = sum(abs(v.beta) for v in variants)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if total_weight == 0: return 0.0</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weighted_reliability = sum(</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abs(v.beta) * _reliability_weight(freqs.get(v.rsid, []), pop)</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for v in variants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return weighted_reliability / total_weight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def compute_gap_index(rel_scores: dict[str, float]) -&gt; dict[str, float]: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nfe_score = rel_scores.get('NFE', 1.0)</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if nfe_score == 0: return {p: 0.0 for p in POPULATIONS}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return {p: 1 - (rel_scores[p] / nfe_score) for p in rel_scores}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def flag_variants(variants, freqs) -&gt; list[VariantAudit]: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 For each variant, compute per-pop flags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 Identify HIGH_IMPACT_GAP variants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def run_full_audit(accession, variants, freqs) -&gt; ModelAuditResult: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coverage = {p: compute_coverage_score(variants, freqs, p) for p in POPULATIONS}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reliability = {p: compute_reliability_score(variants, freqs, p) for p in POPULATIONS}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gap = compute_gap_index(reliability)</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var_audits = flag_variants(variants, freqs)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high_impact = [va.variant.rsid for va in var_audits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if 'HIGH_IMPACT_GAP' in [f for flags in va.flags.values() for f in flags]]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return ModelAuditResult(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accession=accession, trait='', n_variants=len(variants),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coverage_scores=coverage, reliability_scores=reliability,</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gap_indices=gap, variant_audits=var_audits,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high_impact_gap_variants=high_impact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t>
      </w:r>
    </w:p>
    <w:p>
      <w:pPr>
        <w:spacing w:after="80" w:before="0"/>
      </w:pPr>
      <w:r>
        <w:t xml:space="preserve"/>
      </w:r>
    </w:p>
    <w:p>
      <w:pPr>
        <w:pStyle w:val="Heading2"/>
        <w:spacing w:after="80" w:before="280"/>
      </w:pPr>
      <w:r>
        <w:rPr>
          <w:rFonts w:ascii="Arial" w:cs="Arial" w:eastAsia="Arial" w:hAnsi="Arial"/>
          <w:b/>
          <w:bCs/>
          <w:color w:val="2E7D8C"/>
          <w:sz w:val="28"/>
          <w:szCs w:val="28"/>
        </w:rPr>
        <w:t xml:space="preserve">7.6  genoequity/report.py  — PDF Generator</w:t>
      </w:r>
    </w:p>
    <w:p>
      <w:pPr>
        <w:spacing w:after="100" w:before="60"/>
      </w:pPr>
      <w:r>
        <w:rPr>
          <w:rFonts w:ascii="Arial" w:cs="Arial" w:eastAsia="Arial" w:hAnsi="Arial"/>
          <w:b w:val="false"/>
          <w:bCs w:val="false"/>
          <w:i w:val="false"/>
          <w:iCs w:val="false"/>
          <w:color w:val="222222"/>
          <w:sz w:val="22"/>
          <w:szCs w:val="22"/>
        </w:rPr>
        <w:t xml:space="preserve">Generates a professional multi-page PDF audit report using ReportLab. This is a significant differentiator — it's the artifact users actually download and share.</w:t>
      </w:r>
    </w:p>
    <w:p>
      <w:pPr>
        <w:spacing w:after="80" w:before="0"/>
      </w:pPr>
      <w: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from reportlab.lib.pagesizes import letter</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from reportlab.lib import colors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from reportlab.lib.styles import getSampleStyleSheet, ParagraphStyle</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from reportlab.platypus import (SimpleDocTemplate, Paragraph, Spacer,</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Table, TableStyle, Image, PageBreak, HRFlowable)</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from reportlab.lib.units import inch</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import matplotlib.pyplot as plt, io</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from .models import ModelAuditResult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def generate_audit_pdf(result: ModelAuditResult) -&gt; bytes: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buffer = io.BytesIO()</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doc = SimpleDocTemplate(buffer, pagesize=letter,</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rightMargin=inch, leftMargin=inch,</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topMargin=inch, bottomMargin=inch)</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story = []</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story += _build_cover_page(result)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story += _build_summary_section(result)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story += _build_heatmap_section(result)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story += _build_variant_table_section(result)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story += _build_methodology_section()</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doc.build(story)</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return buffer.getvalue()</w:t>
      </w:r>
    </w:p>
    <w:p>
      <w:pPr>
        <w:spacing w:after="80" w:before="0"/>
      </w:pPr>
      <w:r>
        <w:t xml:space="preserve"/>
      </w:r>
    </w:p>
    <w:p>
      <w:pPr>
        <w:spacing w:after="100" w:before="60"/>
      </w:pPr>
      <w:r>
        <w:rPr>
          <w:rFonts w:ascii="Arial" w:cs="Arial" w:eastAsia="Arial" w:hAnsi="Arial"/>
          <w:b w:val="false"/>
          <w:bCs w:val="false"/>
          <w:i w:val="false"/>
          <w:iCs w:val="false"/>
          <w:color w:val="222222"/>
          <w:sz w:val="22"/>
          <w:szCs w:val="22"/>
        </w:rPr>
        <w:t xml:space="preserve">PDF structure: Cover page (title, accession, date, summary Gap Index table) → Executive Summary → Ancestry Heatmap (matplotlib figure embedded as PNG) → Top 20 High-Impact Gap Variants table → Methodology &amp; Limitations → Citations.</w:t>
      </w:r>
    </w:p>
    <w:p>
      <w:pPr>
        <w:spacing w:after="80" w:before="0"/>
      </w:pPr>
      <w:r>
        <w:t xml:space="preserve"/>
      </w:r>
    </w:p>
    <w:p>
      <w:pPr>
        <w:spacing w:after="100" w:before="60"/>
      </w:pPr>
      <w:r>
        <w:rPr>
          <w:rFonts w:ascii="Arial" w:cs="Arial" w:eastAsia="Arial" w:hAnsi="Arial"/>
          <w:b w:val="false"/>
          <w:bCs w:val="false"/>
          <w:i w:val="false"/>
          <w:iCs w:val="false"/>
          <w:color w:val="222222"/>
          <w:sz w:val="22"/>
          <w:szCs w:val="22"/>
        </w:rPr>
        <w:t xml:space="preserve">The heatmap is built with matplotlib, saved to a BytesIO buffer as PNG, then embedded in the PDF via ReportLab's Image flowable. This is the standard pattern for combining the two libraries.</w:t>
      </w:r>
    </w:p>
    <w:p>
      <w:pPr>
        <w:spacing w:after="80" w:before="0"/>
      </w:pPr>
      <w:r>
        <w:t xml:space="preserve"/>
      </w:r>
    </w:p>
    <w:p>
      <w:pPr>
        <w:pStyle w:val="Heading2"/>
        <w:spacing w:after="80" w:before="280"/>
      </w:pPr>
      <w:r>
        <w:rPr>
          <w:rFonts w:ascii="Arial" w:cs="Arial" w:eastAsia="Arial" w:hAnsi="Arial"/>
          <w:b/>
          <w:bCs/>
          <w:color w:val="2E7D8C"/>
          <w:sz w:val="28"/>
          <w:szCs w:val="28"/>
        </w:rPr>
        <w:t xml:space="preserve">7.7  app/main.py  — Streamlit Entry Point</w:t>
      </w:r>
    </w:p>
    <w:p>
      <w:pPr>
        <w:spacing w:after="100" w:before="60"/>
      </w:pPr>
      <w:r>
        <w:rPr>
          <w:rFonts w:ascii="Arial" w:cs="Arial" w:eastAsia="Arial" w:hAnsi="Arial"/>
          <w:b w:val="false"/>
          <w:bCs w:val="false"/>
          <w:i w:val="false"/>
          <w:iCs w:val="false"/>
          <w:color w:val="222222"/>
          <w:sz w:val="22"/>
          <w:szCs w:val="22"/>
        </w:rPr>
        <w:t xml:space="preserve">Configure the app, set up st.session_state, and define the sidebar navigation.</w:t>
      </w:r>
    </w:p>
    <w:p>
      <w:pPr>
        <w:spacing w:after="80" w:before="0"/>
      </w:pPr>
      <w: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import streamlit as st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from genoequity.cache import init_db</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st.set_page_config(</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page_title='GenoEquity',</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page_icon='🧬',</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layout='wide',</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initial_sidebar_state='expanded'</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init_db()  # Ensure SQLite tables exist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Session state keys used across pages: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st.session_state.audit_result  -&gt; ModelAuditResult | None</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st.session_state.accession     -&gt; str</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st.session_state.loading       -&gt; bool</w:t>
      </w:r>
    </w:p>
    <w:p>
      <w:pPr>
        <w:spacing w:after="80" w:before="0"/>
      </w:pPr>
      <w:r>
        <w:t xml:space="preserve"/>
      </w:r>
    </w:p>
    <w:p>
      <w:pPr>
        <w:pStyle w:val="Heading2"/>
        <w:spacing w:after="80" w:before="280"/>
      </w:pPr>
      <w:r>
        <w:rPr>
          <w:rFonts w:ascii="Arial" w:cs="Arial" w:eastAsia="Arial" w:hAnsi="Arial"/>
          <w:b/>
          <w:bCs/>
          <w:color w:val="2E7D8C"/>
          <w:sz w:val="28"/>
          <w:szCs w:val="28"/>
        </w:rPr>
        <w:t xml:space="preserve">7.8  app/pages/01_audit.py  — Main Audit Page</w:t>
      </w:r>
    </w:p>
    <w:p>
      <w:pPr>
        <w:spacing w:after="100" w:before="60"/>
      </w:pPr>
      <w:r>
        <w:rPr>
          <w:rFonts w:ascii="Arial" w:cs="Arial" w:eastAsia="Arial" w:hAnsi="Arial"/>
          <w:b w:val="false"/>
          <w:bCs w:val="false"/>
          <w:i w:val="false"/>
          <w:iCs w:val="false"/>
          <w:color w:val="222222"/>
          <w:sz w:val="22"/>
          <w:szCs w:val="22"/>
        </w:rPr>
        <w:t xml:space="preserve">This is the primary user-facing page. Structure:</w:t>
      </w:r>
    </w:p>
    <w:p>
      <w:pPr>
        <w:spacing w:after="80" w:before="0"/>
      </w:pPr>
      <w:r>
        <w:t xml:space="preserve"/>
      </w:r>
    </w:p>
    <w:p>
      <w:pPr>
        <w:pStyle w:val="ListParagraph"/>
        <w:numPr>
          <w:ilvl w:val="0"/>
          <w:numId w:val="3"/>
        </w:numPr>
        <w:spacing w:after="40" w:before="40"/>
      </w:pPr>
      <w:r>
        <w:rPr>
          <w:rFonts w:ascii="Arial" w:cs="Arial" w:eastAsia="Arial" w:hAnsi="Arial"/>
          <w:sz w:val="22"/>
          <w:szCs w:val="22"/>
        </w:rPr>
        <w:t xml:space="preserve">Input area: Text input for accession ID + 3 example model buttons (GCST IDs you precompute)</w:t>
      </w:r>
    </w:p>
    <w:p>
      <w:pPr>
        <w:pStyle w:val="ListParagraph"/>
        <w:numPr>
          <w:ilvl w:val="0"/>
          <w:numId w:val="3"/>
        </w:numPr>
        <w:spacing w:after="40" w:before="40"/>
      </w:pPr>
      <w:r>
        <w:rPr>
          <w:rFonts w:ascii="Arial" w:cs="Arial" w:eastAsia="Arial" w:hAnsi="Arial"/>
          <w:sz w:val="22"/>
          <w:szCs w:val="22"/>
        </w:rPr>
        <w:t xml:space="preserve">Progress bar and status messages while fetching (GWAS Catalog + gnomAD calls take 10-60 seconds for large models)</w:t>
      </w:r>
    </w:p>
    <w:p>
      <w:pPr>
        <w:pStyle w:val="ListParagraph"/>
        <w:numPr>
          <w:ilvl w:val="0"/>
          <w:numId w:val="3"/>
        </w:numPr>
        <w:spacing w:after="40" w:before="40"/>
      </w:pPr>
      <w:r>
        <w:rPr>
          <w:rFonts w:ascii="Arial" w:cs="Arial" w:eastAsia="Arial" w:hAnsi="Arial"/>
          <w:sz w:val="22"/>
          <w:szCs w:val="22"/>
        </w:rPr>
        <w:t xml:space="preserve">Score card row: 8 colored metric cards, one per ancestry, showing Gap Index with color coding (green &lt; 0.15, yellow 0.15–0.35, red &gt; 0.35)</w:t>
      </w:r>
    </w:p>
    <w:p>
      <w:pPr>
        <w:pStyle w:val="ListParagraph"/>
        <w:numPr>
          <w:ilvl w:val="0"/>
          <w:numId w:val="3"/>
        </w:numPr>
        <w:spacing w:after="40" w:before="40"/>
      </w:pPr>
      <w:r>
        <w:rPr>
          <w:rFonts w:ascii="Arial" w:cs="Arial" w:eastAsia="Arial" w:hAnsi="Arial"/>
          <w:sz w:val="22"/>
          <w:szCs w:val="22"/>
        </w:rPr>
        <w:t xml:space="preserve">Ancestry heatmap: Plotly heatmap — rows = ancestry groups, columns = Coverage / Reliability / Gap Index</w:t>
      </w:r>
    </w:p>
    <w:p>
      <w:pPr>
        <w:pStyle w:val="ListParagraph"/>
        <w:numPr>
          <w:ilvl w:val="0"/>
          <w:numId w:val="3"/>
        </w:numPr>
        <w:spacing w:after="40" w:before="40"/>
      </w:pPr>
      <w:r>
        <w:rPr>
          <w:rFonts w:ascii="Arial" w:cs="Arial" w:eastAsia="Arial" w:hAnsi="Arial"/>
          <w:sz w:val="22"/>
          <w:szCs w:val="22"/>
        </w:rPr>
        <w:t xml:space="preserve">High-Impact Gap Variants: st-aggrid table of flagged variants with sortable columns</w:t>
      </w:r>
    </w:p>
    <w:p>
      <w:pPr>
        <w:pStyle w:val="ListParagraph"/>
        <w:numPr>
          <w:ilvl w:val="0"/>
          <w:numId w:val="3"/>
        </w:numPr>
        <w:spacing w:after="40" w:before="40"/>
      </w:pPr>
      <w:r>
        <w:rPr>
          <w:rFonts w:ascii="Arial" w:cs="Arial" w:eastAsia="Arial" w:hAnsi="Arial"/>
          <w:sz w:val="22"/>
          <w:szCs w:val="22"/>
        </w:rPr>
        <w:t xml:space="preserve">Download button: st.download_button with the PDF bytes from generate_audit_pdf()</w:t>
      </w:r>
    </w:p>
    <w:p>
      <w:pPr>
        <w:spacing w:after="80" w:before="0"/>
      </w:pPr>
      <w: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Key Streamlit patterns to use:</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Use @st.cache_data to cache the audit result by accession</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@st.cache_data(ttl=3600, show_spinner=False)</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def run_audit_cached(accession: str) -&gt; ModelAuditResult: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variants = fetch_prs_variants(accession)</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rsids = [v.rsid for v in variants]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freqs = fetch_all_variants(rsids)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return run_full_audit(accession, variants, freqs)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Download button</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pdf_bytes = generate_audit_pdf(result)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st.download_button(</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label='Download Audit Report (PDF)',</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data=pdf_bytes,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file_name=f'genoequity_audit_{accession}.pdf',</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mime='application/pdf'</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w:t>
      </w:r>
    </w:p>
    <w:p>
      <w:pPr>
        <w:pBdr>
          <w:bottom w:val="single" w:color="B0C4CC" w:sz="3" w:space="1"/>
        </w:pBdr>
        <w:spacing w:after="200" w:before="200"/>
      </w:pPr>
      <w:r>
        <w:t xml:space="preserve"/>
      </w:r>
    </w:p>
    <w:p>
      <w:pPr>
        <w:pStyle w:val="Heading1"/>
        <w:pBdr>
          <w:bottom w:val="single" w:color="2E7D8C" w:sz="6" w:space="6"/>
        </w:pBdr>
        <w:spacing w:after="120" w:before="360"/>
      </w:pPr>
      <w:r>
        <w:rPr>
          <w:rFonts w:ascii="Arial" w:cs="Arial" w:eastAsia="Arial" w:hAnsi="Arial"/>
          <w:b/>
          <w:bCs/>
          <w:color w:val="1A3C5E"/>
          <w:sz w:val="36"/>
          <w:szCs w:val="36"/>
        </w:rPr>
        <w:t xml:space="preserve">8. Three Pre-Loaded Example Cancer Models</w:t>
      </w:r>
    </w:p>
    <w:p>
      <w:pPr>
        <w:spacing w:after="100" w:before="60"/>
      </w:pPr>
      <w:r>
        <w:rPr>
          <w:rFonts w:ascii="Arial" w:cs="Arial" w:eastAsia="Arial" w:hAnsi="Arial"/>
          <w:b w:val="false"/>
          <w:bCs w:val="false"/>
          <w:i w:val="false"/>
          <w:iCs w:val="false"/>
          <w:color w:val="222222"/>
          <w:sz w:val="22"/>
          <w:szCs w:val="22"/>
        </w:rPr>
        <w:t xml:space="preserve">Do not make users wait on a cold start. Pre-run audits on these three models and store the results in data/examples/ as JSON. The app loads them instantly on first visit.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0C4CC" w:sz="1"/>
              <w:left w:val="single" w:color="B0C4CC" w:sz="1"/>
              <w:bottom w:val="single" w:color="B0C4CC" w:sz="1"/>
              <w:right w:val="single" w:color="B0C4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Cancer Type</w:t>
            </w:r>
          </w:p>
        </w:tc>
        <w:tc>
          <w:tcPr>
            <w:tcW w:type="dxa" w:w="2800"/>
            <w:tcBorders>
              <w:top w:val="single" w:color="B0C4CC" w:sz="1"/>
              <w:left w:val="single" w:color="B0C4CC" w:sz="1"/>
              <w:bottom w:val="single" w:color="B0C4CC" w:sz="1"/>
              <w:right w:val="single" w:color="B0C4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GWAS Catalog Accession</w:t>
            </w:r>
          </w:p>
        </w:tc>
        <w:tc>
          <w:tcPr>
            <w:tcW w:type="dxa" w:w="4360"/>
            <w:tcBorders>
              <w:top w:val="single" w:color="B0C4CC" w:sz="1"/>
              <w:left w:val="single" w:color="B0C4CC" w:sz="1"/>
              <w:bottom w:val="single" w:color="B0C4CC" w:sz="1"/>
              <w:right w:val="single" w:color="B0C4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Why This Model</w:t>
            </w:r>
          </w:p>
        </w:tc>
      </w:tr>
      <w:tr>
        <w:tc>
          <w:tcPr>
            <w:tcW w:type="dxa" w:w="22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Colorectal Cancer</w:t>
            </w:r>
          </w:p>
        </w:tc>
        <w:tc>
          <w:tcPr>
            <w:tcW w:type="dxa" w:w="28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GCST90016564</w:t>
            </w:r>
          </w:p>
        </w:tc>
        <w:tc>
          <w:tcPr>
            <w:tcW w:type="dxa" w:w="436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Large PRS (140+ variants), well-studied, Ioannidis lab has published comparison data here</w:t>
            </w:r>
          </w:p>
        </w:tc>
      </w:tr>
      <w:tr>
        <w:tc>
          <w:tcPr>
            <w:tcW w:type="dxa" w:w="220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Breast Cancer</w:t>
            </w:r>
          </w:p>
        </w:tc>
        <w:tc>
          <w:tcPr>
            <w:tcW w:type="dxa" w:w="280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GCST90029052</w:t>
            </w:r>
          </w:p>
        </w:tc>
        <w:tc>
          <w:tcPr>
            <w:tcW w:type="dxa" w:w="4360"/>
            <w:tcBorders>
              <w:top w:val="single" w:color="B0C4CC" w:sz="1"/>
              <w:left w:val="single" w:color="B0C4CC" w:sz="1"/>
              <w:bottom w:val="single" w:color="B0C4CC" w:sz="1"/>
              <w:right w:val="single" w:color="B0C4CC" w:sz="1"/>
            </w:tcBorders>
            <w:shd w:fill="F2F8F9" w:val="clear"/>
            <w:tcMar>
              <w:top w:type="dxa" w:w="70"/>
              <w:left w:type="dxa" w:w="120"/>
              <w:bottom w:type="dxa" w:w="70"/>
              <w:right w:type="dxa" w:w="120"/>
            </w:tcMar>
          </w:tcPr>
          <w:p>
            <w:r>
              <w:rPr>
                <w:rFonts w:ascii="Arial" w:cs="Arial" w:eastAsia="Arial" w:hAnsi="Arial"/>
                <w:color w:val="222222"/>
                <w:sz w:val="20"/>
                <w:szCs w:val="20"/>
              </w:rPr>
              <w:t xml:space="preserve">Clinically deployed PRS, massive European bias documented in literature</w:t>
            </w:r>
          </w:p>
        </w:tc>
      </w:tr>
      <w:tr>
        <w:tc>
          <w:tcPr>
            <w:tcW w:type="dxa" w:w="22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Prostate Cancer</w:t>
            </w:r>
          </w:p>
        </w:tc>
        <w:tc>
          <w:tcPr>
            <w:tcW w:type="dxa" w:w="280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GCST90018999</w:t>
            </w:r>
          </w:p>
        </w:tc>
        <w:tc>
          <w:tcPr>
            <w:tcW w:type="dxa" w:w="4360"/>
            <w:tcBorders>
              <w:top w:val="single" w:color="B0C4CC" w:sz="1"/>
              <w:left w:val="single" w:color="B0C4CC" w:sz="1"/>
              <w:bottom w:val="single" w:color="B0C4CC" w:sz="1"/>
              <w:right w:val="single" w:color="B0C4CC" w:sz="1"/>
            </w:tcBorders>
            <w:shd w:fill="FFFFFF" w:val="clear"/>
            <w:tcMar>
              <w:top w:type="dxa" w:w="70"/>
              <w:left w:type="dxa" w:w="120"/>
              <w:bottom w:type="dxa" w:w="70"/>
              <w:right w:type="dxa" w:w="120"/>
            </w:tcMar>
          </w:tcPr>
          <w:p>
            <w:r>
              <w:rPr>
                <w:rFonts w:ascii="Arial" w:cs="Arial" w:eastAsia="Arial" w:hAnsi="Arial"/>
                <w:color w:val="222222"/>
                <w:sz w:val="20"/>
                <w:szCs w:val="20"/>
              </w:rPr>
              <w:t xml:space="preserve">Significant AMR/AFR disparity, important for health equity narrative</w:t>
            </w:r>
          </w:p>
        </w:tc>
      </w:tr>
    </w:tbl>
    <w:p>
      <w:pPr>
        <w:spacing w:after="80" w:before="0"/>
      </w:pPr>
      <w:r>
        <w:t xml:space="preserve"/>
      </w:r>
    </w:p>
    <w:p>
      <w:pPr>
        <w:spacing w:after="100" w:before="60"/>
      </w:pPr>
      <w:r>
        <w:rPr>
          <w:rFonts w:ascii="Arial" w:cs="Arial" w:eastAsia="Arial" w:hAnsi="Arial"/>
          <w:b w:val="false"/>
          <w:bCs w:val="false"/>
          <w:i w:val="false"/>
          <w:iCs w:val="false"/>
          <w:color w:val="222222"/>
          <w:sz w:val="22"/>
          <w:szCs w:val="22"/>
        </w:rPr>
        <w:t xml:space="preserve">Run scripts/precompute_examples.py once locally to generate these JSON files. Commit them to the repo so Streamlit Cloud has them at startup.</w:t>
      </w:r>
    </w:p>
    <w:p>
      <w:pPr>
        <w:pBdr>
          <w:bottom w:val="single" w:color="B0C4CC" w:sz="3" w:space="1"/>
        </w:pBdr>
        <w:spacing w:after="200" w:before="200"/>
      </w:pPr>
      <w:r>
        <w:t xml:space="preserve"/>
      </w:r>
    </w:p>
    <w:p>
      <w:pPr>
        <w:pStyle w:val="Heading1"/>
        <w:pBdr>
          <w:bottom w:val="single" w:color="2E7D8C" w:sz="6" w:space="6"/>
        </w:pBdr>
        <w:spacing w:after="120" w:before="360"/>
      </w:pPr>
      <w:r>
        <w:rPr>
          <w:rFonts w:ascii="Arial" w:cs="Arial" w:eastAsia="Arial" w:hAnsi="Arial"/>
          <w:b/>
          <w:bCs/>
          <w:color w:val="1A3C5E"/>
          <w:sz w:val="36"/>
          <w:szCs w:val="36"/>
        </w:rPr>
        <w:t xml:space="preserve">9. Week-by-Week Build Plan</w:t>
      </w:r>
    </w:p>
    <w:p>
      <w:pPr>
        <w:spacing w:after="80" w:before="0"/>
      </w:pPr>
      <w:r>
        <w:t xml:space="preserve"/>
      </w:r>
    </w:p>
    <w:p>
      <w:pPr>
        <w:pStyle w:val="Heading2"/>
        <w:spacing w:after="80" w:before="280"/>
      </w:pPr>
      <w:r>
        <w:rPr>
          <w:rFonts w:ascii="Arial" w:cs="Arial" w:eastAsia="Arial" w:hAnsi="Arial"/>
          <w:b/>
          <w:bCs/>
          <w:color w:val="2E7D8C"/>
          <w:sz w:val="28"/>
          <w:szCs w:val="28"/>
        </w:rPr>
        <w:t xml:space="preserve">Week 1 — Data Pipeline &amp; Core Scoring</w:t>
      </w:r>
    </w:p>
    <w:p>
      <w:pPr>
        <w:pStyle w:val="ListParagraph"/>
        <w:numPr>
          <w:ilvl w:val="0"/>
          <w:numId w:val="3"/>
        </w:numPr>
        <w:spacing w:after="40" w:before="40"/>
      </w:pPr>
      <w:r>
        <w:rPr>
          <w:rFonts w:ascii="Arial" w:cs="Arial" w:eastAsia="Arial" w:hAnsi="Arial"/>
          <w:sz w:val="22"/>
          <w:szCs w:val="22"/>
        </w:rPr>
        <w:t xml:space="preserve">Set up repo, venv, pre-commit hooks, black + ruff config</w:t>
      </w:r>
    </w:p>
    <w:p>
      <w:pPr>
        <w:pStyle w:val="ListParagraph"/>
        <w:numPr>
          <w:ilvl w:val="0"/>
          <w:numId w:val="3"/>
        </w:numPr>
        <w:spacing w:after="40" w:before="40"/>
      </w:pPr>
      <w:r>
        <w:rPr>
          <w:rFonts w:ascii="Arial" w:cs="Arial" w:eastAsia="Arial" w:hAnsi="Arial"/>
          <w:sz w:val="22"/>
          <w:szCs w:val="22"/>
        </w:rPr>
        <w:t xml:space="preserve">Write models.py (Pydantic models) — this anchors everything</w:t>
      </w:r>
    </w:p>
    <w:p>
      <w:pPr>
        <w:pStyle w:val="ListParagraph"/>
        <w:numPr>
          <w:ilvl w:val="0"/>
          <w:numId w:val="3"/>
        </w:numPr>
        <w:spacing w:after="40" w:before="40"/>
      </w:pPr>
      <w:r>
        <w:rPr>
          <w:rFonts w:ascii="Arial" w:cs="Arial" w:eastAsia="Arial" w:hAnsi="Arial"/>
          <w:sz w:val="22"/>
          <w:szCs w:val="22"/>
        </w:rPr>
        <w:t xml:space="preserve">Write gwas.py — fetch and parse GWAS Catalog data for one test accession</w:t>
      </w:r>
    </w:p>
    <w:p>
      <w:pPr>
        <w:pStyle w:val="ListParagraph"/>
        <w:numPr>
          <w:ilvl w:val="0"/>
          <w:numId w:val="3"/>
        </w:numPr>
        <w:spacing w:after="40" w:before="40"/>
      </w:pPr>
      <w:r>
        <w:rPr>
          <w:rFonts w:ascii="Arial" w:cs="Arial" w:eastAsia="Arial" w:hAnsi="Arial"/>
          <w:sz w:val="22"/>
          <w:szCs w:val="22"/>
        </w:rPr>
        <w:t xml:space="preserve">Write gnomad.py — fetch allele frequencies for a small set of test variants</w:t>
      </w:r>
    </w:p>
    <w:p>
      <w:pPr>
        <w:pStyle w:val="ListParagraph"/>
        <w:numPr>
          <w:ilvl w:val="0"/>
          <w:numId w:val="3"/>
        </w:numPr>
        <w:spacing w:after="40" w:before="40"/>
      </w:pPr>
      <w:r>
        <w:rPr>
          <w:rFonts w:ascii="Arial" w:cs="Arial" w:eastAsia="Arial" w:hAnsi="Arial"/>
          <w:sz w:val="22"/>
          <w:szCs w:val="22"/>
        </w:rPr>
        <w:t xml:space="preserve">Write cache.py — SQLite layer so you don't hammered the APIs repeatedly</w:t>
      </w:r>
    </w:p>
    <w:p>
      <w:pPr>
        <w:pStyle w:val="ListParagraph"/>
        <w:numPr>
          <w:ilvl w:val="0"/>
          <w:numId w:val="3"/>
        </w:numPr>
        <w:spacing w:after="40" w:before="40"/>
      </w:pPr>
      <w:r>
        <w:rPr>
          <w:rFonts w:ascii="Arial" w:cs="Arial" w:eastAsia="Arial" w:hAnsi="Arial"/>
          <w:sz w:val="22"/>
          <w:szCs w:val="22"/>
        </w:rPr>
        <w:t xml:space="preserve">Write scoring.py — implement coverage, reliability, gap index, variant flags</w:t>
      </w:r>
    </w:p>
    <w:p>
      <w:pPr>
        <w:pStyle w:val="ListParagraph"/>
        <w:numPr>
          <w:ilvl w:val="0"/>
          <w:numId w:val="3"/>
        </w:numPr>
        <w:spacing w:after="40" w:before="40"/>
      </w:pPr>
      <w:r>
        <w:rPr>
          <w:rFonts w:ascii="Arial" w:cs="Arial" w:eastAsia="Arial" w:hAnsi="Arial"/>
          <w:sz w:val="22"/>
          <w:szCs w:val="22"/>
        </w:rPr>
        <w:t xml:space="preserve">Write a Jupyter notebook (notebooks/exploration.ipynb) to validate your scoring logic on real data</w:t>
      </w:r>
    </w:p>
    <w:p>
      <w:pPr>
        <w:pStyle w:val="ListParagraph"/>
        <w:numPr>
          <w:ilvl w:val="0"/>
          <w:numId w:val="3"/>
        </w:numPr>
        <w:spacing w:after="40" w:before="40"/>
      </w:pPr>
      <w:r>
        <w:rPr>
          <w:rFonts w:ascii="Arial" w:cs="Arial" w:eastAsia="Arial" w:hAnsi="Arial"/>
          <w:sz w:val="22"/>
          <w:szCs w:val="22"/>
        </w:rPr>
        <w:t xml:space="preserve">Write tests/test_scoring.py — unit test all scoring functions with mocked data</w:t>
      </w:r>
    </w:p>
    <w:p>
      <w:pPr>
        <w:spacing w:after="80" w:before="0"/>
      </w:pPr>
      <w:r>
        <w:t xml:space="preserve"/>
      </w:r>
    </w:p>
    <w:p>
      <w:pPr>
        <w:pStyle w:val="Heading2"/>
        <w:spacing w:after="80" w:before="280"/>
      </w:pPr>
      <w:r>
        <w:rPr>
          <w:rFonts w:ascii="Arial" w:cs="Arial" w:eastAsia="Arial" w:hAnsi="Arial"/>
          <w:b/>
          <w:bCs/>
          <w:color w:val="2E7D8C"/>
          <w:sz w:val="28"/>
          <w:szCs w:val="28"/>
        </w:rPr>
        <w:t xml:space="preserve">Week 2 — PDF Report Generator</w:t>
      </w:r>
    </w:p>
    <w:p>
      <w:pPr>
        <w:pStyle w:val="ListParagraph"/>
        <w:numPr>
          <w:ilvl w:val="0"/>
          <w:numId w:val="3"/>
        </w:numPr>
        <w:spacing w:after="40" w:before="40"/>
      </w:pPr>
      <w:r>
        <w:rPr>
          <w:rFonts w:ascii="Arial" w:cs="Arial" w:eastAsia="Arial" w:hAnsi="Arial"/>
          <w:sz w:val="22"/>
          <w:szCs w:val="22"/>
        </w:rPr>
        <w:t xml:space="preserve">Write report.py — build full PDF structure with ReportLab</w:t>
      </w:r>
    </w:p>
    <w:p>
      <w:pPr>
        <w:pStyle w:val="ListParagraph"/>
        <w:numPr>
          <w:ilvl w:val="0"/>
          <w:numId w:val="3"/>
        </w:numPr>
        <w:spacing w:after="40" w:before="40"/>
      </w:pPr>
      <w:r>
        <w:rPr>
          <w:rFonts w:ascii="Arial" w:cs="Arial" w:eastAsia="Arial" w:hAnsi="Arial"/>
          <w:sz w:val="22"/>
          <w:szCs w:val="22"/>
        </w:rPr>
        <w:t xml:space="preserve">Create the matplotlib heatmap helper and embed into PDF</w:t>
      </w:r>
    </w:p>
    <w:p>
      <w:pPr>
        <w:pStyle w:val="ListParagraph"/>
        <w:numPr>
          <w:ilvl w:val="0"/>
          <w:numId w:val="3"/>
        </w:numPr>
        <w:spacing w:after="40" w:before="40"/>
      </w:pPr>
      <w:r>
        <w:rPr>
          <w:rFonts w:ascii="Arial" w:cs="Arial" w:eastAsia="Arial" w:hAnsi="Arial"/>
          <w:sz w:val="22"/>
          <w:szCs w:val="22"/>
        </w:rPr>
        <w:t xml:space="preserve">Create the variant table section in the PDF</w:t>
      </w:r>
    </w:p>
    <w:p>
      <w:pPr>
        <w:pStyle w:val="ListParagraph"/>
        <w:numPr>
          <w:ilvl w:val="0"/>
          <w:numId w:val="3"/>
        </w:numPr>
        <w:spacing w:after="40" w:before="40"/>
      </w:pPr>
      <w:r>
        <w:rPr>
          <w:rFonts w:ascii="Arial" w:cs="Arial" w:eastAsia="Arial" w:hAnsi="Arial"/>
          <w:sz w:val="22"/>
          <w:szCs w:val="22"/>
        </w:rPr>
        <w:t xml:space="preserve">Write the methodology section text (this is important — it shows scientific rigor)</w:t>
      </w:r>
    </w:p>
    <w:p>
      <w:pPr>
        <w:pStyle w:val="ListParagraph"/>
        <w:numPr>
          <w:ilvl w:val="0"/>
          <w:numId w:val="3"/>
        </w:numPr>
        <w:spacing w:after="40" w:before="40"/>
      </w:pPr>
      <w:r>
        <w:rPr>
          <w:rFonts w:ascii="Arial" w:cs="Arial" w:eastAsia="Arial" w:hAnsi="Arial"/>
          <w:sz w:val="22"/>
          <w:szCs w:val="22"/>
        </w:rPr>
        <w:t xml:space="preserve">Run precompute_examples.py and generate all 3 example JSON files</w:t>
      </w:r>
    </w:p>
    <w:p>
      <w:pPr>
        <w:pStyle w:val="ListParagraph"/>
        <w:numPr>
          <w:ilvl w:val="0"/>
          <w:numId w:val="3"/>
        </w:numPr>
        <w:spacing w:after="40" w:before="40"/>
      </w:pPr>
      <w:r>
        <w:rPr>
          <w:rFonts w:ascii="Arial" w:cs="Arial" w:eastAsia="Arial" w:hAnsi="Arial"/>
          <w:sz w:val="22"/>
          <w:szCs w:val="22"/>
        </w:rPr>
        <w:t xml:space="preserve">Manual QA: generate PDF for all 3 example models and review carefully</w:t>
      </w:r>
    </w:p>
    <w:p>
      <w:pPr>
        <w:spacing w:after="80" w:before="0"/>
      </w:pPr>
      <w:r>
        <w:t xml:space="preserve"/>
      </w:r>
    </w:p>
    <w:p>
      <w:pPr>
        <w:pStyle w:val="Heading2"/>
        <w:spacing w:after="80" w:before="280"/>
      </w:pPr>
      <w:r>
        <w:rPr>
          <w:rFonts w:ascii="Arial" w:cs="Arial" w:eastAsia="Arial" w:hAnsi="Arial"/>
          <w:b/>
          <w:bCs/>
          <w:color w:val="2E7D8C"/>
          <w:sz w:val="28"/>
          <w:szCs w:val="28"/>
        </w:rPr>
        <w:t xml:space="preserve">Week 3 — Streamlit App &amp; Deployment</w:t>
      </w:r>
    </w:p>
    <w:p>
      <w:pPr>
        <w:pStyle w:val="ListParagraph"/>
        <w:numPr>
          <w:ilvl w:val="0"/>
          <w:numId w:val="3"/>
        </w:numPr>
        <w:spacing w:after="40" w:before="40"/>
      </w:pPr>
      <w:r>
        <w:rPr>
          <w:rFonts w:ascii="Arial" w:cs="Arial" w:eastAsia="Arial" w:hAnsi="Arial"/>
          <w:sz w:val="22"/>
          <w:szCs w:val="22"/>
        </w:rPr>
        <w:t xml:space="preserve">Write app/main.py — page config, session state, sidebar</w:t>
      </w:r>
    </w:p>
    <w:p>
      <w:pPr>
        <w:pStyle w:val="ListParagraph"/>
        <w:numPr>
          <w:ilvl w:val="0"/>
          <w:numId w:val="3"/>
        </w:numPr>
        <w:spacing w:after="40" w:before="40"/>
      </w:pPr>
      <w:r>
        <w:rPr>
          <w:rFonts w:ascii="Arial" w:cs="Arial" w:eastAsia="Arial" w:hAnsi="Arial"/>
          <w:sz w:val="22"/>
          <w:szCs w:val="22"/>
        </w:rPr>
        <w:t xml:space="preserve">Write pages/01_audit.py — full audit page with all widgets</w:t>
      </w:r>
    </w:p>
    <w:p>
      <w:pPr>
        <w:pStyle w:val="ListParagraph"/>
        <w:numPr>
          <w:ilvl w:val="0"/>
          <w:numId w:val="3"/>
        </w:numPr>
        <w:spacing w:after="40" w:before="40"/>
      </w:pPr>
      <w:r>
        <w:rPr>
          <w:rFonts w:ascii="Arial" w:cs="Arial" w:eastAsia="Arial" w:hAnsi="Arial"/>
          <w:sz w:val="22"/>
          <w:szCs w:val="22"/>
        </w:rPr>
        <w:t xml:space="preserve">Write pages/02_explore.py — simple population explorer (bonus feature)</w:t>
      </w:r>
    </w:p>
    <w:p>
      <w:pPr>
        <w:pStyle w:val="ListParagraph"/>
        <w:numPr>
          <w:ilvl w:val="0"/>
          <w:numId w:val="3"/>
        </w:numPr>
        <w:spacing w:after="40" w:before="40"/>
      </w:pPr>
      <w:r>
        <w:rPr>
          <w:rFonts w:ascii="Arial" w:cs="Arial" w:eastAsia="Arial" w:hAnsi="Arial"/>
          <w:sz w:val="22"/>
          <w:szCs w:val="22"/>
        </w:rPr>
        <w:t xml:space="preserve">Write pages/03_about.py — methodology, data sources, citations</w:t>
      </w:r>
    </w:p>
    <w:p>
      <w:pPr>
        <w:pStyle w:val="ListParagraph"/>
        <w:numPr>
          <w:ilvl w:val="0"/>
          <w:numId w:val="3"/>
        </w:numPr>
        <w:spacing w:after="40" w:before="40"/>
      </w:pPr>
      <w:r>
        <w:rPr>
          <w:rFonts w:ascii="Arial" w:cs="Arial" w:eastAsia="Arial" w:hAnsi="Arial"/>
          <w:sz w:val="22"/>
          <w:szCs w:val="22"/>
        </w:rPr>
        <w:t xml:space="preserve">Write .streamlit/config.toml — set a clean dark or light theme</w:t>
      </w:r>
    </w:p>
    <w:p>
      <w:pPr>
        <w:pStyle w:val="ListParagraph"/>
        <w:numPr>
          <w:ilvl w:val="0"/>
          <w:numId w:val="3"/>
        </w:numPr>
        <w:spacing w:after="40" w:before="40"/>
      </w:pPr>
      <w:r>
        <w:rPr>
          <w:rFonts w:ascii="Arial" w:cs="Arial" w:eastAsia="Arial" w:hAnsi="Arial"/>
          <w:sz w:val="22"/>
          <w:szCs w:val="22"/>
        </w:rPr>
        <w:t xml:space="preserve">Deploy to Streamlit Community Cloud (connect GitHub repo, set main file)</w:t>
      </w:r>
    </w:p>
    <w:p>
      <w:pPr>
        <w:pStyle w:val="ListParagraph"/>
        <w:numPr>
          <w:ilvl w:val="0"/>
          <w:numId w:val="3"/>
        </w:numPr>
        <w:spacing w:after="40" w:before="40"/>
      </w:pPr>
      <w:r>
        <w:rPr>
          <w:rFonts w:ascii="Arial" w:cs="Arial" w:eastAsia="Arial" w:hAnsi="Arial"/>
          <w:sz w:val="22"/>
          <w:szCs w:val="22"/>
        </w:rPr>
        <w:t xml:space="preserve">Test on mobile — Streamlit apps are responsive by default</w:t>
      </w:r>
    </w:p>
    <w:p>
      <w:pPr>
        <w:spacing w:after="80" w:before="0"/>
      </w:pPr>
      <w:r>
        <w:t xml:space="preserve"/>
      </w:r>
    </w:p>
    <w:p>
      <w:pPr>
        <w:pStyle w:val="Heading2"/>
        <w:spacing w:after="80" w:before="280"/>
      </w:pPr>
      <w:r>
        <w:rPr>
          <w:rFonts w:ascii="Arial" w:cs="Arial" w:eastAsia="Arial" w:hAnsi="Arial"/>
          <w:b/>
          <w:bCs/>
          <w:color w:val="2E7D8C"/>
          <w:sz w:val="28"/>
          <w:szCs w:val="28"/>
        </w:rPr>
        <w:t xml:space="preserve">Week 4 — Polish, Write-Up &amp; Launch</w:t>
      </w:r>
    </w:p>
    <w:p>
      <w:pPr>
        <w:pStyle w:val="ListParagraph"/>
        <w:numPr>
          <w:ilvl w:val="0"/>
          <w:numId w:val="3"/>
        </w:numPr>
        <w:spacing w:after="40" w:before="40"/>
      </w:pPr>
      <w:r>
        <w:rPr>
          <w:rFonts w:ascii="Arial" w:cs="Arial" w:eastAsia="Arial" w:hAnsi="Arial"/>
          <w:sz w:val="22"/>
          <w:szCs w:val="22"/>
        </w:rPr>
        <w:t xml:space="preserve">Write README.md: project description, screenshots, 3 example audit links, methodology summary, how to run locally</w:t>
      </w:r>
    </w:p>
    <w:p>
      <w:pPr>
        <w:pStyle w:val="ListParagraph"/>
        <w:numPr>
          <w:ilvl w:val="0"/>
          <w:numId w:val="3"/>
        </w:numPr>
        <w:spacing w:after="40" w:before="40"/>
      </w:pPr>
      <w:r>
        <w:rPr>
          <w:rFonts w:ascii="Arial" w:cs="Arial" w:eastAsia="Arial" w:hAnsi="Arial"/>
          <w:sz w:val="22"/>
          <w:szCs w:val="22"/>
        </w:rPr>
        <w:t xml:space="preserve">Add GitHub Actions CI: run pytest on every push</w:t>
      </w:r>
    </w:p>
    <w:p>
      <w:pPr>
        <w:pStyle w:val="ListParagraph"/>
        <w:numPr>
          <w:ilvl w:val="0"/>
          <w:numId w:val="3"/>
        </w:numPr>
        <w:spacing w:after="40" w:before="40"/>
      </w:pPr>
      <w:r>
        <w:rPr>
          <w:rFonts w:ascii="Arial" w:cs="Arial" w:eastAsia="Arial" w:hAnsi="Arial"/>
          <w:sz w:val="22"/>
          <w:szCs w:val="22"/>
        </w:rPr>
        <w:t xml:space="preserve">Write a blog post (800-1200 words) on Medium or Substack explaining the problem, your approach, and one surprising finding from your audit results</w:t>
      </w:r>
    </w:p>
    <w:p>
      <w:pPr>
        <w:pStyle w:val="ListParagraph"/>
        <w:numPr>
          <w:ilvl w:val="0"/>
          <w:numId w:val="3"/>
        </w:numPr>
        <w:spacing w:after="40" w:before="40"/>
      </w:pPr>
      <w:r>
        <w:rPr>
          <w:rFonts w:ascii="Arial" w:cs="Arial" w:eastAsia="Arial" w:hAnsi="Arial"/>
          <w:sz w:val="22"/>
          <w:szCs w:val="22"/>
        </w:rPr>
        <w:t xml:space="preserve">Post on LinkedIn and Twitter/X with a link to the live app and one striking data point (e.g. 'This FDA-referenced breast cancer PRS is 41% less reliable for Latino populations')</w:t>
      </w:r>
    </w:p>
    <w:p>
      <w:pPr>
        <w:pStyle w:val="ListParagraph"/>
        <w:numPr>
          <w:ilvl w:val="0"/>
          <w:numId w:val="3"/>
        </w:numPr>
        <w:spacing w:after="40" w:before="40"/>
      </w:pPr>
      <w:r>
        <w:rPr>
          <w:rFonts w:ascii="Arial" w:cs="Arial" w:eastAsia="Arial" w:hAnsi="Arial"/>
          <w:sz w:val="22"/>
          <w:szCs w:val="22"/>
        </w:rPr>
        <w:t xml:space="preserve">Cold email or tweet at 1-2 researchers working on PRS equity — not asking for anything, just sharing</w:t>
      </w:r>
    </w:p>
    <w:p>
      <w:pPr>
        <w:pStyle w:val="ListParagraph"/>
        <w:numPr>
          <w:ilvl w:val="0"/>
          <w:numId w:val="3"/>
        </w:numPr>
        <w:spacing w:after="40" w:before="40"/>
      </w:pPr>
      <w:r>
        <w:rPr>
          <w:rFonts w:ascii="Arial" w:cs="Arial" w:eastAsia="Arial" w:hAnsi="Arial"/>
          <w:sz w:val="22"/>
          <w:szCs w:val="22"/>
        </w:rPr>
        <w:t xml:space="preserve">Optional: Submit to Bioinformatics Subreddit and Hacker News Show HN</w:t>
      </w:r>
    </w:p>
    <w:p>
      <w:pPr>
        <w:pBdr>
          <w:bottom w:val="single" w:color="B0C4CC" w:sz="3" w:space="1"/>
        </w:pBdr>
        <w:spacing w:after="200" w:before="200"/>
      </w:pPr>
      <w:r>
        <w:t xml:space="preserve"/>
      </w:r>
    </w:p>
    <w:p>
      <w:pPr>
        <w:pStyle w:val="Heading1"/>
        <w:pBdr>
          <w:bottom w:val="single" w:color="2E7D8C" w:sz="6" w:space="6"/>
        </w:pBdr>
        <w:spacing w:after="120" w:before="360"/>
      </w:pPr>
      <w:r>
        <w:rPr>
          <w:rFonts w:ascii="Arial" w:cs="Arial" w:eastAsia="Arial" w:hAnsi="Arial"/>
          <w:b/>
          <w:bCs/>
          <w:color w:val="1A3C5E"/>
          <w:sz w:val="36"/>
          <w:szCs w:val="36"/>
        </w:rPr>
        <w:t xml:space="preserve">10. Deployment</w:t>
      </w:r>
    </w:p>
    <w:p>
      <w:pPr>
        <w:spacing w:after="80" w:before="0"/>
      </w:pPr>
      <w:r>
        <w:t xml:space="preserve"/>
      </w:r>
    </w:p>
    <w:p>
      <w:pPr>
        <w:pStyle w:val="Heading2"/>
        <w:spacing w:after="80" w:before="280"/>
      </w:pPr>
      <w:r>
        <w:rPr>
          <w:rFonts w:ascii="Arial" w:cs="Arial" w:eastAsia="Arial" w:hAnsi="Arial"/>
          <w:b/>
          <w:bCs/>
          <w:color w:val="2E7D8C"/>
          <w:sz w:val="28"/>
          <w:szCs w:val="28"/>
        </w:rPr>
        <w:t xml:space="preserve">10.1 Streamlit Community Cloud (Primary)</w:t>
      </w:r>
    </w:p>
    <w:p>
      <w:pPr>
        <w:pStyle w:val="ListParagraph"/>
        <w:numPr>
          <w:ilvl w:val="0"/>
          <w:numId w:val="3"/>
        </w:numPr>
        <w:spacing w:after="40" w:before="40"/>
      </w:pPr>
      <w:r>
        <w:rPr>
          <w:rFonts w:ascii="Arial" w:cs="Arial" w:eastAsia="Arial" w:hAnsi="Arial"/>
          <w:sz w:val="22"/>
          <w:szCs w:val="22"/>
        </w:rPr>
        <w:t xml:space="preserve">Free, permanent public URL (e.g. genoequity.streamlit.app)</w:t>
      </w:r>
    </w:p>
    <w:p>
      <w:pPr>
        <w:pStyle w:val="ListParagraph"/>
        <w:numPr>
          <w:ilvl w:val="0"/>
          <w:numId w:val="3"/>
        </w:numPr>
        <w:spacing w:after="40" w:before="40"/>
      </w:pPr>
      <w:r>
        <w:rPr>
          <w:rFonts w:ascii="Arial" w:cs="Arial" w:eastAsia="Arial" w:hAnsi="Arial"/>
          <w:sz w:val="22"/>
          <w:szCs w:val="22"/>
        </w:rPr>
        <w:t xml:space="preserve">Connected directly to your GitHub repo — pushes auto-deploy</w:t>
      </w:r>
    </w:p>
    <w:p>
      <w:pPr>
        <w:pStyle w:val="ListParagraph"/>
        <w:numPr>
          <w:ilvl w:val="0"/>
          <w:numId w:val="3"/>
        </w:numPr>
        <w:spacing w:after="40" w:before="40"/>
      </w:pPr>
      <w:r>
        <w:rPr>
          <w:rFonts w:ascii="Arial" w:cs="Arial" w:eastAsia="Arial" w:hAnsi="Arial"/>
          <w:sz w:val="22"/>
          <w:szCs w:val="22"/>
        </w:rPr>
        <w:t xml:space="preserve">Supports secrets management for any future API keys</w:t>
      </w:r>
    </w:p>
    <w:p>
      <w:pPr>
        <w:pStyle w:val="ListParagraph"/>
        <w:numPr>
          <w:ilvl w:val="0"/>
          <w:numId w:val="3"/>
        </w:numPr>
        <w:spacing w:after="40" w:before="40"/>
      </w:pPr>
      <w:r>
        <w:rPr>
          <w:rFonts w:ascii="Arial" w:cs="Arial" w:eastAsia="Arial" w:hAnsi="Arial"/>
          <w:sz w:val="22"/>
          <w:szCs w:val="22"/>
        </w:rPr>
        <w:t xml:space="preserve">Steps: go to share.streamlit.io → New app → select repo → set main file to app/main.py → Deploy</w:t>
      </w:r>
    </w:p>
    <w:p>
      <w:pPr>
        <w:spacing w:after="80" w:before="0"/>
      </w:pPr>
      <w:r>
        <w:t xml:space="preserve"/>
      </w:r>
    </w:p>
    <w:p>
      <w:pPr>
        <w:pStyle w:val="Heading2"/>
        <w:spacing w:after="80" w:before="280"/>
      </w:pPr>
      <w:r>
        <w:rPr>
          <w:rFonts w:ascii="Arial" w:cs="Arial" w:eastAsia="Arial" w:hAnsi="Arial"/>
          <w:b/>
          <w:bCs/>
          <w:color w:val="2E7D8C"/>
          <w:sz w:val="28"/>
          <w:szCs w:val="28"/>
        </w:rPr>
        <w:t xml:space="preserve">10.2 requirements.txt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streamlit&gt;=1.33.0</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plotly&gt;=5.20.0</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altair&gt;=5.3.0</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pandas&gt;=2.2.0</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numpy&gt;=1.26.0</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pydantic&gt;=2.6.0</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requests&gt;=2.31.0</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gql&gt;=3.5.0</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httpx&gt;=0.27.0</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tenacity&gt;=8.2.0</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ratelimit&gt;=2.2.0</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sqlalchemy&gt;=2.0.0</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reportlab&gt;=4.1.0</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matplotlib&gt;=3.8.0</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Pillow&gt;=10.3.0</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streamlit-extras&gt;=0.4.0</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streamlit-aggrid&gt;=0.3.0</w:t>
      </w:r>
    </w:p>
    <w:p>
      <w:pPr>
        <w:spacing w:after="80" w:before="0"/>
      </w:pPr>
      <w:r>
        <w:t xml:space="preserve"/>
      </w:r>
    </w:p>
    <w:p>
      <w:pPr>
        <w:pStyle w:val="Heading2"/>
        <w:spacing w:after="80" w:before="280"/>
      </w:pPr>
      <w:r>
        <w:rPr>
          <w:rFonts w:ascii="Arial" w:cs="Arial" w:eastAsia="Arial" w:hAnsi="Arial"/>
          <w:b/>
          <w:bCs/>
          <w:color w:val="2E7D8C"/>
          <w:sz w:val="28"/>
          <w:szCs w:val="28"/>
        </w:rPr>
        <w:t xml:space="preserve">10.3 .streamlit/config.toml</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[theme]</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primaryColor = '#2E7D8C'</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backgroundColor = '#FFFFFF'</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secondaryBackgroundColor = '#E8F4F6'</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textColor = '#1A1A2E'</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font = 'sans serif'</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[server]</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maxUploadSize = 5</w:t>
      </w:r>
    </w:p>
    <w:p>
      <w:pPr>
        <w:pBdr>
          <w:bottom w:val="single" w:color="B0C4CC" w:sz="3" w:space="1"/>
        </w:pBdr>
        <w:spacing w:after="200" w:before="200"/>
      </w:pPr>
      <w:r>
        <w:t xml:space="preserve"/>
      </w:r>
    </w:p>
    <w:p>
      <w:pPr>
        <w:pStyle w:val="Heading1"/>
        <w:pBdr>
          <w:bottom w:val="single" w:color="2E7D8C" w:sz="6" w:space="6"/>
        </w:pBdr>
        <w:spacing w:after="120" w:before="360"/>
      </w:pPr>
      <w:r>
        <w:rPr>
          <w:rFonts w:ascii="Arial" w:cs="Arial" w:eastAsia="Arial" w:hAnsi="Arial"/>
          <w:b/>
          <w:bCs/>
          <w:color w:val="1A3C5E"/>
          <w:sz w:val="36"/>
          <w:szCs w:val="36"/>
        </w:rPr>
        <w:t xml:space="preserve">11. How to Present This Project</w:t>
      </w:r>
    </w:p>
    <w:p>
      <w:pPr>
        <w:spacing w:after="80" w:before="0"/>
      </w:pPr>
      <w:r>
        <w:t xml:space="preserve"/>
      </w:r>
    </w:p>
    <w:p>
      <w:pPr>
        <w:pStyle w:val="Heading2"/>
        <w:spacing w:after="80" w:before="280"/>
      </w:pPr>
      <w:r>
        <w:rPr>
          <w:rFonts w:ascii="Arial" w:cs="Arial" w:eastAsia="Arial" w:hAnsi="Arial"/>
          <w:b/>
          <w:bCs/>
          <w:color w:val="2E7D8C"/>
          <w:sz w:val="28"/>
          <w:szCs w:val="28"/>
        </w:rPr>
        <w:t xml:space="preserve">11.1 One-Line Resume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CC" w:sz="1"/>
              <w:left w:val="single" w:color="B0C4CC" w:sz="1"/>
              <w:bottom w:val="single" w:color="B0C4CC" w:sz="1"/>
              <w:right w:val="single" w:color="B0C4CC" w:sz="1"/>
            </w:tcBorders>
            <w:shd w:fill="2E7D8C" w:val="clear"/>
            <w:tcMar>
              <w:top w:type="dxa" w:w="80"/>
              <w:left w:type="dxa" w:w="180"/>
              <w:bottom w:type="dxa" w:w="80"/>
              <w:right w:type="dxa" w:w="180"/>
            </w:tcMar>
          </w:tcPr>
          <w:p>
            <w:r>
              <w:rPr>
                <w:rFonts w:ascii="Arial" w:cs="Arial" w:eastAsia="Arial" w:hAnsi="Arial"/>
                <w:b/>
                <w:bCs/>
                <w:color w:val="FFFFFF"/>
                <w:sz w:val="22"/>
                <w:szCs w:val="22"/>
              </w:rPr>
              <w:t xml:space="preserve">Resume Bullet</w:t>
            </w:r>
          </w:p>
        </w:tc>
      </w:tr>
      <w:tr>
        <w:tc>
          <w:tcPr>
            <w:tcBorders>
              <w:top w:val="single" w:color="B0C4CC" w:sz="1"/>
              <w:left w:val="single" w:color="B0C4CC" w:sz="1"/>
              <w:bottom w:val="single" w:color="B0C4CC" w:sz="1"/>
              <w:right w:val="single" w:color="B0C4CC" w:sz="1"/>
            </w:tcBorders>
            <w:shd w:fill="E8F4F6" w:val="clear"/>
            <w:tcMar>
              <w:top w:type="dxa" w:w="100"/>
              <w:left w:type="dxa" w:w="180"/>
              <w:bottom w:type="dxa" w:w="100"/>
              <w:right w:type="dxa" w:w="180"/>
            </w:tcMar>
          </w:tcPr>
          <w:p>
            <w:pPr>
              <w:spacing w:after="30" w:before="30"/>
            </w:pPr>
            <w:r>
              <w:rPr>
                <w:rFonts w:ascii="Arial" w:cs="Arial" w:eastAsia="Arial" w:hAnsi="Arial"/>
                <w:color w:val="222222"/>
                <w:sz w:val="21"/>
                <w:szCs w:val="21"/>
              </w:rPr>
              <w:t xml:space="preserve">Built GenoEquity, an open-source web tool that audits published cancer polygenic risk score (PRS) models</w:t>
            </w:r>
          </w:p>
          <w:p>
            <w:pPr>
              <w:spacing w:after="30" w:before="30"/>
            </w:pPr>
            <w:r>
              <w:rPr>
                <w:rFonts w:ascii="Arial" w:cs="Arial" w:eastAsia="Arial" w:hAnsi="Arial"/>
                <w:color w:val="222222"/>
                <w:sz w:val="21"/>
                <w:szCs w:val="21"/>
              </w:rPr>
              <w:t xml:space="preserve">for ancestry representation bias using gnomAD v4.1 and the GWAS Catalog; deployed at genoequity.streamlit.app</w:t>
            </w:r>
          </w:p>
          <w:p>
            <w:pPr>
              <w:spacing w:after="30" w:before="30"/>
            </w:pPr>
            <w:r>
              <w:rPr>
                <w:rFonts w:ascii="Arial" w:cs="Arial" w:eastAsia="Arial" w:hAnsi="Arial"/>
                <w:color w:val="222222"/>
                <w:sz w:val="21"/>
                <w:szCs w:val="21"/>
              </w:rPr>
              <w:t xml:space="preserve">with downloadable PDF audit reports for colorectal, breast, and prostate cancer PRS models.</w:t>
            </w:r>
          </w:p>
        </w:tc>
      </w:tr>
    </w:tbl>
    <w:p>
      <w:pPr>
        <w:spacing w:after="80" w:before="0"/>
      </w:pPr>
      <w:r>
        <w:t xml:space="preserve"/>
      </w:r>
    </w:p>
    <w:p>
      <w:pPr>
        <w:pStyle w:val="Heading2"/>
        <w:spacing w:after="80" w:before="280"/>
      </w:pPr>
      <w:r>
        <w:rPr>
          <w:rFonts w:ascii="Arial" w:cs="Arial" w:eastAsia="Arial" w:hAnsi="Arial"/>
          <w:b/>
          <w:bCs/>
          <w:color w:val="2E7D8C"/>
          <w:sz w:val="28"/>
          <w:szCs w:val="28"/>
        </w:rPr>
        <w:t xml:space="preserve">11.2 Interview Talking Points</w:t>
      </w:r>
    </w:p>
    <w:p>
      <w:pPr>
        <w:pStyle w:val="ListParagraph"/>
        <w:numPr>
          <w:ilvl w:val="0"/>
          <w:numId w:val="3"/>
        </w:numPr>
        <w:spacing w:after="40" w:before="40"/>
      </w:pPr>
      <w:r>
        <w:rPr>
          <w:rFonts w:ascii="Arial" w:cs="Arial" w:eastAsia="Arial" w:hAnsi="Arial"/>
          <w:sz w:val="22"/>
          <w:szCs w:val="22"/>
        </w:rPr>
        <w:t xml:space="preserve">The problem: PRS models are built on European GWAS data, but used on everyone. There was no easy way to audit a specific model's coverage gap before GenoEquity.</w:t>
      </w:r>
    </w:p>
    <w:p>
      <w:pPr>
        <w:pStyle w:val="ListParagraph"/>
        <w:numPr>
          <w:ilvl w:val="0"/>
          <w:numId w:val="3"/>
        </w:numPr>
        <w:spacing w:after="40" w:before="40"/>
      </w:pPr>
      <w:r>
        <w:rPr>
          <w:rFonts w:ascii="Arial" w:cs="Arial" w:eastAsia="Arial" w:hAnsi="Arial"/>
          <w:sz w:val="22"/>
          <w:szCs w:val="22"/>
        </w:rPr>
        <w:t xml:space="preserve">The technical approach: I query gnomAD's GraphQL API for every variant in a PRS model, compute coverage and reliability scores weighted by effect size, and generate a gap index per ancestry group relative to European baseline.</w:t>
      </w:r>
    </w:p>
    <w:p>
      <w:pPr>
        <w:pStyle w:val="ListParagraph"/>
        <w:numPr>
          <w:ilvl w:val="0"/>
          <w:numId w:val="3"/>
        </w:numPr>
        <w:spacing w:after="40" w:before="40"/>
      </w:pPr>
      <w:r>
        <w:rPr>
          <w:rFonts w:ascii="Arial" w:cs="Arial" w:eastAsia="Arial" w:hAnsi="Arial"/>
          <w:sz w:val="22"/>
          <w:szCs w:val="22"/>
        </w:rPr>
        <w:t xml:space="preserve">A real finding: In the breast cancer model I audited, AMR coverage was 61% vs 97% for NFE. The 12 high-impact gap variants flagged by my tool included a known high-penetrance locus — that's a real clinical problem.</w:t>
      </w:r>
    </w:p>
    <w:p>
      <w:pPr>
        <w:pStyle w:val="ListParagraph"/>
        <w:numPr>
          <w:ilvl w:val="0"/>
          <w:numId w:val="3"/>
        </w:numPr>
        <w:spacing w:after="40" w:before="40"/>
      </w:pPr>
      <w:r>
        <w:rPr>
          <w:rFonts w:ascii="Arial" w:cs="Arial" w:eastAsia="Arial" w:hAnsi="Arial"/>
          <w:sz w:val="22"/>
          <w:szCs w:val="22"/>
        </w:rPr>
        <w:t xml:space="preserve">The engineering decisions: I used async httpx to parallelize gnomAD lookups, SQLite caching to make repeat queries instant, and ReportLab to generate a downloadable audit certificate that researchers can attach to papers.</w:t>
      </w:r>
    </w:p>
    <w:p>
      <w:pPr>
        <w:pStyle w:val="ListParagraph"/>
        <w:numPr>
          <w:ilvl w:val="0"/>
          <w:numId w:val="3"/>
        </w:numPr>
        <w:spacing w:after="40" w:before="40"/>
      </w:pPr>
      <w:r>
        <w:rPr>
          <w:rFonts w:ascii="Arial" w:cs="Arial" w:eastAsia="Arial" w:hAnsi="Arial"/>
          <w:sz w:val="22"/>
          <w:szCs w:val="22"/>
        </w:rPr>
        <w:t xml:space="preserve">Connection to Dr. Ioannidis's work: His lab has published on PRS portability and the Mexican Biobank — GenoEquity is essentially an automated version of the audit step his group does manually for each analysis.</w:t>
      </w:r>
    </w:p>
    <w:p>
      <w:pPr>
        <w:spacing w:after="80" w:before="0"/>
      </w:pPr>
      <w:r>
        <w:t xml:space="preserve"/>
      </w:r>
    </w:p>
    <w:p>
      <w:pPr>
        <w:pStyle w:val="Heading2"/>
        <w:spacing w:after="80" w:before="280"/>
      </w:pPr>
      <w:r>
        <w:rPr>
          <w:rFonts w:ascii="Arial" w:cs="Arial" w:eastAsia="Arial" w:hAnsi="Arial"/>
          <w:b/>
          <w:bCs/>
          <w:color w:val="2E7D8C"/>
          <w:sz w:val="28"/>
          <w:szCs w:val="28"/>
        </w:rPr>
        <w:t xml:space="preserve">11.3 Connection to Dr. Ioannidis's Lab</w:t>
      </w:r>
    </w:p>
    <w:p>
      <w:pPr>
        <w:spacing w:after="100" w:before="60"/>
      </w:pPr>
      <w:r>
        <w:rPr>
          <w:rFonts w:ascii="Arial" w:cs="Arial" w:eastAsia="Arial" w:hAnsi="Arial"/>
          <w:b w:val="false"/>
          <w:bCs w:val="false"/>
          <w:i w:val="false"/>
          <w:iCs w:val="false"/>
          <w:color w:val="222222"/>
          <w:sz w:val="22"/>
          <w:szCs w:val="22"/>
        </w:rPr>
        <w:t xml:space="preserve">If you pursue a master's and work in his lab, this project demonstrates:</w:t>
      </w:r>
    </w:p>
    <w:p>
      <w:pPr>
        <w:pStyle w:val="ListParagraph"/>
        <w:numPr>
          <w:ilvl w:val="0"/>
          <w:numId w:val="3"/>
        </w:numPr>
        <w:spacing w:after="40" w:before="40"/>
      </w:pPr>
      <w:r>
        <w:rPr>
          <w:rFonts w:ascii="Arial" w:cs="Arial" w:eastAsia="Arial" w:hAnsi="Arial"/>
          <w:sz w:val="22"/>
          <w:szCs w:val="22"/>
        </w:rPr>
        <w:t xml:space="preserve">You understand PRS methodology and its limitations across admixed populations</w:t>
      </w:r>
    </w:p>
    <w:p>
      <w:pPr>
        <w:pStyle w:val="ListParagraph"/>
        <w:numPr>
          <w:ilvl w:val="0"/>
          <w:numId w:val="3"/>
        </w:numPr>
        <w:spacing w:after="40" w:before="40"/>
      </w:pPr>
      <w:r>
        <w:rPr>
          <w:rFonts w:ascii="Arial" w:cs="Arial" w:eastAsia="Arial" w:hAnsi="Arial"/>
          <w:sz w:val="22"/>
          <w:szCs w:val="22"/>
        </w:rPr>
        <w:t xml:space="preserve">You can build production tools, not just scripts</w:t>
      </w:r>
    </w:p>
    <w:p>
      <w:pPr>
        <w:pStyle w:val="ListParagraph"/>
        <w:numPr>
          <w:ilvl w:val="0"/>
          <w:numId w:val="3"/>
        </w:numPr>
        <w:spacing w:after="40" w:before="40"/>
      </w:pPr>
      <w:r>
        <w:rPr>
          <w:rFonts w:ascii="Arial" w:cs="Arial" w:eastAsia="Arial" w:hAnsi="Arial"/>
          <w:sz w:val="22"/>
          <w:szCs w:val="22"/>
        </w:rPr>
        <w:t xml:space="preserve">You've already engaged with gnomAD and GWAS Catalog — the datasets his lab works with daily</w:t>
      </w:r>
    </w:p>
    <w:p>
      <w:pPr>
        <w:pStyle w:val="ListParagraph"/>
        <w:numPr>
          <w:ilvl w:val="0"/>
          <w:numId w:val="3"/>
        </w:numPr>
        <w:spacing w:after="40" w:before="40"/>
      </w:pPr>
      <w:r>
        <w:rPr>
          <w:rFonts w:ascii="Arial" w:cs="Arial" w:eastAsia="Arial" w:hAnsi="Arial"/>
          <w:sz w:val="22"/>
          <w:szCs w:val="22"/>
        </w:rPr>
        <w:t xml:space="preserve">You care about health equity in genomics from a computational, not just philosophical, angle</w:t>
      </w:r>
    </w:p>
    <w:p>
      <w:pPr>
        <w:spacing w:after="100" w:before="60"/>
      </w:pPr>
      <w:r>
        <w:rPr>
          <w:rFonts w:ascii="Arial" w:cs="Arial" w:eastAsia="Arial" w:hAnsi="Arial"/>
          <w:b w:val="false"/>
          <w:bCs w:val="false"/>
          <w:i w:val="false"/>
          <w:iCs w:val="false"/>
          <w:color w:val="222222"/>
          <w:sz w:val="22"/>
          <w:szCs w:val="22"/>
        </w:rPr>
        <w:t xml:space="preserve">This is the ideal 'pre-work' to bring to a first lab meeting.</w:t>
      </w:r>
    </w:p>
    <w:p>
      <w:pPr>
        <w:pBdr>
          <w:bottom w:val="single" w:color="B0C4CC" w:sz="3" w:space="1"/>
        </w:pBdr>
        <w:spacing w:after="200" w:before="200"/>
      </w:pPr>
      <w:r>
        <w:t xml:space="preserve"/>
      </w:r>
    </w:p>
    <w:p>
      <w:pPr>
        <w:pStyle w:val="Heading1"/>
        <w:pBdr>
          <w:bottom w:val="single" w:color="2E7D8C" w:sz="6" w:space="6"/>
        </w:pBdr>
        <w:spacing w:after="120" w:before="360"/>
      </w:pPr>
      <w:r>
        <w:rPr>
          <w:rFonts w:ascii="Arial" w:cs="Arial" w:eastAsia="Arial" w:hAnsi="Arial"/>
          <w:b/>
          <w:bCs/>
          <w:color w:val="1A3C5E"/>
          <w:sz w:val="36"/>
          <w:szCs w:val="36"/>
        </w:rPr>
        <w:t xml:space="preserve">12. Limitations to Document Honestly</w:t>
      </w:r>
    </w:p>
    <w:p>
      <w:pPr>
        <w:spacing w:after="100" w:before="60"/>
      </w:pPr>
      <w:r>
        <w:rPr>
          <w:rFonts w:ascii="Arial" w:cs="Arial" w:eastAsia="Arial" w:hAnsi="Arial"/>
          <w:b w:val="false"/>
          <w:bCs w:val="false"/>
          <w:i w:val="false"/>
          <w:iCs w:val="false"/>
          <w:color w:val="222222"/>
          <w:sz w:val="22"/>
          <w:szCs w:val="22"/>
        </w:rPr>
        <w:t xml:space="preserve">A strong project acknowledges its limitations. Include a Limitations section in the app and the blog post:</w:t>
      </w:r>
    </w:p>
    <w:p>
      <w:pPr>
        <w:spacing w:after="80" w:before="0"/>
      </w:pPr>
      <w:r>
        <w:t xml:space="preserve"/>
      </w:r>
    </w:p>
    <w:p>
      <w:pPr>
        <w:pStyle w:val="ListParagraph"/>
        <w:numPr>
          <w:ilvl w:val="0"/>
          <w:numId w:val="3"/>
        </w:numPr>
        <w:spacing w:after="40" w:before="40"/>
      </w:pPr>
      <w:r>
        <w:rPr>
          <w:rFonts w:ascii="Arial" w:cs="Arial" w:eastAsia="Arial" w:hAnsi="Arial"/>
          <w:sz w:val="22"/>
          <w:szCs w:val="22"/>
        </w:rPr>
        <w:t xml:space="preserve">Effect size portability: We use published beta coefficients from the GWAS Catalog, which are European-derived. Even if a variant is 'covered' in gnomAD for another ancestry, the effect size may not transfer — this tool audits data coverage, not effect size portability.</w:t>
      </w:r>
    </w:p>
    <w:p>
      <w:pPr>
        <w:pStyle w:val="ListParagraph"/>
        <w:numPr>
          <w:ilvl w:val="0"/>
          <w:numId w:val="3"/>
        </w:numPr>
        <w:spacing w:after="40" w:before="40"/>
      </w:pPr>
      <w:r>
        <w:rPr>
          <w:rFonts w:ascii="Arial" w:cs="Arial" w:eastAsia="Arial" w:hAnsi="Arial"/>
          <w:sz w:val="22"/>
          <w:szCs w:val="22"/>
        </w:rPr>
        <w:t xml:space="preserve">gnomAD is not patient data: gnomAD allele frequencies are from a heterogeneous collection of research cohorts. They are not equivalent to a matched cancer patient cohort. Coverage in gnomAD does not guarantee clinical validity.</w:t>
      </w:r>
    </w:p>
    <w:p>
      <w:pPr>
        <w:pStyle w:val="ListParagraph"/>
        <w:numPr>
          <w:ilvl w:val="0"/>
          <w:numId w:val="3"/>
        </w:numPr>
        <w:spacing w:after="40" w:before="40"/>
      </w:pPr>
      <w:r>
        <w:rPr>
          <w:rFonts w:ascii="Arial" w:cs="Arial" w:eastAsia="Arial" w:hAnsi="Arial"/>
          <w:sz w:val="22"/>
          <w:szCs w:val="22"/>
        </w:rPr>
        <w:t xml:space="preserve">LD structure differences: PRS models assume a specific LD structure that differs by ancestry. This tool does not account for LD-based transferability — that would require full individual-level data.</w:t>
      </w:r>
    </w:p>
    <w:p>
      <w:pPr>
        <w:pStyle w:val="ListParagraph"/>
        <w:numPr>
          <w:ilvl w:val="0"/>
          <w:numId w:val="3"/>
        </w:numPr>
        <w:spacing w:after="40" w:before="40"/>
      </w:pPr>
      <w:r>
        <w:rPr>
          <w:rFonts w:ascii="Arial" w:cs="Arial" w:eastAsia="Arial" w:hAnsi="Arial"/>
          <w:sz w:val="22"/>
          <w:szCs w:val="22"/>
        </w:rPr>
        <w:t xml:space="preserve">AN threshold is a design choice: The AN=1000 coverage threshold and AN_TARGET=10,000 reliability normalization are our design decisions. Different thresholds produce different scores. We document this openly.</w:t>
      </w:r>
    </w:p>
    <w:p>
      <w:pPr>
        <w:spacing w:after="100" w:before="60"/>
      </w:pPr>
      <w:r>
        <w:rPr>
          <w:rFonts w:ascii="Arial" w:cs="Arial" w:eastAsia="Arial" w:hAnsi="Arial"/>
          <w:b w:val="false"/>
          <w:bCs w:val="false"/>
          <w:i w:val="false"/>
          <w:iCs w:val="false"/>
          <w:color w:val="222222"/>
          <w:sz w:val="22"/>
          <w:szCs w:val="22"/>
        </w:rPr>
        <w:t xml:space="preserve">Documenting these honestly is what makes the project scientifically credible rather than just a portfolio piece.</w:t>
      </w:r>
    </w:p>
    <w:p>
      <w:pPr>
        <w:pBdr>
          <w:bottom w:val="single" w:color="B0C4CC" w:sz="3" w:space="1"/>
        </w:pBdr>
        <w:spacing w:after="200" w:before="200"/>
      </w:pPr>
      <w:r>
        <w:t xml:space="preserve"/>
      </w:r>
    </w:p>
    <w:p>
      <w:pPr>
        <w:pStyle w:val="Heading1"/>
        <w:pBdr>
          <w:bottom w:val="single" w:color="2E7D8C" w:sz="6" w:space="6"/>
        </w:pBdr>
        <w:spacing w:after="120" w:before="360"/>
      </w:pPr>
      <w:r>
        <w:rPr>
          <w:rFonts w:ascii="Arial" w:cs="Arial" w:eastAsia="Arial" w:hAnsi="Arial"/>
          <w:b/>
          <w:bCs/>
          <w:color w:val="1A3C5E"/>
          <w:sz w:val="36"/>
          <w:szCs w:val="36"/>
        </w:rPr>
        <w:t xml:space="preserve">Appendix: Key API Reference</w:t>
      </w:r>
    </w:p>
    <w:p>
      <w:pPr>
        <w:spacing w:after="80" w:before="0"/>
      </w:pPr>
      <w:r>
        <w:t xml:space="preserve"/>
      </w:r>
    </w:p>
    <w:p>
      <w:pPr>
        <w:pStyle w:val="Heading2"/>
        <w:spacing w:after="80" w:before="280"/>
      </w:pPr>
      <w:r>
        <w:rPr>
          <w:rFonts w:ascii="Arial" w:cs="Arial" w:eastAsia="Arial" w:hAnsi="Arial"/>
          <w:b/>
          <w:bCs/>
          <w:color w:val="2E7D8C"/>
          <w:sz w:val="28"/>
          <w:szCs w:val="28"/>
        </w:rPr>
        <w:t xml:space="preserve">GWAS Catalog REST API</w:t>
      </w:r>
    </w:p>
    <w:p>
      <w:pPr>
        <w:pStyle w:val="ListParagraph"/>
        <w:numPr>
          <w:ilvl w:val="0"/>
          <w:numId w:val="3"/>
        </w:numPr>
        <w:spacing w:after="40" w:before="40"/>
      </w:pPr>
      <w:r>
        <w:rPr>
          <w:rFonts w:ascii="Arial" w:cs="Arial" w:eastAsia="Arial" w:hAnsi="Arial"/>
          <w:sz w:val="22"/>
          <w:szCs w:val="22"/>
        </w:rPr>
        <w:t xml:space="preserve">Base URL: https://www.ebi.ac.uk/gwas/rest/api</w:t>
      </w:r>
    </w:p>
    <w:p>
      <w:pPr>
        <w:pStyle w:val="ListParagraph"/>
        <w:numPr>
          <w:ilvl w:val="0"/>
          <w:numId w:val="3"/>
        </w:numPr>
        <w:spacing w:after="40" w:before="40"/>
      </w:pPr>
      <w:r>
        <w:rPr>
          <w:rFonts w:ascii="Arial" w:cs="Arial" w:eastAsia="Arial" w:hAnsi="Arial"/>
          <w:sz w:val="22"/>
          <w:szCs w:val="22"/>
        </w:rPr>
        <w:t xml:space="preserve">Get study associations: GET /studies/{accession}/associations?projection=associationByStudy&amp;size=1000</w:t>
      </w:r>
    </w:p>
    <w:p>
      <w:pPr>
        <w:pStyle w:val="ListParagraph"/>
        <w:numPr>
          <w:ilvl w:val="0"/>
          <w:numId w:val="3"/>
        </w:numPr>
        <w:spacing w:after="40" w:before="40"/>
      </w:pPr>
      <w:r>
        <w:rPr>
          <w:rFonts w:ascii="Arial" w:cs="Arial" w:eastAsia="Arial" w:hAnsi="Arial"/>
          <w:sz w:val="22"/>
          <w:szCs w:val="22"/>
        </w:rPr>
        <w:t xml:space="preserve">Get study metadata: GET /studies/{accession}</w:t>
      </w:r>
    </w:p>
    <w:p>
      <w:pPr>
        <w:pStyle w:val="ListParagraph"/>
        <w:numPr>
          <w:ilvl w:val="0"/>
          <w:numId w:val="3"/>
        </w:numPr>
        <w:spacing w:after="40" w:before="40"/>
      </w:pPr>
      <w:r>
        <w:rPr>
          <w:rFonts w:ascii="Arial" w:cs="Arial" w:eastAsia="Arial" w:hAnsi="Arial"/>
          <w:sz w:val="22"/>
          <w:szCs w:val="22"/>
        </w:rPr>
        <w:t xml:space="preserve">Response format: HAL JSON (_embedded, _links for pagination)</w:t>
      </w:r>
    </w:p>
    <w:p>
      <w:pPr>
        <w:pStyle w:val="ListParagraph"/>
        <w:numPr>
          <w:ilvl w:val="0"/>
          <w:numId w:val="3"/>
        </w:numPr>
        <w:spacing w:after="40" w:before="40"/>
      </w:pPr>
      <w:r>
        <w:rPr>
          <w:rFonts w:ascii="Arial" w:cs="Arial" w:eastAsia="Arial" w:hAnsi="Arial"/>
          <w:sz w:val="22"/>
          <w:szCs w:val="22"/>
        </w:rPr>
        <w:t xml:space="preserve">Rate limit: Not officially published — use 1 req/sec to be safe</w:t>
      </w:r>
    </w:p>
    <w:p>
      <w:pPr>
        <w:spacing w:after="80" w:before="0"/>
      </w:pPr>
      <w:r>
        <w:t xml:space="preserve"/>
      </w:r>
    </w:p>
    <w:p>
      <w:pPr>
        <w:pStyle w:val="Heading2"/>
        <w:spacing w:after="80" w:before="280"/>
      </w:pPr>
      <w:r>
        <w:rPr>
          <w:rFonts w:ascii="Arial" w:cs="Arial" w:eastAsia="Arial" w:hAnsi="Arial"/>
          <w:b/>
          <w:bCs/>
          <w:color w:val="2E7D8C"/>
          <w:sz w:val="28"/>
          <w:szCs w:val="28"/>
        </w:rPr>
        <w:t xml:space="preserve">gnomAD GraphQL API</w:t>
      </w:r>
    </w:p>
    <w:p>
      <w:pPr>
        <w:pStyle w:val="ListParagraph"/>
        <w:numPr>
          <w:ilvl w:val="0"/>
          <w:numId w:val="3"/>
        </w:numPr>
        <w:spacing w:after="40" w:before="40"/>
      </w:pPr>
      <w:r>
        <w:rPr>
          <w:rFonts w:ascii="Arial" w:cs="Arial" w:eastAsia="Arial" w:hAnsi="Arial"/>
          <w:sz w:val="22"/>
          <w:szCs w:val="22"/>
        </w:rPr>
        <w:t xml:space="preserve">Endpoint: https://gnomad.broadinstitute.org/api</w:t>
      </w:r>
    </w:p>
    <w:p>
      <w:pPr>
        <w:pStyle w:val="ListParagraph"/>
        <w:numPr>
          <w:ilvl w:val="0"/>
          <w:numId w:val="3"/>
        </w:numPr>
        <w:spacing w:after="40" w:before="40"/>
      </w:pPr>
      <w:r>
        <w:rPr>
          <w:rFonts w:ascii="Arial" w:cs="Arial" w:eastAsia="Arial" w:hAnsi="Arial"/>
          <w:sz w:val="22"/>
          <w:szCs w:val="22"/>
        </w:rPr>
        <w:t xml:space="preserve">Dataset ID for v4.1: 'gnomad_r4'</w:t>
      </w:r>
    </w:p>
    <w:p>
      <w:pPr>
        <w:pStyle w:val="ListParagraph"/>
        <w:numPr>
          <w:ilvl w:val="0"/>
          <w:numId w:val="3"/>
        </w:numPr>
        <w:spacing w:after="40" w:before="40"/>
      </w:pPr>
      <w:r>
        <w:rPr>
          <w:rFonts w:ascii="Arial" w:cs="Arial" w:eastAsia="Arial" w:hAnsi="Arial"/>
          <w:sz w:val="22"/>
          <w:szCs w:val="22"/>
        </w:rPr>
        <w:t xml:space="preserve">Variant ID format: 'chrom-pos-ref-alt' using GRCh38 coordinates</w:t>
      </w:r>
    </w:p>
    <w:p>
      <w:pPr>
        <w:pStyle w:val="ListParagraph"/>
        <w:numPr>
          <w:ilvl w:val="0"/>
          <w:numId w:val="3"/>
        </w:numPr>
        <w:spacing w:after="40" w:before="40"/>
      </w:pPr>
      <w:r>
        <w:rPr>
          <w:rFonts w:ascii="Arial" w:cs="Arial" w:eastAsia="Arial" w:hAnsi="Arial"/>
          <w:sz w:val="22"/>
          <w:szCs w:val="22"/>
        </w:rPr>
        <w:t xml:space="preserve">Population ID mapping: 'afr' -&gt; AFR, 'amr' -&gt; AMR, 'asj' -&gt; ASJ, 'eas' -&gt; EAS, 'fin' -&gt; FIN, 'nfe' -&gt; NFE, 'oth' -&gt; OTH, 'sas' -&gt; SAS</w:t>
      </w:r>
    </w:p>
    <w:p>
      <w:pPr>
        <w:pStyle w:val="ListParagraph"/>
        <w:numPr>
          <w:ilvl w:val="0"/>
          <w:numId w:val="3"/>
        </w:numPr>
        <w:spacing w:after="40" w:before="40"/>
      </w:pPr>
      <w:r>
        <w:rPr>
          <w:rFonts w:ascii="Arial" w:cs="Arial" w:eastAsia="Arial" w:hAnsi="Arial"/>
          <w:sz w:val="22"/>
          <w:szCs w:val="22"/>
        </w:rPr>
        <w:t xml:space="preserve">Rate limit: Unofficial — batch to 50 variants per request, add 0.5s delay between batches</w:t>
      </w:r>
    </w:p>
    <w:p>
      <w:pPr>
        <w:spacing w:after="80" w:before="0"/>
      </w:pPr>
      <w:r>
        <w:t xml:space="preserve"/>
      </w:r>
    </w:p>
    <w:p>
      <w:pPr>
        <w:pStyle w:val="Heading2"/>
        <w:spacing w:after="80" w:before="280"/>
      </w:pPr>
      <w:r>
        <w:rPr>
          <w:rFonts w:ascii="Arial" w:cs="Arial" w:eastAsia="Arial" w:hAnsi="Arial"/>
          <w:b/>
          <w:bCs/>
          <w:color w:val="2E7D8C"/>
          <w:sz w:val="28"/>
          <w:szCs w:val="28"/>
        </w:rPr>
        <w:t xml:space="preserve">Key Python Install Commands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python -m venv venv</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source venv/bin/activate          # Windows: venv\Scripts\activate</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pip install -r requirements.txt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Install dev tools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pip install pytest pytest-mock pytest-asyncio coverage black ruff mypy pre-commit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Run the app locally</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streamlit run app/main.py</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Run tests</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pytest tests/ -v --cov=genoequity</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 Format and lint</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black .</w:t>
      </w:r>
    </w:p>
    <w:p>
      <w:pPr>
        <w:pBdr>
          <w:left w:val="single" w:color="2E7D8C" w:sz="12" w:space="6"/>
        </w:pBdr>
        <w:shd w:fill="F4F6F8" w:val="clear"/>
        <w:spacing w:after="60" w:before="60"/>
        <w:ind w:left="360"/>
      </w:pPr>
      <w:r>
        <w:rPr>
          <w:rFonts w:ascii="Courier New" w:cs="Courier New" w:eastAsia="Courier New" w:hAnsi="Courier New"/>
          <w:color w:val="1A1A2E"/>
          <w:sz w:val="18"/>
          <w:szCs w:val="18"/>
        </w:rPr>
        <w:t xml:space="preserve">ruff check .</w:t>
      </w:r>
    </w:p>
    <w:p>
      <w:pPr>
        <w:spacing w:after="80" w:before="0"/>
      </w:pPr>
      <w:r>
        <w:t xml:space="preserve"/>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5E" w:val="clear"/>
            <w:tcMar>
              <w:top w:type="dxa" w:w="200"/>
              <w:left w:type="dxa" w:w="300"/>
              <w:bottom w:type="dxa" w:w="200"/>
              <w:right w:type="dxa" w:w="300"/>
            </w:tcMar>
          </w:tcPr>
          <w:p>
            <w:pPr>
              <w:jc w:val="center"/>
            </w:pPr>
            <w:r>
              <w:rPr>
                <w:rFonts w:ascii="Arial" w:cs="Arial" w:eastAsia="Arial" w:hAnsi="Arial"/>
                <w:b/>
                <w:bCs/>
                <w:color w:val="FFFFFF"/>
                <w:sz w:val="28"/>
                <w:szCs w:val="28"/>
              </w:rPr>
              <w:t xml:space="preserve">GenoEquity — Build it. Ship it. Own it.</w:t>
            </w:r>
          </w:p>
          <w:p>
            <w:pPr>
              <w:jc w:val="center"/>
            </w:pPr>
            <w:r>
              <w:rPr>
                <w:rFonts w:ascii="Arial" w:cs="Arial" w:eastAsia="Arial" w:hAnsi="Arial"/>
                <w:color w:val="A8D5DD"/>
                <w:sz w:val="20"/>
                <w:szCs w:val="20"/>
              </w:rPr>
              <w:t xml:space="preserve">This project lives at the intersection of your Natera experience, Dr. Ioannidis's research agenda,</w:t>
            </w:r>
          </w:p>
          <w:p>
            <w:pPr>
              <w:jc w:val="center"/>
            </w:pPr>
            <w:r>
              <w:rPr>
                <w:rFonts w:ascii="Arial" w:cs="Arial" w:eastAsia="Arial" w:hAnsi="Arial"/>
                <w:color w:val="A8D5DD"/>
                <w:sz w:val="20"/>
                <w:szCs w:val="20"/>
              </w:rPr>
              <w:t xml:space="preserve">and a real gap in the genomics tooling ecosystem. That is exactly where careers are built.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8C" w:sz="4" w:space="4"/>
      </w:pBdr>
      <w:tabs>
        <w:tab w:val="right" w:pos="9026"/>
      </w:tabs>
    </w:pPr>
    <w:r>
      <w:rPr>
        <w:rFonts w:ascii="Arial" w:cs="Arial" w:eastAsia="Arial" w:hAnsi="Arial"/>
        <w:color w:val="555555"/>
        <w:sz w:val="16"/>
        <w:szCs w:val="16"/>
      </w:rPr>
      <w:t xml:space="preserve">Confidential — Personal Use Only</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8C" w:sz="4" w:space="4"/>
      </w:pBdr>
    </w:pPr>
    <w:r>
      <w:rPr>
        <w:rFonts w:ascii="Arial" w:cs="Arial" w:eastAsia="Arial" w:hAnsi="Arial"/>
        <w:b/>
        <w:bCs/>
        <w:color w:val="555555"/>
        <w:sz w:val="18"/>
        <w:szCs w:val="18"/>
      </w:rPr>
      <w:t xml:space="preserve">GenoEquity — Full Project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C5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D8C"/>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2026-04-08T14:53:20.685Z</dcterms:created>
  <dcterms:modified xsi:type="dcterms:W3CDTF">2026-04-08T14:53:20.686Z</dcterms:modified>
</cp:coreProperties>
</file>

<file path=docProps/custom.xml><?xml version="1.0" encoding="utf-8"?>
<Properties xmlns="http://schemas.openxmlformats.org/officeDocument/2006/custom-properties" xmlns:vt="http://schemas.openxmlformats.org/officeDocument/2006/docPropsVTypes"/>
</file>