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408A1" w14:textId="77777777" w:rsidR="000C3F4A" w:rsidRDefault="000C3F4A" w:rsidP="000C3F4A">
      <w:pPr>
        <w:jc w:val="center"/>
        <w:rPr>
          <w:b/>
          <w:bCs/>
          <w:lang w:val="en-IN"/>
        </w:rPr>
      </w:pPr>
    </w:p>
    <w:p w14:paraId="7D9BF714" w14:textId="77777777" w:rsidR="000C3F4A" w:rsidRPr="00F03BD2" w:rsidRDefault="000C3F4A" w:rsidP="000C3F4A">
      <w:pPr>
        <w:jc w:val="center"/>
        <w:rPr>
          <w:b/>
          <w:bCs/>
          <w:lang w:val="en-IN"/>
        </w:rPr>
      </w:pPr>
      <w:r w:rsidRPr="00F03BD2">
        <w:rPr>
          <w:b/>
          <w:bCs/>
          <w:lang w:val="en-IN"/>
        </w:rPr>
        <w:t>POLICY FRAMEWORK FOR HARDSHIP</w:t>
      </w:r>
      <w:r>
        <w:rPr>
          <w:b/>
          <w:bCs/>
          <w:lang w:val="en-IN"/>
        </w:rPr>
        <w:t>/REMOTE LOCATION</w:t>
      </w:r>
      <w:r w:rsidRPr="00F03BD2">
        <w:rPr>
          <w:b/>
          <w:bCs/>
          <w:lang w:val="en-IN"/>
        </w:rPr>
        <w:t xml:space="preserve"> ALLOWANCE</w:t>
      </w:r>
    </w:p>
    <w:p w14:paraId="5B5A6654" w14:textId="6362BE5D" w:rsidR="00215449" w:rsidRDefault="000C3F4A" w:rsidP="000C3F4A">
      <w:pPr>
        <w:jc w:val="center"/>
        <w:rPr>
          <w:b/>
          <w:bCs/>
          <w:lang w:val="en-IN"/>
        </w:rPr>
      </w:pPr>
      <w:r w:rsidRPr="00F03BD2">
        <w:rPr>
          <w:b/>
          <w:bCs/>
          <w:lang w:val="en-IN"/>
        </w:rPr>
        <w:t>VEDANTA LIMITED</w:t>
      </w:r>
    </w:p>
    <w:p w14:paraId="7614C46F" w14:textId="77777777" w:rsidR="000C3F4A" w:rsidRDefault="000C3F4A" w:rsidP="000C3F4A">
      <w:pPr>
        <w:jc w:val="both"/>
        <w:rPr>
          <w:b/>
          <w:bCs/>
          <w:u w:val="single"/>
          <w:lang w:val="en-IN"/>
        </w:rPr>
      </w:pPr>
    </w:p>
    <w:p w14:paraId="525C8966" w14:textId="196C9820" w:rsidR="000C3F4A" w:rsidRDefault="000C3F4A" w:rsidP="000C3F4A">
      <w:pPr>
        <w:jc w:val="both"/>
        <w:rPr>
          <w:b/>
          <w:bCs/>
          <w:u w:val="single"/>
          <w:lang w:val="en-IN"/>
        </w:rPr>
      </w:pPr>
      <w:r>
        <w:rPr>
          <w:b/>
          <w:bCs/>
          <w:u w:val="single"/>
          <w:lang w:val="en-IN"/>
        </w:rPr>
        <w:t>Eligibility:</w:t>
      </w:r>
    </w:p>
    <w:p w14:paraId="430FF981" w14:textId="77777777" w:rsidR="000C3F4A" w:rsidRDefault="000C3F4A" w:rsidP="000C3F4A">
      <w:pPr>
        <w:jc w:val="both"/>
        <w:rPr>
          <w:lang w:val="en-IN"/>
        </w:rPr>
      </w:pPr>
      <w:r>
        <w:rPr>
          <w:lang w:val="en-IN"/>
        </w:rPr>
        <w:t>This policy is applicable only to staff (including trainees and probationers) who are based out of the below mentioned locations. Employees will be eligible to receive this benefit only while they are posted at such remote locations. In the event of employee moving out of such location he/she will not be entitled to receive the same. This is strictly a location attached benefit.</w:t>
      </w:r>
    </w:p>
    <w:p w14:paraId="56E38F78" w14:textId="77777777" w:rsidR="000C3F4A" w:rsidRDefault="000C3F4A" w:rsidP="000C3F4A">
      <w:pPr>
        <w:rPr>
          <w:lang w:val="en-IN"/>
        </w:rPr>
      </w:pPr>
    </w:p>
    <w:p w14:paraId="7303E4FA" w14:textId="77777777" w:rsidR="000C3F4A" w:rsidRDefault="000C3F4A" w:rsidP="000C3F4A">
      <w:pPr>
        <w:rPr>
          <w:lang w:val="en-IN"/>
        </w:rPr>
      </w:pPr>
      <w:r>
        <w:rPr>
          <w:lang w:val="en-IN"/>
        </w:rPr>
        <w:t>Note:</w:t>
      </w:r>
    </w:p>
    <w:p w14:paraId="77744AB8" w14:textId="77777777" w:rsidR="000C3F4A" w:rsidRPr="007926F4" w:rsidRDefault="000C3F4A" w:rsidP="000C3F4A">
      <w:pPr>
        <w:pStyle w:val="ListParagraph"/>
        <w:numPr>
          <w:ilvl w:val="0"/>
          <w:numId w:val="1"/>
        </w:numPr>
        <w:spacing w:after="200" w:line="276" w:lineRule="auto"/>
        <w:ind w:left="426"/>
        <w:rPr>
          <w:lang w:val="en-IN"/>
        </w:rPr>
      </w:pPr>
      <w:r w:rsidRPr="007926F4">
        <w:rPr>
          <w:lang w:val="en-IN"/>
        </w:rPr>
        <w:t xml:space="preserve">Employees are eligible for hardship allowance from date of physical joining at the </w:t>
      </w:r>
      <w:proofErr w:type="gramStart"/>
      <w:r w:rsidRPr="007926F4">
        <w:rPr>
          <w:lang w:val="en-IN"/>
        </w:rPr>
        <w:t>above mentioned</w:t>
      </w:r>
      <w:proofErr w:type="gramEnd"/>
      <w:r w:rsidRPr="007926F4">
        <w:rPr>
          <w:lang w:val="en-IN"/>
        </w:rPr>
        <w:t xml:space="preserve"> locations.</w:t>
      </w:r>
    </w:p>
    <w:p w14:paraId="43637772" w14:textId="77777777" w:rsidR="000C3F4A" w:rsidRPr="007926F4" w:rsidRDefault="000C3F4A" w:rsidP="000C3F4A">
      <w:pPr>
        <w:pStyle w:val="ListParagraph"/>
        <w:numPr>
          <w:ilvl w:val="0"/>
          <w:numId w:val="1"/>
        </w:numPr>
        <w:spacing w:after="200" w:line="276" w:lineRule="auto"/>
        <w:ind w:left="426"/>
        <w:rPr>
          <w:lang w:val="en-IN"/>
        </w:rPr>
      </w:pPr>
      <w:r w:rsidRPr="007926F4">
        <w:rPr>
          <w:lang w:val="en-IN"/>
        </w:rPr>
        <w:t xml:space="preserve">Employee on deputation </w:t>
      </w:r>
      <w:proofErr w:type="gramStart"/>
      <w:r w:rsidRPr="007926F4">
        <w:rPr>
          <w:lang w:val="en-IN"/>
        </w:rPr>
        <w:t>are</w:t>
      </w:r>
      <w:proofErr w:type="gramEnd"/>
      <w:r w:rsidRPr="007926F4">
        <w:rPr>
          <w:lang w:val="en-IN"/>
        </w:rPr>
        <w:t xml:space="preserve"> eligible to receive the benefit.</w:t>
      </w:r>
    </w:p>
    <w:p w14:paraId="59EA1AF7" w14:textId="77777777" w:rsidR="000C3F4A" w:rsidRPr="007926F4" w:rsidRDefault="000C3F4A" w:rsidP="000C3F4A">
      <w:pPr>
        <w:pStyle w:val="ListParagraph"/>
        <w:numPr>
          <w:ilvl w:val="0"/>
          <w:numId w:val="1"/>
        </w:numPr>
        <w:spacing w:after="200" w:line="276" w:lineRule="auto"/>
        <w:ind w:left="426"/>
        <w:rPr>
          <w:lang w:val="en-IN"/>
        </w:rPr>
      </w:pPr>
      <w:r w:rsidRPr="007926F4">
        <w:rPr>
          <w:lang w:val="en-IN"/>
        </w:rPr>
        <w:t>All above benefits are subject to income tax rules.</w:t>
      </w:r>
    </w:p>
    <w:p w14:paraId="05196BAC" w14:textId="77777777" w:rsidR="000C3F4A" w:rsidRPr="007926F4" w:rsidRDefault="000C3F4A" w:rsidP="000C3F4A">
      <w:pPr>
        <w:pStyle w:val="ListParagraph"/>
        <w:numPr>
          <w:ilvl w:val="0"/>
          <w:numId w:val="1"/>
        </w:numPr>
        <w:spacing w:after="200" w:line="276" w:lineRule="auto"/>
        <w:ind w:left="426"/>
        <w:rPr>
          <w:lang w:val="en-IN"/>
        </w:rPr>
      </w:pPr>
      <w:r w:rsidRPr="007926F4">
        <w:rPr>
          <w:lang w:val="en-IN"/>
        </w:rPr>
        <w:t xml:space="preserve">The hardship allowance is subject to discontinuation should the location not been termed as a remote location in the </w:t>
      </w:r>
      <w:proofErr w:type="gramStart"/>
      <w:r w:rsidRPr="007926F4">
        <w:rPr>
          <w:lang w:val="en-IN"/>
        </w:rPr>
        <w:t>future</w:t>
      </w:r>
      <w:proofErr w:type="gramEnd"/>
    </w:p>
    <w:p w14:paraId="3B445537" w14:textId="77777777" w:rsidR="000C3F4A" w:rsidRPr="007926F4" w:rsidRDefault="000C3F4A" w:rsidP="000C3F4A">
      <w:pPr>
        <w:pStyle w:val="ListParagraph"/>
        <w:numPr>
          <w:ilvl w:val="0"/>
          <w:numId w:val="1"/>
        </w:numPr>
        <w:spacing w:after="200" w:line="276" w:lineRule="auto"/>
        <w:ind w:left="426"/>
        <w:rPr>
          <w:lang w:val="en-IN"/>
        </w:rPr>
      </w:pPr>
      <w:r w:rsidRPr="007926F4">
        <w:rPr>
          <w:lang w:val="en-IN"/>
        </w:rPr>
        <w:t>Management reserves the right to modify/ withdraw/ cancel the scheme at any point of time.</w:t>
      </w:r>
    </w:p>
    <w:p w14:paraId="0522CA1B" w14:textId="77777777" w:rsidR="000C3F4A" w:rsidRPr="000C3F4A" w:rsidRDefault="000C3F4A" w:rsidP="000C3F4A">
      <w:pPr>
        <w:rPr>
          <w:b/>
          <w:bCs/>
          <w:u w:val="single"/>
          <w:lang w:val="en-IN"/>
        </w:rPr>
      </w:pPr>
    </w:p>
    <w:p w14:paraId="5FB67025" w14:textId="51A013C2" w:rsidR="000C3F4A" w:rsidRPr="000C3F4A" w:rsidRDefault="000C3F4A" w:rsidP="000C3F4A">
      <w:pPr>
        <w:rPr>
          <w:b/>
          <w:bCs/>
          <w:u w:val="single"/>
          <w:lang w:val="en-IN"/>
        </w:rPr>
      </w:pPr>
      <w:r w:rsidRPr="000C3F4A">
        <w:rPr>
          <w:b/>
          <w:bCs/>
          <w:u w:val="single"/>
          <w:lang w:val="en-IN"/>
        </w:rPr>
        <w:t xml:space="preserve">Hardship Allowance Matrix </w:t>
      </w:r>
      <w:proofErr w:type="gramStart"/>
      <w:r w:rsidRPr="000C3F4A">
        <w:rPr>
          <w:b/>
          <w:bCs/>
          <w:u w:val="single"/>
          <w:lang w:val="en-IN"/>
        </w:rPr>
        <w:t>( Location</w:t>
      </w:r>
      <w:proofErr w:type="gramEnd"/>
      <w:r w:rsidRPr="000C3F4A">
        <w:rPr>
          <w:b/>
          <w:bCs/>
          <w:u w:val="single"/>
          <w:lang w:val="en-IN"/>
        </w:rPr>
        <w:t xml:space="preserve"> wise):</w:t>
      </w:r>
    </w:p>
    <w:p w14:paraId="1461696F" w14:textId="77777777" w:rsidR="000C3F4A" w:rsidRPr="000C3F4A" w:rsidRDefault="000C3F4A" w:rsidP="000C3F4A">
      <w:pPr>
        <w:pStyle w:val="ListParagraph"/>
        <w:rPr>
          <w:b/>
          <w:bCs/>
          <w:u w:val="single"/>
          <w:lang w:val="en-IN"/>
        </w:rPr>
      </w:pPr>
    </w:p>
    <w:tbl>
      <w:tblPr>
        <w:tblW w:w="9725" w:type="dxa"/>
        <w:tblLook w:val="04A0" w:firstRow="1" w:lastRow="0" w:firstColumn="1" w:lastColumn="0" w:noHBand="0" w:noVBand="1"/>
      </w:tblPr>
      <w:tblGrid>
        <w:gridCol w:w="6179"/>
        <w:gridCol w:w="3546"/>
      </w:tblGrid>
      <w:tr w:rsidR="000C3F4A" w:rsidRPr="003F4ED1" w14:paraId="467CD7FA" w14:textId="77777777" w:rsidTr="009E7E32">
        <w:trPr>
          <w:trHeight w:val="261"/>
        </w:trPr>
        <w:tc>
          <w:tcPr>
            <w:tcW w:w="6179" w:type="dxa"/>
            <w:tcBorders>
              <w:top w:val="single" w:sz="8" w:space="0" w:color="auto"/>
              <w:left w:val="single" w:sz="8" w:space="0" w:color="auto"/>
              <w:bottom w:val="single" w:sz="4" w:space="0" w:color="auto"/>
              <w:right w:val="single" w:sz="4" w:space="0" w:color="auto"/>
            </w:tcBorders>
            <w:shd w:val="clear" w:color="000000" w:fill="F8CBAD"/>
            <w:vAlign w:val="bottom"/>
            <w:hideMark/>
          </w:tcPr>
          <w:p w14:paraId="78167600" w14:textId="77777777" w:rsidR="000C3F4A" w:rsidRPr="003F4ED1" w:rsidRDefault="000C3F4A" w:rsidP="009E7E32">
            <w:pPr>
              <w:rPr>
                <w:rFonts w:ascii="Calibri" w:hAnsi="Calibri"/>
                <w:b/>
                <w:bCs/>
                <w:color w:val="000000"/>
                <w:sz w:val="22"/>
                <w:szCs w:val="22"/>
                <w:lang w:val="en-IN" w:eastAsia="en-IN"/>
              </w:rPr>
            </w:pPr>
            <w:r w:rsidRPr="003F4ED1">
              <w:rPr>
                <w:rFonts w:ascii="Calibri" w:hAnsi="Calibri"/>
                <w:b/>
                <w:bCs/>
                <w:color w:val="000000"/>
                <w:sz w:val="22"/>
                <w:szCs w:val="22"/>
                <w:lang w:val="en-IN" w:eastAsia="en-IN"/>
              </w:rPr>
              <w:t>Locations</w:t>
            </w:r>
          </w:p>
        </w:tc>
        <w:tc>
          <w:tcPr>
            <w:tcW w:w="3546" w:type="dxa"/>
            <w:tcBorders>
              <w:top w:val="single" w:sz="8" w:space="0" w:color="auto"/>
              <w:left w:val="nil"/>
              <w:bottom w:val="single" w:sz="4" w:space="0" w:color="auto"/>
              <w:right w:val="single" w:sz="8" w:space="0" w:color="auto"/>
            </w:tcBorders>
            <w:shd w:val="clear" w:color="000000" w:fill="F8CBAD"/>
            <w:noWrap/>
            <w:vAlign w:val="center"/>
            <w:hideMark/>
          </w:tcPr>
          <w:p w14:paraId="10B9E46D" w14:textId="77777777" w:rsidR="000C3F4A" w:rsidRPr="003F4ED1" w:rsidRDefault="000C3F4A" w:rsidP="009E7E32">
            <w:pPr>
              <w:jc w:val="center"/>
              <w:rPr>
                <w:rFonts w:ascii="Calibri" w:hAnsi="Calibri"/>
                <w:b/>
                <w:bCs/>
                <w:color w:val="000000"/>
                <w:sz w:val="22"/>
                <w:szCs w:val="22"/>
                <w:lang w:val="en-IN" w:eastAsia="en-IN"/>
              </w:rPr>
            </w:pPr>
            <w:r w:rsidRPr="003F4ED1">
              <w:rPr>
                <w:rFonts w:ascii="Calibri" w:hAnsi="Calibri"/>
                <w:b/>
                <w:bCs/>
                <w:color w:val="000000"/>
                <w:sz w:val="22"/>
                <w:szCs w:val="22"/>
                <w:lang w:val="en-IN" w:eastAsia="en-IN"/>
              </w:rPr>
              <w:t>Hardship Allowance amount</w:t>
            </w:r>
            <w:r>
              <w:rPr>
                <w:rFonts w:ascii="Calibri" w:hAnsi="Calibri"/>
                <w:b/>
                <w:bCs/>
                <w:color w:val="000000"/>
                <w:sz w:val="22"/>
                <w:szCs w:val="22"/>
                <w:lang w:val="en-IN" w:eastAsia="en-IN"/>
              </w:rPr>
              <w:t xml:space="preserve"> (Monthly)</w:t>
            </w:r>
          </w:p>
        </w:tc>
      </w:tr>
      <w:tr w:rsidR="000C3F4A" w:rsidRPr="003F4ED1" w14:paraId="7DB8172E" w14:textId="77777777" w:rsidTr="009E7E32">
        <w:trPr>
          <w:trHeight w:val="541"/>
        </w:trPr>
        <w:tc>
          <w:tcPr>
            <w:tcW w:w="6179" w:type="dxa"/>
            <w:tcBorders>
              <w:top w:val="nil"/>
              <w:left w:val="single" w:sz="8" w:space="0" w:color="auto"/>
              <w:bottom w:val="single" w:sz="4" w:space="0" w:color="auto"/>
              <w:right w:val="single" w:sz="4" w:space="0" w:color="auto"/>
            </w:tcBorders>
            <w:shd w:val="clear" w:color="auto" w:fill="auto"/>
            <w:vAlign w:val="center"/>
            <w:hideMark/>
          </w:tcPr>
          <w:p w14:paraId="3E767C5E" w14:textId="77777777" w:rsidR="000C3F4A" w:rsidRPr="003F4ED1" w:rsidRDefault="000C3F4A" w:rsidP="009E7E32">
            <w:pPr>
              <w:rPr>
                <w:rFonts w:ascii="Calibri" w:hAnsi="Calibri"/>
                <w:b/>
                <w:bCs/>
                <w:color w:val="000000"/>
                <w:sz w:val="22"/>
                <w:szCs w:val="22"/>
                <w:lang w:val="en-IN" w:eastAsia="en-IN"/>
              </w:rPr>
            </w:pPr>
            <w:r w:rsidRPr="003F4ED1">
              <w:rPr>
                <w:rFonts w:ascii="Calibri" w:hAnsi="Calibri"/>
                <w:b/>
                <w:bCs/>
                <w:color w:val="000000"/>
                <w:sz w:val="22"/>
                <w:szCs w:val="22"/>
                <w:lang w:val="en-IN" w:eastAsia="en-IN"/>
              </w:rPr>
              <w:t xml:space="preserve">Sesa Met Coke Gujarat both locations - </w:t>
            </w:r>
            <w:proofErr w:type="spellStart"/>
            <w:r w:rsidRPr="003F4ED1">
              <w:rPr>
                <w:rFonts w:ascii="Calibri" w:hAnsi="Calibri"/>
                <w:b/>
                <w:bCs/>
                <w:color w:val="000000"/>
                <w:sz w:val="22"/>
                <w:szCs w:val="22"/>
                <w:lang w:val="en-IN" w:eastAsia="en-IN"/>
              </w:rPr>
              <w:t>Bhachau</w:t>
            </w:r>
            <w:proofErr w:type="spellEnd"/>
            <w:r w:rsidRPr="003F4ED1">
              <w:rPr>
                <w:rFonts w:ascii="Calibri" w:hAnsi="Calibri"/>
                <w:b/>
                <w:bCs/>
                <w:color w:val="000000"/>
                <w:sz w:val="22"/>
                <w:szCs w:val="22"/>
                <w:lang w:val="en-IN" w:eastAsia="en-IN"/>
              </w:rPr>
              <w:t xml:space="preserve"> and </w:t>
            </w:r>
            <w:proofErr w:type="spellStart"/>
            <w:r w:rsidRPr="003F4ED1">
              <w:rPr>
                <w:rFonts w:ascii="Calibri" w:hAnsi="Calibri"/>
                <w:b/>
                <w:bCs/>
                <w:color w:val="000000"/>
                <w:sz w:val="22"/>
                <w:szCs w:val="22"/>
                <w:lang w:val="en-IN" w:eastAsia="en-IN"/>
              </w:rPr>
              <w:t>Khambaliya</w:t>
            </w:r>
            <w:proofErr w:type="spellEnd"/>
          </w:p>
        </w:tc>
        <w:tc>
          <w:tcPr>
            <w:tcW w:w="3546" w:type="dxa"/>
            <w:vMerge w:val="restart"/>
            <w:tcBorders>
              <w:top w:val="nil"/>
              <w:left w:val="single" w:sz="4" w:space="0" w:color="auto"/>
              <w:bottom w:val="single" w:sz="4" w:space="0" w:color="000000"/>
              <w:right w:val="single" w:sz="8" w:space="0" w:color="auto"/>
            </w:tcBorders>
            <w:shd w:val="clear" w:color="auto" w:fill="auto"/>
            <w:vAlign w:val="center"/>
            <w:hideMark/>
          </w:tcPr>
          <w:p w14:paraId="628E073A" w14:textId="77777777" w:rsidR="000C3F4A" w:rsidRPr="003F4ED1" w:rsidRDefault="000C3F4A" w:rsidP="009E7E32">
            <w:pPr>
              <w:jc w:val="right"/>
              <w:rPr>
                <w:rFonts w:ascii="Calibri" w:hAnsi="Calibri"/>
                <w:b/>
                <w:bCs/>
                <w:color w:val="000000"/>
                <w:sz w:val="22"/>
                <w:szCs w:val="22"/>
                <w:lang w:val="en-IN" w:eastAsia="en-IN"/>
              </w:rPr>
            </w:pPr>
            <w:r w:rsidRPr="003F4ED1">
              <w:rPr>
                <w:rFonts w:ascii="Calibri" w:hAnsi="Calibri"/>
                <w:b/>
                <w:bCs/>
                <w:color w:val="000000"/>
                <w:sz w:val="22"/>
                <w:szCs w:val="22"/>
                <w:lang w:val="en-IN" w:eastAsia="en-IN"/>
              </w:rPr>
              <w:t>M2- Rs 9000</w:t>
            </w:r>
            <w:r w:rsidRPr="003F4ED1">
              <w:rPr>
                <w:rFonts w:ascii="Calibri" w:hAnsi="Calibri"/>
                <w:b/>
                <w:bCs/>
                <w:color w:val="000000"/>
                <w:sz w:val="22"/>
                <w:szCs w:val="22"/>
                <w:lang w:val="en-IN" w:eastAsia="en-IN"/>
              </w:rPr>
              <w:br/>
              <w:t>M3- M4-Rs 8000</w:t>
            </w:r>
            <w:r w:rsidRPr="003F4ED1">
              <w:rPr>
                <w:rFonts w:ascii="Calibri" w:hAnsi="Calibri"/>
                <w:b/>
                <w:bCs/>
                <w:color w:val="000000"/>
                <w:sz w:val="22"/>
                <w:szCs w:val="22"/>
                <w:lang w:val="en-IN" w:eastAsia="en-IN"/>
              </w:rPr>
              <w:br/>
              <w:t>M5-Rs 7000</w:t>
            </w:r>
            <w:r w:rsidRPr="003F4ED1">
              <w:rPr>
                <w:rFonts w:ascii="Calibri" w:hAnsi="Calibri"/>
                <w:b/>
                <w:bCs/>
                <w:color w:val="000000"/>
                <w:sz w:val="22"/>
                <w:szCs w:val="22"/>
                <w:lang w:val="en-IN" w:eastAsia="en-IN"/>
              </w:rPr>
              <w:br/>
              <w:t>M6-M7-Rs 6500</w:t>
            </w:r>
            <w:r w:rsidRPr="003F4ED1">
              <w:rPr>
                <w:rFonts w:ascii="Calibri" w:hAnsi="Calibri"/>
                <w:b/>
                <w:bCs/>
                <w:color w:val="000000"/>
                <w:sz w:val="22"/>
                <w:szCs w:val="22"/>
                <w:lang w:val="en-IN" w:eastAsia="en-IN"/>
              </w:rPr>
              <w:br/>
              <w:t>M8-M9-Rs 6000</w:t>
            </w:r>
          </w:p>
        </w:tc>
      </w:tr>
      <w:tr w:rsidR="000C3F4A" w:rsidRPr="003F4ED1" w14:paraId="45A915FF" w14:textId="77777777" w:rsidTr="009E7E32">
        <w:trPr>
          <w:trHeight w:val="541"/>
        </w:trPr>
        <w:tc>
          <w:tcPr>
            <w:tcW w:w="6179" w:type="dxa"/>
            <w:tcBorders>
              <w:top w:val="nil"/>
              <w:left w:val="single" w:sz="8" w:space="0" w:color="auto"/>
              <w:bottom w:val="single" w:sz="4" w:space="0" w:color="auto"/>
              <w:right w:val="single" w:sz="4" w:space="0" w:color="auto"/>
            </w:tcBorders>
            <w:shd w:val="clear" w:color="auto" w:fill="auto"/>
            <w:vAlign w:val="center"/>
            <w:hideMark/>
          </w:tcPr>
          <w:p w14:paraId="3D03A816" w14:textId="77777777" w:rsidR="000C3F4A" w:rsidRPr="003F4ED1" w:rsidRDefault="000C3F4A" w:rsidP="009E7E32">
            <w:pPr>
              <w:rPr>
                <w:rFonts w:ascii="Calibri" w:hAnsi="Calibri"/>
                <w:b/>
                <w:bCs/>
                <w:color w:val="000000"/>
                <w:sz w:val="22"/>
                <w:szCs w:val="22"/>
                <w:lang w:val="en-IN" w:eastAsia="en-IN"/>
              </w:rPr>
            </w:pPr>
            <w:r w:rsidRPr="003F4ED1">
              <w:rPr>
                <w:rFonts w:ascii="Calibri" w:hAnsi="Calibri"/>
                <w:b/>
                <w:bCs/>
                <w:color w:val="000000"/>
                <w:sz w:val="22"/>
                <w:szCs w:val="22"/>
                <w:lang w:val="en-IN" w:eastAsia="en-IN"/>
              </w:rPr>
              <w:t xml:space="preserve">Sesa Coke </w:t>
            </w:r>
            <w:proofErr w:type="spellStart"/>
            <w:r w:rsidRPr="003F4ED1">
              <w:rPr>
                <w:rFonts w:ascii="Calibri" w:hAnsi="Calibri"/>
                <w:b/>
                <w:bCs/>
                <w:color w:val="000000"/>
                <w:sz w:val="22"/>
                <w:szCs w:val="22"/>
                <w:lang w:val="en-IN" w:eastAsia="en-IN"/>
              </w:rPr>
              <w:t>Vazare</w:t>
            </w:r>
            <w:proofErr w:type="spellEnd"/>
            <w:r w:rsidRPr="003F4ED1">
              <w:rPr>
                <w:rFonts w:ascii="Calibri" w:hAnsi="Calibri"/>
                <w:b/>
                <w:bCs/>
                <w:color w:val="000000"/>
                <w:sz w:val="22"/>
                <w:szCs w:val="22"/>
                <w:lang w:val="en-IN" w:eastAsia="en-IN"/>
              </w:rPr>
              <w:t xml:space="preserve"> (dedicatedly working for </w:t>
            </w:r>
            <w:proofErr w:type="spellStart"/>
            <w:r w:rsidRPr="003F4ED1">
              <w:rPr>
                <w:rFonts w:ascii="Calibri" w:hAnsi="Calibri"/>
                <w:b/>
                <w:bCs/>
                <w:color w:val="000000"/>
                <w:sz w:val="22"/>
                <w:szCs w:val="22"/>
                <w:lang w:val="en-IN" w:eastAsia="en-IN"/>
              </w:rPr>
              <w:t>S</w:t>
            </w:r>
            <w:r>
              <w:rPr>
                <w:rFonts w:ascii="Calibri" w:hAnsi="Calibri"/>
                <w:b/>
                <w:bCs/>
                <w:color w:val="000000"/>
                <w:sz w:val="22"/>
                <w:szCs w:val="22"/>
                <w:lang w:val="en-IN" w:eastAsia="en-IN"/>
              </w:rPr>
              <w:t>esa</w:t>
            </w:r>
            <w:r w:rsidRPr="003F4ED1">
              <w:rPr>
                <w:rFonts w:ascii="Calibri" w:hAnsi="Calibri"/>
                <w:b/>
                <w:bCs/>
                <w:color w:val="000000"/>
                <w:sz w:val="22"/>
                <w:szCs w:val="22"/>
                <w:lang w:val="en-IN" w:eastAsia="en-IN"/>
              </w:rPr>
              <w:t>C</w:t>
            </w:r>
            <w:r>
              <w:rPr>
                <w:rFonts w:ascii="Calibri" w:hAnsi="Calibri"/>
                <w:b/>
                <w:bCs/>
                <w:color w:val="000000"/>
                <w:sz w:val="22"/>
                <w:szCs w:val="22"/>
                <w:lang w:val="en-IN" w:eastAsia="en-IN"/>
              </w:rPr>
              <w:t>oke</w:t>
            </w:r>
            <w:proofErr w:type="spellEnd"/>
            <w:r w:rsidRPr="003F4ED1">
              <w:rPr>
                <w:rFonts w:ascii="Calibri" w:hAnsi="Calibri"/>
                <w:b/>
                <w:bCs/>
                <w:color w:val="000000"/>
                <w:sz w:val="22"/>
                <w:szCs w:val="22"/>
                <w:lang w:val="en-IN" w:eastAsia="en-IN"/>
              </w:rPr>
              <w:t xml:space="preserve"> </w:t>
            </w:r>
            <w:proofErr w:type="spellStart"/>
            <w:r w:rsidRPr="003F4ED1">
              <w:rPr>
                <w:rFonts w:ascii="Calibri" w:hAnsi="Calibri"/>
                <w:b/>
                <w:bCs/>
                <w:color w:val="000000"/>
                <w:sz w:val="22"/>
                <w:szCs w:val="22"/>
                <w:lang w:val="en-IN" w:eastAsia="en-IN"/>
              </w:rPr>
              <w:t>Vazare</w:t>
            </w:r>
            <w:proofErr w:type="spellEnd"/>
            <w:r w:rsidRPr="003F4ED1">
              <w:rPr>
                <w:rFonts w:ascii="Calibri" w:hAnsi="Calibri"/>
                <w:b/>
                <w:bCs/>
                <w:color w:val="000000"/>
                <w:sz w:val="22"/>
                <w:szCs w:val="22"/>
                <w:lang w:val="en-IN" w:eastAsia="en-IN"/>
              </w:rPr>
              <w:t>)</w:t>
            </w:r>
          </w:p>
        </w:tc>
        <w:tc>
          <w:tcPr>
            <w:tcW w:w="3546" w:type="dxa"/>
            <w:vMerge/>
            <w:tcBorders>
              <w:top w:val="nil"/>
              <w:left w:val="single" w:sz="4" w:space="0" w:color="auto"/>
              <w:bottom w:val="single" w:sz="4" w:space="0" w:color="000000"/>
              <w:right w:val="single" w:sz="8" w:space="0" w:color="auto"/>
            </w:tcBorders>
            <w:vAlign w:val="center"/>
            <w:hideMark/>
          </w:tcPr>
          <w:p w14:paraId="50541B53" w14:textId="77777777" w:rsidR="000C3F4A" w:rsidRPr="003F4ED1" w:rsidRDefault="000C3F4A" w:rsidP="009E7E32">
            <w:pPr>
              <w:jc w:val="right"/>
              <w:rPr>
                <w:rFonts w:ascii="Calibri" w:hAnsi="Calibri"/>
                <w:b/>
                <w:bCs/>
                <w:color w:val="000000"/>
                <w:sz w:val="22"/>
                <w:szCs w:val="22"/>
                <w:lang w:val="en-IN" w:eastAsia="en-IN"/>
              </w:rPr>
            </w:pPr>
          </w:p>
        </w:tc>
      </w:tr>
      <w:tr w:rsidR="000C3F4A" w:rsidRPr="003F4ED1" w14:paraId="4B6EA074" w14:textId="77777777" w:rsidTr="00FE0800">
        <w:trPr>
          <w:trHeight w:val="2633"/>
        </w:trPr>
        <w:tc>
          <w:tcPr>
            <w:tcW w:w="6179" w:type="dxa"/>
            <w:tcBorders>
              <w:top w:val="nil"/>
              <w:left w:val="single" w:sz="8" w:space="0" w:color="auto"/>
              <w:bottom w:val="single" w:sz="4" w:space="0" w:color="auto"/>
              <w:right w:val="single" w:sz="4" w:space="0" w:color="auto"/>
            </w:tcBorders>
            <w:shd w:val="clear" w:color="auto" w:fill="auto"/>
            <w:vAlign w:val="center"/>
            <w:hideMark/>
          </w:tcPr>
          <w:p w14:paraId="02BD9F1F" w14:textId="77777777" w:rsidR="000C3F4A" w:rsidRPr="003F4ED1" w:rsidRDefault="000C3F4A" w:rsidP="009E7E32">
            <w:pPr>
              <w:rPr>
                <w:rFonts w:ascii="Calibri" w:hAnsi="Calibri"/>
                <w:b/>
                <w:bCs/>
                <w:color w:val="000000"/>
                <w:sz w:val="22"/>
                <w:szCs w:val="22"/>
                <w:lang w:val="en-IN" w:eastAsia="en-IN"/>
              </w:rPr>
            </w:pPr>
            <w:r w:rsidRPr="003F4ED1">
              <w:rPr>
                <w:rFonts w:ascii="Calibri" w:hAnsi="Calibri"/>
                <w:b/>
                <w:bCs/>
                <w:color w:val="000000"/>
                <w:sz w:val="22"/>
                <w:szCs w:val="22"/>
                <w:lang w:val="en-IN" w:eastAsia="en-IN"/>
              </w:rPr>
              <w:t xml:space="preserve">Iron Ore Karnataka Mines location </w:t>
            </w:r>
          </w:p>
        </w:tc>
        <w:tc>
          <w:tcPr>
            <w:tcW w:w="3546" w:type="dxa"/>
            <w:vMerge/>
            <w:tcBorders>
              <w:top w:val="nil"/>
              <w:left w:val="single" w:sz="4" w:space="0" w:color="auto"/>
              <w:bottom w:val="single" w:sz="4" w:space="0" w:color="000000"/>
              <w:right w:val="single" w:sz="8" w:space="0" w:color="auto"/>
            </w:tcBorders>
            <w:vAlign w:val="center"/>
            <w:hideMark/>
          </w:tcPr>
          <w:p w14:paraId="3F8E26AD" w14:textId="77777777" w:rsidR="000C3F4A" w:rsidRPr="003F4ED1" w:rsidRDefault="000C3F4A" w:rsidP="009E7E32">
            <w:pPr>
              <w:jc w:val="right"/>
              <w:rPr>
                <w:rFonts w:ascii="Calibri" w:hAnsi="Calibri"/>
                <w:b/>
                <w:bCs/>
                <w:color w:val="000000"/>
                <w:sz w:val="22"/>
                <w:szCs w:val="22"/>
                <w:lang w:val="en-IN" w:eastAsia="en-IN"/>
              </w:rPr>
            </w:pPr>
          </w:p>
        </w:tc>
      </w:tr>
      <w:tr w:rsidR="000C3F4A" w:rsidRPr="003F4ED1" w14:paraId="44CDCF61" w14:textId="77777777" w:rsidTr="00FE0800">
        <w:trPr>
          <w:trHeight w:val="3208"/>
        </w:trPr>
        <w:tc>
          <w:tcPr>
            <w:tcW w:w="6179" w:type="dxa"/>
            <w:tcBorders>
              <w:top w:val="nil"/>
              <w:left w:val="single" w:sz="8" w:space="0" w:color="auto"/>
              <w:bottom w:val="single" w:sz="4" w:space="0" w:color="auto"/>
              <w:right w:val="single" w:sz="4" w:space="0" w:color="auto"/>
            </w:tcBorders>
            <w:shd w:val="clear" w:color="auto" w:fill="auto"/>
            <w:vAlign w:val="center"/>
            <w:hideMark/>
          </w:tcPr>
          <w:p w14:paraId="6E0E584E" w14:textId="77777777" w:rsidR="000C3F4A" w:rsidRPr="003F4ED1" w:rsidRDefault="000C3F4A" w:rsidP="009E7E32">
            <w:pPr>
              <w:rPr>
                <w:rFonts w:ascii="Calibri" w:hAnsi="Calibri"/>
                <w:b/>
                <w:bCs/>
                <w:color w:val="000000"/>
                <w:sz w:val="22"/>
                <w:szCs w:val="22"/>
                <w:lang w:val="en-IN" w:eastAsia="en-IN"/>
              </w:rPr>
            </w:pPr>
            <w:r w:rsidRPr="003F4ED1">
              <w:rPr>
                <w:rFonts w:ascii="Calibri" w:hAnsi="Calibri"/>
                <w:b/>
                <w:bCs/>
                <w:color w:val="000000"/>
                <w:sz w:val="22"/>
                <w:szCs w:val="22"/>
                <w:lang w:val="en-IN" w:eastAsia="en-IN"/>
              </w:rPr>
              <w:lastRenderedPageBreak/>
              <w:t>ESL Mining Locations</w:t>
            </w:r>
          </w:p>
        </w:tc>
        <w:tc>
          <w:tcPr>
            <w:tcW w:w="3546" w:type="dxa"/>
            <w:vMerge/>
            <w:tcBorders>
              <w:top w:val="nil"/>
              <w:left w:val="single" w:sz="4" w:space="0" w:color="auto"/>
              <w:bottom w:val="single" w:sz="4" w:space="0" w:color="000000"/>
              <w:right w:val="single" w:sz="8" w:space="0" w:color="auto"/>
            </w:tcBorders>
            <w:vAlign w:val="center"/>
            <w:hideMark/>
          </w:tcPr>
          <w:p w14:paraId="375EA431" w14:textId="77777777" w:rsidR="000C3F4A" w:rsidRPr="003F4ED1" w:rsidRDefault="000C3F4A" w:rsidP="009E7E32">
            <w:pPr>
              <w:jc w:val="right"/>
              <w:rPr>
                <w:rFonts w:ascii="Calibri" w:hAnsi="Calibri"/>
                <w:b/>
                <w:bCs/>
                <w:color w:val="000000"/>
                <w:sz w:val="22"/>
                <w:szCs w:val="22"/>
                <w:lang w:val="en-IN" w:eastAsia="en-IN"/>
              </w:rPr>
            </w:pPr>
          </w:p>
        </w:tc>
      </w:tr>
    </w:tbl>
    <w:p w14:paraId="23ECE20F" w14:textId="77777777" w:rsidR="000C3F4A" w:rsidRDefault="000C3F4A" w:rsidP="000C3F4A"/>
    <w:sectPr w:rsidR="000C3F4A">
      <w:footerReference w:type="even" r:id="rId7"/>
      <w:footerReference w:type="default" r:id="rId8"/>
      <w:foot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4B199D" w14:textId="77777777" w:rsidR="00271D4C" w:rsidRDefault="00271D4C" w:rsidP="00FE0800">
      <w:r>
        <w:separator/>
      </w:r>
    </w:p>
  </w:endnote>
  <w:endnote w:type="continuationSeparator" w:id="0">
    <w:p w14:paraId="36F62BBD" w14:textId="77777777" w:rsidR="00271D4C" w:rsidRDefault="00271D4C" w:rsidP="00FE08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0369B5" w14:textId="207D70EE" w:rsidR="00FE0800" w:rsidRDefault="00FE0800">
    <w:pPr>
      <w:pStyle w:val="Footer"/>
    </w:pPr>
    <w:r>
      <w:rPr>
        <w:noProof/>
        <w14:ligatures w14:val="standardContextual"/>
      </w:rPr>
      <mc:AlternateContent>
        <mc:Choice Requires="wps">
          <w:drawing>
            <wp:anchor distT="0" distB="0" distL="0" distR="0" simplePos="0" relativeHeight="251659264" behindDoc="0" locked="0" layoutInCell="1" allowOverlap="1" wp14:anchorId="07620B9E" wp14:editId="0E5E0B16">
              <wp:simplePos x="635" y="635"/>
              <wp:positionH relativeFrom="page">
                <wp:align>center</wp:align>
              </wp:positionH>
              <wp:positionV relativeFrom="page">
                <wp:align>bottom</wp:align>
              </wp:positionV>
              <wp:extent cx="443865" cy="443865"/>
              <wp:effectExtent l="0" t="0" r="3175" b="0"/>
              <wp:wrapNone/>
              <wp:docPr id="562945756" name="Text Box 2" descr="Sensitivity: Public (C4)">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C8D4B00" w14:textId="03832B33" w:rsidR="00FE0800" w:rsidRPr="00FE0800" w:rsidRDefault="00FE0800" w:rsidP="00FE0800">
                          <w:pPr>
                            <w:rPr>
                              <w:rFonts w:ascii="Calibri" w:eastAsia="Calibri" w:hAnsi="Calibri" w:cs="Calibri"/>
                              <w:noProof/>
                              <w:color w:val="C0C0C0"/>
                              <w:sz w:val="12"/>
                              <w:szCs w:val="12"/>
                            </w:rPr>
                          </w:pPr>
                          <w:r w:rsidRPr="00FE0800">
                            <w:rPr>
                              <w:rFonts w:ascii="Calibri" w:eastAsia="Calibri" w:hAnsi="Calibri" w:cs="Calibri"/>
                              <w:noProof/>
                              <w:color w:val="C0C0C0"/>
                              <w:sz w:val="12"/>
                              <w:szCs w:val="12"/>
                            </w:rPr>
                            <w:t>Sensitivity: Public (C4)</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7620B9E" id="_x0000_t202" coordsize="21600,21600" o:spt="202" path="m,l,21600r21600,l21600,xe">
              <v:stroke joinstyle="miter"/>
              <v:path gradientshapeok="t" o:connecttype="rect"/>
            </v:shapetype>
            <v:shape id="Text Box 2" o:spid="_x0000_s1026" type="#_x0000_t202" alt="Sensitivity: Public (C4)"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6C8D4B00" w14:textId="03832B33" w:rsidR="00FE0800" w:rsidRPr="00FE0800" w:rsidRDefault="00FE0800" w:rsidP="00FE0800">
                    <w:pPr>
                      <w:rPr>
                        <w:rFonts w:ascii="Calibri" w:eastAsia="Calibri" w:hAnsi="Calibri" w:cs="Calibri"/>
                        <w:noProof/>
                        <w:color w:val="C0C0C0"/>
                        <w:sz w:val="12"/>
                        <w:szCs w:val="12"/>
                      </w:rPr>
                    </w:pPr>
                    <w:r w:rsidRPr="00FE0800">
                      <w:rPr>
                        <w:rFonts w:ascii="Calibri" w:eastAsia="Calibri" w:hAnsi="Calibri" w:cs="Calibri"/>
                        <w:noProof/>
                        <w:color w:val="C0C0C0"/>
                        <w:sz w:val="12"/>
                        <w:szCs w:val="12"/>
                      </w:rPr>
                      <w:t>Sensitivity: Public (C4)</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A17AA3" w14:textId="3D19B81C" w:rsidR="00FE0800" w:rsidRDefault="00FE0800">
    <w:pPr>
      <w:pStyle w:val="Footer"/>
    </w:pPr>
    <w:r>
      <w:rPr>
        <w:noProof/>
        <w14:ligatures w14:val="standardContextual"/>
      </w:rPr>
      <mc:AlternateContent>
        <mc:Choice Requires="wps">
          <w:drawing>
            <wp:anchor distT="0" distB="0" distL="0" distR="0" simplePos="0" relativeHeight="251660288" behindDoc="0" locked="0" layoutInCell="1" allowOverlap="1" wp14:anchorId="1EB8CE22" wp14:editId="471E2346">
              <wp:simplePos x="635" y="869315"/>
              <wp:positionH relativeFrom="page">
                <wp:align>center</wp:align>
              </wp:positionH>
              <wp:positionV relativeFrom="page">
                <wp:align>bottom</wp:align>
              </wp:positionV>
              <wp:extent cx="443865" cy="443865"/>
              <wp:effectExtent l="0" t="0" r="3175" b="0"/>
              <wp:wrapNone/>
              <wp:docPr id="1528419035" name="Text Box 3" descr="Sensitivity: Public (C4)">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1598C74" w14:textId="536E0266" w:rsidR="00FE0800" w:rsidRPr="00FE0800" w:rsidRDefault="00FE0800" w:rsidP="00FE0800">
                          <w:pPr>
                            <w:rPr>
                              <w:rFonts w:ascii="Calibri" w:eastAsia="Calibri" w:hAnsi="Calibri" w:cs="Calibri"/>
                              <w:noProof/>
                              <w:color w:val="C0C0C0"/>
                              <w:sz w:val="12"/>
                              <w:szCs w:val="12"/>
                            </w:rPr>
                          </w:pPr>
                          <w:r w:rsidRPr="00FE0800">
                            <w:rPr>
                              <w:rFonts w:ascii="Calibri" w:eastAsia="Calibri" w:hAnsi="Calibri" w:cs="Calibri"/>
                              <w:noProof/>
                              <w:color w:val="C0C0C0"/>
                              <w:sz w:val="12"/>
                              <w:szCs w:val="12"/>
                            </w:rPr>
                            <w:t>Sensitivity: Public (C4)</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EB8CE22" id="_x0000_t202" coordsize="21600,21600" o:spt="202" path="m,l,21600r21600,l21600,xe">
              <v:stroke joinstyle="miter"/>
              <v:path gradientshapeok="t" o:connecttype="rect"/>
            </v:shapetype>
            <v:shape id="Text Box 3" o:spid="_x0000_s1027" type="#_x0000_t202" alt="Sensitivity: Public (C4)"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31598C74" w14:textId="536E0266" w:rsidR="00FE0800" w:rsidRPr="00FE0800" w:rsidRDefault="00FE0800" w:rsidP="00FE0800">
                    <w:pPr>
                      <w:rPr>
                        <w:rFonts w:ascii="Calibri" w:eastAsia="Calibri" w:hAnsi="Calibri" w:cs="Calibri"/>
                        <w:noProof/>
                        <w:color w:val="C0C0C0"/>
                        <w:sz w:val="12"/>
                        <w:szCs w:val="12"/>
                      </w:rPr>
                    </w:pPr>
                    <w:r w:rsidRPr="00FE0800">
                      <w:rPr>
                        <w:rFonts w:ascii="Calibri" w:eastAsia="Calibri" w:hAnsi="Calibri" w:cs="Calibri"/>
                        <w:noProof/>
                        <w:color w:val="C0C0C0"/>
                        <w:sz w:val="12"/>
                        <w:szCs w:val="12"/>
                      </w:rPr>
                      <w:t>Sensitivity: Public (C4)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A17E3" w14:textId="2C62C451" w:rsidR="00FE0800" w:rsidRDefault="00FE0800">
    <w:pPr>
      <w:pStyle w:val="Footer"/>
    </w:pPr>
    <w:r>
      <w:rPr>
        <w:noProof/>
        <w14:ligatures w14:val="standardContextual"/>
      </w:rPr>
      <mc:AlternateContent>
        <mc:Choice Requires="wps">
          <w:drawing>
            <wp:anchor distT="0" distB="0" distL="0" distR="0" simplePos="0" relativeHeight="251658240" behindDoc="0" locked="0" layoutInCell="1" allowOverlap="1" wp14:anchorId="641228F2" wp14:editId="109A4B6B">
              <wp:simplePos x="635" y="635"/>
              <wp:positionH relativeFrom="page">
                <wp:align>center</wp:align>
              </wp:positionH>
              <wp:positionV relativeFrom="page">
                <wp:align>bottom</wp:align>
              </wp:positionV>
              <wp:extent cx="443865" cy="443865"/>
              <wp:effectExtent l="0" t="0" r="3175" b="0"/>
              <wp:wrapNone/>
              <wp:docPr id="1892763884" name="Text Box 1" descr="Sensitivity: Public (C4)">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DFA8B6B" w14:textId="6FC38141" w:rsidR="00FE0800" w:rsidRPr="00FE0800" w:rsidRDefault="00FE0800" w:rsidP="00FE0800">
                          <w:pPr>
                            <w:rPr>
                              <w:rFonts w:ascii="Calibri" w:eastAsia="Calibri" w:hAnsi="Calibri" w:cs="Calibri"/>
                              <w:noProof/>
                              <w:color w:val="C0C0C0"/>
                              <w:sz w:val="12"/>
                              <w:szCs w:val="12"/>
                            </w:rPr>
                          </w:pPr>
                          <w:r w:rsidRPr="00FE0800">
                            <w:rPr>
                              <w:rFonts w:ascii="Calibri" w:eastAsia="Calibri" w:hAnsi="Calibri" w:cs="Calibri"/>
                              <w:noProof/>
                              <w:color w:val="C0C0C0"/>
                              <w:sz w:val="12"/>
                              <w:szCs w:val="12"/>
                            </w:rPr>
                            <w:t>Sensitivity: Public (C4)</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41228F2" id="_x0000_t202" coordsize="21600,21600" o:spt="202" path="m,l,21600r21600,l21600,xe">
              <v:stroke joinstyle="miter"/>
              <v:path gradientshapeok="t" o:connecttype="rect"/>
            </v:shapetype>
            <v:shape id="Text Box 1" o:spid="_x0000_s1028" type="#_x0000_t202" alt="Sensitivity: Public (C4)"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5DFA8B6B" w14:textId="6FC38141" w:rsidR="00FE0800" w:rsidRPr="00FE0800" w:rsidRDefault="00FE0800" w:rsidP="00FE0800">
                    <w:pPr>
                      <w:rPr>
                        <w:rFonts w:ascii="Calibri" w:eastAsia="Calibri" w:hAnsi="Calibri" w:cs="Calibri"/>
                        <w:noProof/>
                        <w:color w:val="C0C0C0"/>
                        <w:sz w:val="12"/>
                        <w:szCs w:val="12"/>
                      </w:rPr>
                    </w:pPr>
                    <w:r w:rsidRPr="00FE0800">
                      <w:rPr>
                        <w:rFonts w:ascii="Calibri" w:eastAsia="Calibri" w:hAnsi="Calibri" w:cs="Calibri"/>
                        <w:noProof/>
                        <w:color w:val="C0C0C0"/>
                        <w:sz w:val="12"/>
                        <w:szCs w:val="12"/>
                      </w:rPr>
                      <w:t>Sensitivity: Public (C4)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E966C4" w14:textId="77777777" w:rsidR="00271D4C" w:rsidRDefault="00271D4C" w:rsidP="00FE0800">
      <w:r>
        <w:separator/>
      </w:r>
    </w:p>
  </w:footnote>
  <w:footnote w:type="continuationSeparator" w:id="0">
    <w:p w14:paraId="10CC554B" w14:textId="77777777" w:rsidR="00271D4C" w:rsidRDefault="00271D4C" w:rsidP="00FE08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400775"/>
    <w:multiLevelType w:val="hybridMultilevel"/>
    <w:tmpl w:val="9CB41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60599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F4A"/>
    <w:rsid w:val="00096A30"/>
    <w:rsid w:val="000C3F4A"/>
    <w:rsid w:val="00215449"/>
    <w:rsid w:val="00271D4C"/>
    <w:rsid w:val="006A60A0"/>
    <w:rsid w:val="00CC06ED"/>
    <w:rsid w:val="00EB0C14"/>
    <w:rsid w:val="00FE0800"/>
  </w:rsids>
  <m:mathPr>
    <m:mathFont m:val="Cambria Math"/>
    <m:brkBin m:val="before"/>
    <m:brkBinSub m:val="--"/>
    <m:smallFrac m:val="0"/>
    <m:dispDef/>
    <m:lMargin m:val="0"/>
    <m:rMargin m:val="0"/>
    <m:defJc m:val="centerGroup"/>
    <m:wrapIndent m:val="1440"/>
    <m:intLim m:val="subSup"/>
    <m:naryLim m:val="undOvr"/>
  </m:mathPr>
  <w:themeFontLang w:val="en-IN"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394C7"/>
  <w15:chartTrackingRefBased/>
  <w15:docId w15:val="{1C96D2ED-212E-4CEA-A432-A87C97940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F4A"/>
    <w:pPr>
      <w:spacing w:after="0" w:line="240" w:lineRule="auto"/>
    </w:pPr>
    <w:rPr>
      <w:rFonts w:ascii="Times New Roman" w:eastAsia="Times New Roman" w:hAnsi="Times New Roman" w:cs="Times New Roman"/>
      <w:kern w:val="0"/>
      <w:sz w:val="24"/>
      <w:szCs w:val="24"/>
      <w:lang w:val="en-GB"/>
      <w14:ligatures w14:val="none"/>
    </w:rPr>
  </w:style>
  <w:style w:type="paragraph" w:styleId="Heading1">
    <w:name w:val="heading 1"/>
    <w:basedOn w:val="Normal"/>
    <w:next w:val="Normal"/>
    <w:link w:val="Heading1Char"/>
    <w:uiPriority w:val="9"/>
    <w:qFormat/>
    <w:rsid w:val="000C3F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3F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3F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3F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3F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3F4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3F4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3F4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3F4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F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3F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3F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3F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3F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3F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3F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3F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3F4A"/>
    <w:rPr>
      <w:rFonts w:eastAsiaTheme="majorEastAsia" w:cstheme="majorBidi"/>
      <w:color w:val="272727" w:themeColor="text1" w:themeTint="D8"/>
    </w:rPr>
  </w:style>
  <w:style w:type="paragraph" w:styleId="Title">
    <w:name w:val="Title"/>
    <w:basedOn w:val="Normal"/>
    <w:next w:val="Normal"/>
    <w:link w:val="TitleChar"/>
    <w:uiPriority w:val="10"/>
    <w:qFormat/>
    <w:rsid w:val="000C3F4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F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3F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3F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3F4A"/>
    <w:pPr>
      <w:spacing w:before="160"/>
      <w:jc w:val="center"/>
    </w:pPr>
    <w:rPr>
      <w:i/>
      <w:iCs/>
      <w:color w:val="404040" w:themeColor="text1" w:themeTint="BF"/>
    </w:rPr>
  </w:style>
  <w:style w:type="character" w:customStyle="1" w:styleId="QuoteChar">
    <w:name w:val="Quote Char"/>
    <w:basedOn w:val="DefaultParagraphFont"/>
    <w:link w:val="Quote"/>
    <w:uiPriority w:val="29"/>
    <w:rsid w:val="000C3F4A"/>
    <w:rPr>
      <w:i/>
      <w:iCs/>
      <w:color w:val="404040" w:themeColor="text1" w:themeTint="BF"/>
    </w:rPr>
  </w:style>
  <w:style w:type="paragraph" w:styleId="ListParagraph">
    <w:name w:val="List Paragraph"/>
    <w:basedOn w:val="Normal"/>
    <w:uiPriority w:val="34"/>
    <w:qFormat/>
    <w:rsid w:val="000C3F4A"/>
    <w:pPr>
      <w:ind w:left="720"/>
      <w:contextualSpacing/>
    </w:pPr>
  </w:style>
  <w:style w:type="character" w:styleId="IntenseEmphasis">
    <w:name w:val="Intense Emphasis"/>
    <w:basedOn w:val="DefaultParagraphFont"/>
    <w:uiPriority w:val="21"/>
    <w:qFormat/>
    <w:rsid w:val="000C3F4A"/>
    <w:rPr>
      <w:i/>
      <w:iCs/>
      <w:color w:val="0F4761" w:themeColor="accent1" w:themeShade="BF"/>
    </w:rPr>
  </w:style>
  <w:style w:type="paragraph" w:styleId="IntenseQuote">
    <w:name w:val="Intense Quote"/>
    <w:basedOn w:val="Normal"/>
    <w:next w:val="Normal"/>
    <w:link w:val="IntenseQuoteChar"/>
    <w:uiPriority w:val="30"/>
    <w:qFormat/>
    <w:rsid w:val="000C3F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3F4A"/>
    <w:rPr>
      <w:i/>
      <w:iCs/>
      <w:color w:val="0F4761" w:themeColor="accent1" w:themeShade="BF"/>
    </w:rPr>
  </w:style>
  <w:style w:type="character" w:styleId="IntenseReference">
    <w:name w:val="Intense Reference"/>
    <w:basedOn w:val="DefaultParagraphFont"/>
    <w:uiPriority w:val="32"/>
    <w:qFormat/>
    <w:rsid w:val="000C3F4A"/>
    <w:rPr>
      <w:b/>
      <w:bCs/>
      <w:smallCaps/>
      <w:color w:val="0F4761" w:themeColor="accent1" w:themeShade="BF"/>
      <w:spacing w:val="5"/>
    </w:rPr>
  </w:style>
  <w:style w:type="paragraph" w:styleId="Footer">
    <w:name w:val="footer"/>
    <w:basedOn w:val="Normal"/>
    <w:link w:val="FooterChar"/>
    <w:uiPriority w:val="99"/>
    <w:unhideWhenUsed/>
    <w:rsid w:val="00FE0800"/>
    <w:pPr>
      <w:tabs>
        <w:tab w:val="center" w:pos="4513"/>
        <w:tab w:val="right" w:pos="9026"/>
      </w:tabs>
    </w:pPr>
  </w:style>
  <w:style w:type="character" w:customStyle="1" w:styleId="FooterChar">
    <w:name w:val="Footer Char"/>
    <w:basedOn w:val="DefaultParagraphFont"/>
    <w:link w:val="Footer"/>
    <w:uiPriority w:val="99"/>
    <w:rsid w:val="00FE0800"/>
    <w:rPr>
      <w:rFonts w:ascii="Times New Roman" w:eastAsia="Times New Roman" w:hAnsi="Times New Roman" w:cs="Times New Roman"/>
      <w:kern w:val="0"/>
      <w:sz w:val="24"/>
      <w:szCs w:val="24"/>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1476</TotalTime>
  <Pages>2</Pages>
  <Words>187</Words>
  <Characters>1070</Characters>
  <Application>Microsoft Office Word</Application>
  <DocSecurity>0</DocSecurity>
  <Lines>8</Lines>
  <Paragraphs>2</Paragraphs>
  <ScaleCrop>false</ScaleCrop>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D’souza</dc:creator>
  <cp:keywords/>
  <dc:description/>
  <cp:lastModifiedBy>Masoom Konwar</cp:lastModifiedBy>
  <cp:revision>4</cp:revision>
  <dcterms:created xsi:type="dcterms:W3CDTF">2024-04-03T07:02:00Z</dcterms:created>
  <dcterms:modified xsi:type="dcterms:W3CDTF">2024-04-05T11:35:00Z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70d148ec,218ddedc,5b19d2db</vt:lpwstr>
  </property>
  <property fmtid="{D5CDD505-2E9C-101B-9397-08002B2CF9AE}" pid="3" name="ClassificationContentMarkingFooterFontProps">
    <vt:lpwstr>#c0c0c0,6,Calibri</vt:lpwstr>
  </property>
  <property fmtid="{D5CDD505-2E9C-101B-9397-08002B2CF9AE}" pid="4" name="ClassificationContentMarkingFooterText">
    <vt:lpwstr>Sensitivity: Public (C4)</vt:lpwstr>
  </property>
  <property fmtid="{D5CDD505-2E9C-101B-9397-08002B2CF9AE}" pid="5" name="MSIP_Label_cb71a9a9-b7c0-41f4-922f-92f912ec01fe_Enabled">
    <vt:lpwstr>true</vt:lpwstr>
  </property>
  <property fmtid="{D5CDD505-2E9C-101B-9397-08002B2CF9AE}" pid="6" name="MSIP_Label_cb71a9a9-b7c0-41f4-922f-92f912ec01fe_SetDate">
    <vt:lpwstr>2024-04-06T06:17:39Z</vt:lpwstr>
  </property>
  <property fmtid="{D5CDD505-2E9C-101B-9397-08002B2CF9AE}" pid="7" name="MSIP_Label_cb71a9a9-b7c0-41f4-922f-92f912ec01fe_Method">
    <vt:lpwstr>Privileged</vt:lpwstr>
  </property>
  <property fmtid="{D5CDD505-2E9C-101B-9397-08002B2CF9AE}" pid="8" name="MSIP_Label_cb71a9a9-b7c0-41f4-922f-92f912ec01fe_Name">
    <vt:lpwstr>Public (C4)</vt:lpwstr>
  </property>
  <property fmtid="{D5CDD505-2E9C-101B-9397-08002B2CF9AE}" pid="9" name="MSIP_Label_cb71a9a9-b7c0-41f4-922f-92f912ec01fe_SiteId">
    <vt:lpwstr>4273e6e9-aed1-40ab-83a3-85e0d43de705</vt:lpwstr>
  </property>
  <property fmtid="{D5CDD505-2E9C-101B-9397-08002B2CF9AE}" pid="10" name="MSIP_Label_cb71a9a9-b7c0-41f4-922f-92f912ec01fe_ActionId">
    <vt:lpwstr>c3841956-e70e-4071-9a1d-802830ed4e2b</vt:lpwstr>
  </property>
  <property fmtid="{D5CDD505-2E9C-101B-9397-08002B2CF9AE}" pid="11" name="MSIP_Label_cb71a9a9-b7c0-41f4-922f-92f912ec01fe_ContentBits">
    <vt:lpwstr>2</vt:lpwstr>
  </property>
</Properties>
</file>