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aps/>
          <w:color w:val="C24E1C"/>
          <w:spacing w:val="20"/>
          <w:sz w:val="20"/>
          <w:szCs w:val="20"/>
        </w:rPr>
        <w:t xml:space="preserve">CODELCO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A6B85"/>
          <w:sz w:val="18"/>
          <w:szCs w:val="18"/>
        </w:rPr>
        <w:t xml:space="preserve">Gerencia Corporativa de Seguridad y Salud Ocupacional</w:t>
      </w:r>
    </w:p>
    <w:p>
      <w:pPr>
        <w:spacing w:after="60"/>
      </w:pPr>
      <w:r>
        <w:rPr>
          <w:rFonts w:ascii="Calibri" w:cs="Calibri" w:eastAsia="Calibri" w:hAnsi="Calibri"/>
          <w:b/>
          <w:bCs/>
          <w:caps/>
          <w:color w:val="C24E1C"/>
          <w:spacing w:val="20"/>
          <w:sz w:val="18"/>
          <w:szCs w:val="18"/>
        </w:rPr>
        <w:t xml:space="preserve">Ficha de Recomendación</w:t>
      </w:r>
    </w:p>
    <w:p>
      <w:pPr>
        <w:spacing w:after="80"/>
      </w:pPr>
      <w:r>
        <w:rPr>
          <w:rFonts w:ascii="Cambria" w:cs="Cambria" w:eastAsia="Cambria" w:hAnsi="Cambria"/>
          <w:b/>
          <w:bCs/>
          <w:color w:val="1B2A4A"/>
          <w:sz w:val="38"/>
          <w:szCs w:val="38"/>
        </w:rPr>
        <w:t xml:space="preserve">Sistemas anti-atrapamiento de manos en cabina</w:t>
      </w:r>
    </w:p>
    <w:p>
      <w:pPr>
        <w:spacing w:after="40"/>
      </w:pPr>
      <w:r>
        <w:rPr>
          <w:rFonts w:ascii="Calibri" w:cs="Calibri" w:eastAsia="Calibri" w:hAnsi="Calibri"/>
          <w:color w:val="1B2A4A"/>
          <w:sz w:val="22"/>
          <w:szCs w:val="22"/>
        </w:rPr>
        <w:t xml:space="preserve">Vinculada a RF25 — Riesgo de Fatalidad: Pérdida de Control de Equipos Mineros e Industriales</w:t>
      </w:r>
    </w:p>
    <w:p>
      <w:pPr>
        <w:spacing w:after="100"/>
      </w:pPr>
      <w:r>
        <w:rPr>
          <w:rFonts w:ascii="Calibri" w:cs="Calibri" w:eastAsia="Calibri" w:hAnsi="Calibri"/>
          <w:color w:val="5A6B85"/>
          <w:sz w:val="18"/>
          <w:szCs w:val="18"/>
        </w:rPr>
        <w:t xml:space="preserve">Documento de referencia: SIGO-ECC-003-25  ·  Versión 001  ·  Vigencia 31-12-2025</w:t>
      </w:r>
    </w:p>
    <w:p>
      <w:pPr>
        <w:pBdr>
          <w:bottom w:val="single" w:color="1B2A4A" w:sz="8" w:space="1"/>
        </w:pBdr>
        <w:spacing w:after="220" w:before="10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19"/>
      </w:tblGrid>
      <w:tr>
        <w:tc>
          <w:tcPr>
            <w:tcW w:type="dxa" w:w="482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4F6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aps/>
                <w:color w:val="C24E1C"/>
                <w:spacing w:val="10"/>
                <w:sz w:val="16"/>
                <w:szCs w:val="16"/>
              </w:rPr>
              <w:t xml:space="preserve">Código de recomendación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20"/>
                <w:szCs w:val="20"/>
              </w:rPr>
              <w:t xml:space="preserve">(a asignar por el Centro de Trabajo)</w:t>
            </w:r>
          </w:p>
        </w:tc>
        <w:tc>
          <w:tcPr>
            <w:tcW w:type="dxa" w:w="48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shd w:fill="F4F6F9" w:val="clear"/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aps/>
                <w:color w:val="C24E1C"/>
                <w:spacing w:val="10"/>
                <w:sz w:val="16"/>
                <w:szCs w:val="16"/>
              </w:rPr>
              <w:t xml:space="preserve">Estado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20"/>
                <w:szCs w:val="20"/>
              </w:rPr>
              <w:t xml:space="preserve">Pendiente de implementación</w:t>
            </w:r>
          </w:p>
        </w:tc>
      </w:tr>
      <w:tr>
        <w:tc>
          <w:tcPr>
            <w:tcW w:type="dxa" w:w="482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aps/>
                <w:color w:val="C24E1C"/>
                <w:spacing w:val="10"/>
                <w:sz w:val="16"/>
                <w:szCs w:val="16"/>
              </w:rPr>
              <w:t xml:space="preserve">Riesgo de Fatalidad asociado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20"/>
                <w:szCs w:val="20"/>
              </w:rPr>
              <w:t xml:space="preserve">RF25 · Equipos Mineros e Industriales</w:t>
            </w:r>
          </w:p>
        </w:tc>
        <w:tc>
          <w:tcPr>
            <w:tcW w:type="dxa" w:w="48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aps/>
                <w:color w:val="C24E1C"/>
                <w:spacing w:val="10"/>
                <w:sz w:val="16"/>
                <w:szCs w:val="16"/>
              </w:rPr>
              <w:t xml:space="preserve">Fecha de emisión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20"/>
                <w:szCs w:val="20"/>
              </w:rPr>
              <w:t xml:space="preserve">__________________</w:t>
            </w:r>
          </w:p>
        </w:tc>
      </w:tr>
      <w:tr>
        <w:tc>
          <w:tcPr>
            <w:tcW w:type="dxa" w:w="9639"/>
            <w:gridSpan w:val="2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110"/>
              <w:left w:type="dxa" w:w="140"/>
              <w:bottom w:type="dxa" w:w="110"/>
              <w:right w:type="dxa" w:w="140"/>
            </w:tcMar>
            <w:vAlign w:val="center"/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aps/>
                <w:color w:val="C24E1C"/>
                <w:spacing w:val="10"/>
                <w:sz w:val="16"/>
                <w:szCs w:val="16"/>
              </w:rPr>
              <w:t xml:space="preserve">Controles Críticos relacionados</w:t>
            </w:r>
          </w:p>
          <w:p>
            <w:r>
              <w:rPr>
                <w:rFonts w:ascii="Calibri" w:cs="Calibri" w:eastAsia="Calibri" w:hAnsi="Calibri"/>
                <w:b w:val="false"/>
                <w:bCs w:val="false"/>
                <w:color w:val="1B2A4A"/>
                <w:sz w:val="20"/>
                <w:szCs w:val="20"/>
              </w:rPr>
              <w:t xml:space="preserve">CCM1 · Cabinas de Protección (ROPS y FOPS)   /   CCP3 · Integridad de componentes críticos del equipo</w:t>
            </w:r>
          </w:p>
        </w:tc>
      </w:tr>
    </w:tbl>
    <w:p>
      <w:pPr>
        <w:spacing w:after="90" w:before="260"/>
      </w:pPr>
      <w:r>
        <w:rPr>
          <w:rFonts w:ascii="Calibri" w:cs="Calibri" w:eastAsia="Calibri" w:hAnsi="Calibri"/>
          <w:b/>
          <w:bCs/>
          <w:caps/>
          <w:color w:val="C24E1C"/>
          <w:spacing w:val="20"/>
          <w:sz w:val="19"/>
          <w:szCs w:val="19"/>
        </w:rPr>
        <w:t xml:space="preserve">Recomendación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B2A4A"/>
          <w:sz w:val="21"/>
          <w:szCs w:val="21"/>
        </w:rPr>
        <w:t xml:space="preserve">Incorporar en las pautas de mantenimiento preventivo de equipos mineros e industriales (manipuladores telescópicos, grúas, jumbos, acuñadoras, LHD, retroexcavadoras, otros) la revisión específica de los sistemas anti-atrapamiento de manos existentes por diseño en ventanas y puertas de cabina.</w:t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aps/>
          <w:color w:val="C24E1C"/>
          <w:spacing w:val="20"/>
          <w:sz w:val="19"/>
          <w:szCs w:val="19"/>
        </w:rPr>
        <w:t xml:space="preserve">Alcance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B2A4A"/>
          <w:sz w:val="21"/>
          <w:szCs w:val="21"/>
        </w:rPr>
        <w:t xml:space="preserve">Todos los proyectos y contratos con equipos mineros e industriales.</w:t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aps/>
          <w:color w:val="C24E1C"/>
          <w:spacing w:val="20"/>
          <w:sz w:val="19"/>
          <w:szCs w:val="19"/>
        </w:rPr>
        <w:t xml:space="preserve">Equipos aplicables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19"/>
      </w:tblGrid>
      <w:tr>
        <w:tc>
          <w:tcPr>
            <w:tcW w:type="dxa" w:w="482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E7C86"/>
                <w:sz w:val="18"/>
                <w:szCs w:val="18"/>
              </w:rPr>
              <w:t xml:space="preserve">●  </w:t>
            </w:r>
            <w:r>
              <w:rPr>
                <w:rFonts w:ascii="Calibri" w:cs="Calibri" w:eastAsia="Calibri" w:hAnsi="Calibri"/>
                <w:color w:val="1B2A4A"/>
                <w:sz w:val="19"/>
                <w:szCs w:val="19"/>
              </w:rPr>
              <w:t xml:space="preserve">Manipuladores telescópicos</w:t>
            </w:r>
          </w:p>
        </w:tc>
        <w:tc>
          <w:tcPr>
            <w:tcW w:type="dxa" w:w="48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E7C86"/>
                <w:sz w:val="18"/>
                <w:szCs w:val="18"/>
              </w:rPr>
              <w:t xml:space="preserve">●  </w:t>
            </w:r>
            <w:r>
              <w:rPr>
                <w:rFonts w:ascii="Calibri" w:cs="Calibri" w:eastAsia="Calibri" w:hAnsi="Calibri"/>
                <w:color w:val="1B2A4A"/>
                <w:sz w:val="19"/>
                <w:szCs w:val="19"/>
              </w:rPr>
              <w:t xml:space="preserve">Grúas</w:t>
            </w:r>
          </w:p>
        </w:tc>
      </w:tr>
      <w:tr>
        <w:tc>
          <w:tcPr>
            <w:tcW w:type="dxa" w:w="482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E7C86"/>
                <w:sz w:val="18"/>
                <w:szCs w:val="18"/>
              </w:rPr>
              <w:t xml:space="preserve">●  </w:t>
            </w:r>
            <w:r>
              <w:rPr>
                <w:rFonts w:ascii="Calibri" w:cs="Calibri" w:eastAsia="Calibri" w:hAnsi="Calibri"/>
                <w:color w:val="1B2A4A"/>
                <w:sz w:val="19"/>
                <w:szCs w:val="19"/>
              </w:rPr>
              <w:t xml:space="preserve">Jumbos</w:t>
            </w:r>
          </w:p>
        </w:tc>
        <w:tc>
          <w:tcPr>
            <w:tcW w:type="dxa" w:w="48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E7C86"/>
                <w:sz w:val="18"/>
                <w:szCs w:val="18"/>
              </w:rPr>
              <w:t xml:space="preserve">●  </w:t>
            </w:r>
            <w:r>
              <w:rPr>
                <w:rFonts w:ascii="Calibri" w:cs="Calibri" w:eastAsia="Calibri" w:hAnsi="Calibri"/>
                <w:color w:val="1B2A4A"/>
                <w:sz w:val="19"/>
                <w:szCs w:val="19"/>
              </w:rPr>
              <w:t xml:space="preserve">Acuñadoras</w:t>
            </w:r>
          </w:p>
        </w:tc>
      </w:tr>
      <w:tr>
        <w:tc>
          <w:tcPr>
            <w:tcW w:type="dxa" w:w="482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E7C86"/>
                <w:sz w:val="18"/>
                <w:szCs w:val="18"/>
              </w:rPr>
              <w:t xml:space="preserve">●  </w:t>
            </w:r>
            <w:r>
              <w:rPr>
                <w:rFonts w:ascii="Calibri" w:cs="Calibri" w:eastAsia="Calibri" w:hAnsi="Calibri"/>
                <w:color w:val="1B2A4A"/>
                <w:sz w:val="19"/>
                <w:szCs w:val="19"/>
              </w:rPr>
              <w:t xml:space="preserve">LHD</w:t>
            </w:r>
          </w:p>
        </w:tc>
        <w:tc>
          <w:tcPr>
            <w:tcW w:type="dxa" w:w="48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E7C86"/>
                <w:sz w:val="18"/>
                <w:szCs w:val="18"/>
              </w:rPr>
              <w:t xml:space="preserve">●  </w:t>
            </w:r>
            <w:r>
              <w:rPr>
                <w:rFonts w:ascii="Calibri" w:cs="Calibri" w:eastAsia="Calibri" w:hAnsi="Calibri"/>
                <w:color w:val="1B2A4A"/>
                <w:sz w:val="19"/>
                <w:szCs w:val="19"/>
              </w:rPr>
              <w:t xml:space="preserve">Retroexcavadoras</w:t>
            </w:r>
          </w:p>
        </w:tc>
      </w:tr>
      <w:tr>
        <w:tc>
          <w:tcPr>
            <w:tcW w:type="dxa" w:w="4820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0E7C86"/>
                <w:sz w:val="18"/>
                <w:szCs w:val="18"/>
              </w:rPr>
              <w:t xml:space="preserve">●  </w:t>
            </w:r>
            <w:r>
              <w:rPr>
                <w:rFonts w:ascii="Calibri" w:cs="Calibri" w:eastAsia="Calibri" w:hAnsi="Calibri"/>
                <w:color w:val="1B2A4A"/>
                <w:sz w:val="19"/>
                <w:szCs w:val="19"/>
              </w:rPr>
              <w:t xml:space="preserve">Otros equipos mineros e industriales del alcance RF25</w:t>
            </w:r>
          </w:p>
        </w:tc>
        <w:tc>
          <w:tcPr>
            <w:tcW w:type="dxa" w:w="4819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</w:tcPr>
          <w:p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90" w:before="260"/>
      </w:pPr>
      <w:r>
        <w:rPr>
          <w:rFonts w:ascii="Calibri" w:cs="Calibri" w:eastAsia="Calibri" w:hAnsi="Calibri"/>
          <w:b/>
          <w:bCs/>
          <w:caps/>
          <w:color w:val="C24E1C"/>
          <w:spacing w:val="20"/>
          <w:sz w:val="19"/>
          <w:szCs w:val="19"/>
        </w:rPr>
        <w:t xml:space="preserve">Justificación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color w:val="1B2A4A"/>
          <w:sz w:val="21"/>
          <w:szCs w:val="21"/>
        </w:rPr>
        <w:t xml:space="preserve">Las ventanas y puertas de cabina de estos equipos cuentan, por diseño de fábrica, con dispositivos que evitan el atrapamiento de manos durante su apertura, cierre o ajuste. Si estos dispositivos no se verifican periódicamente, pueden deteriorarse o quedar inoperativos sin que el operador lo perciba, generando un riesgo de lesión a manos durante tareas rutinarias de operación y mantenimiento.</w:t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aps/>
          <w:color w:val="C24E1C"/>
          <w:spacing w:val="20"/>
          <w:sz w:val="19"/>
          <w:szCs w:val="19"/>
        </w:rPr>
        <w:t xml:space="preserve">Acción a incorporar en el mantenimiento preventivo</w:t>
      </w:r>
    </w:p>
    <w:p>
      <w:pPr>
        <w:spacing w:after="70"/>
        <w:ind w:left="300"/>
      </w:pPr>
      <w:r>
        <w:rPr>
          <w:rFonts w:ascii="Calibri" w:cs="Calibri" w:eastAsia="Calibri" w:hAnsi="Calibri"/>
          <w:color w:val="C24E1C"/>
          <w:sz w:val="20"/>
          <w:szCs w:val="20"/>
        </w:rPr>
        <w:t xml:space="preserve">▪ 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Agregar un ítem específico en la pauta/checklist de mantenimiento preventivo que verifique la existencia y correcto funcionamiento de los sistemas anti-atrapamiento de manos en ventanas y puertas de cabina.</w:t>
      </w:r>
    </w:p>
    <w:p>
      <w:pPr>
        <w:spacing w:after="70"/>
        <w:ind w:left="300"/>
      </w:pPr>
      <w:r>
        <w:rPr>
          <w:rFonts w:ascii="Calibri" w:cs="Calibri" w:eastAsia="Calibri" w:hAnsi="Calibri"/>
          <w:color w:val="C24E1C"/>
          <w:sz w:val="20"/>
          <w:szCs w:val="20"/>
        </w:rPr>
        <w:t xml:space="preserve">▪ 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Registrar el resultado de la verificación (operativo / no operativo) y generar una orden de trabajo correctiva cuando corresponda.</w:t>
      </w:r>
    </w:p>
    <w:p>
      <w:pPr>
        <w:spacing w:after="70"/>
        <w:ind w:left="300"/>
      </w:pPr>
      <w:r>
        <w:rPr>
          <w:rFonts w:ascii="Calibri" w:cs="Calibri" w:eastAsia="Calibri" w:hAnsi="Calibri"/>
          <w:color w:val="C24E1C"/>
          <w:sz w:val="20"/>
          <w:szCs w:val="20"/>
        </w:rPr>
        <w:t xml:space="preserve">▪  </w:t>
      </w:r>
      <w:r>
        <w:rPr>
          <w:rFonts w:ascii="Calibri" w:cs="Calibri" w:eastAsia="Calibri" w:hAnsi="Calibri"/>
          <w:color w:val="1B2A4A"/>
          <w:sz w:val="20"/>
          <w:szCs w:val="20"/>
        </w:rPr>
        <w:t xml:space="preserve">Aplicar esta verificación a todo equipo minero e industrial del alcance RF25, en proyectos y contratos nuevos y vigentes.</w:t>
      </w:r>
    </w:p>
    <w:p>
      <w:pPr>
        <w:spacing w:after="90" w:before="260"/>
      </w:pPr>
      <w:r>
        <w:rPr>
          <w:rFonts w:ascii="Calibri" w:cs="Calibri" w:eastAsia="Calibri" w:hAnsi="Calibri"/>
          <w:b/>
          <w:bCs/>
          <w:caps/>
          <w:color w:val="0E7C86"/>
          <w:spacing w:val="20"/>
          <w:sz w:val="19"/>
          <w:szCs w:val="19"/>
        </w:rPr>
        <w:t xml:space="preserve">Seguimiento de la implementación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2121"/>
        <w:gridCol w:w="4434"/>
      </w:tblGrid>
      <w:tr>
        <w:tc>
          <w:tcPr>
            <w:tcW w:type="dxa" w:w="3084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  <w:tc>
          <w:tcPr>
            <w:tcW w:type="dxa" w:w="2121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Fecha compromiso</w:t>
            </w:r>
          </w:p>
        </w:tc>
        <w:tc>
          <w:tcPr>
            <w:tcW w:type="dxa" w:w="4434"/>
            <w:tcBorders>
              <w:top w:val="single" w:color="1B2A4A" w:sz="4"/>
              <w:left w:val="single" w:color="1B2A4A" w:sz="4"/>
              <w:bottom w:val="single" w:color="1B2A4A" w:sz="4"/>
              <w:right w:val="single" w:color="1B2A4A" w:sz="4"/>
            </w:tcBorders>
            <w:shd w:fill="1B2A4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Evidencia de cierre</w:t>
            </w:r>
          </w:p>
        </w:tc>
      </w:tr>
      <w:tr>
        <w:tc>
          <w:tcPr>
            <w:tcW w:type="dxa" w:w="308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2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/>
            </w:r>
          </w:p>
        </w:tc>
        <w:tc>
          <w:tcPr>
            <w:tcW w:type="dxa" w:w="21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2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/>
            </w:r>
          </w:p>
        </w:tc>
        <w:tc>
          <w:tcPr>
            <w:tcW w:type="dxa" w:w="44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2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8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2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/>
            </w:r>
          </w:p>
        </w:tc>
        <w:tc>
          <w:tcPr>
            <w:tcW w:type="dxa" w:w="2121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2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/>
            </w:r>
          </w:p>
        </w:tc>
        <w:tc>
          <w:tcPr>
            <w:tcW w:type="dxa" w:w="4434"/>
            <w:tcBorders>
              <w:top w:val="single" w:color="C9D2E3" w:sz="4"/>
              <w:left w:val="single" w:color="C9D2E3" w:sz="4"/>
              <w:bottom w:val="single" w:color="C9D2E3" w:sz="4"/>
              <w:right w:val="single" w:color="C9D2E3" w:sz="4"/>
            </w:tcBorders>
            <w:tcMar>
              <w:top w:type="dxa" w:w="200"/>
              <w:left w:type="dxa" w:w="140"/>
              <w:bottom w:type="dxa" w:w="200"/>
              <w:right w:type="dxa" w:w="140"/>
            </w:tcMar>
          </w:tcPr>
          <w:p>
            <w:pPr>
              <w:spacing w:after="260"/>
            </w:pPr>
            <w:r>
              <w:rPr>
                <w:rFonts w:ascii="Calibri" w:cs="Calibri" w:eastAsia="Calibri" w:hAnsi="Calibri"/>
                <w:b/>
                <w:bCs/>
                <w:color w:val="1B2A4A"/>
                <w:sz w:val="18"/>
                <w:szCs w:val="18"/>
              </w:rPr>
              <w:t xml:space="preserve"/>
            </w:r>
          </w:p>
        </w:tc>
      </w:tr>
    </w:tbl>
    <w:sectPr>
      <w:pgSz w:w="11906" w:h="16838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2026-09-18T15:45:17.206Z</dcterms:created>
  <dcterms:modified xsi:type="dcterms:W3CDTF">2026-09-18T15:45:17.217Z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