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TABLA DE RESPUESTA A OBSERVACIONES — CÁTEDRA N° 1</w:t>
      </w:r>
    </w:p>
    <w:p>
      <w:pPr>
        <w:spacing w:after="60"/>
        <w:jc w:val="center"/>
      </w:pPr>
      <w:r>
        <w:rPr>
          <w:i/>
          <w:iCs/>
          <w:sz w:val="20"/>
          <w:szCs w:val="20"/>
        </w:rPr>
        <w:t xml:space="preserve">“Plan de mejora para la gestión del mantenimiento de equipos de imagenología”</w:t>
      </w:r>
    </w:p>
    <w:p>
      <w:pPr>
        <w:spacing w:after="200"/>
        <w:jc w:val="center"/>
      </w:pPr>
      <w:r>
        <w:rPr>
          <w:sz w:val="18"/>
          <w:szCs w:val="18"/>
        </w:rPr>
        <w:t xml:space="preserve">Proyecto de Título II — NRC 13342 — Grupo N° 7 — Ingeniería de Ejecución Industrial, UDLA</w:t>
      </w:r>
    </w:p>
    <w:p>
      <w:pPr>
        <w:spacing w:after="160"/>
        <w:jc w:val="both"/>
      </w:pPr>
      <w:r>
        <w:rPr>
          <w:sz w:val="18"/>
          <w:szCs w:val="18"/>
        </w:rPr>
        <w:t xml:space="preserve">La siguiente tabla detalla cómo se abordó cada observación realizada por el docente, tanto en los comentarios insertos en el documento (sección A) como en la pauta de evaluación (sección B). Las páginas indicadas son referenciales y pueden variar levemente según la versión del procesador de texto.</w:t>
      </w:r>
    </w:p>
    <w:tbl>
      <w:tblPr>
        <w:tblW w:type="dxa" w:w="13572"/>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000"/>
        <w:gridCol w:w="5600"/>
        <w:gridCol w:w="1772"/>
      </w:tblGrid>
      <w:tr>
        <w:trPr>
          <w:tblHeader/>
        </w:trPr>
        <w:tc>
          <w:tcPr>
            <w:tcW w:type="dxa" w:w="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30" w:before="10" w:line="250" w:lineRule="auto"/>
              <w:jc w:val="center"/>
            </w:pPr>
            <w:r>
              <w:rPr>
                <w:b/>
                <w:bCs/>
                <w:color w:val="FFFFFF"/>
                <w:sz w:val="17"/>
                <w:szCs w:val="17"/>
              </w:rPr>
              <w:t xml:space="preserve">N°</w:t>
            </w:r>
          </w:p>
        </w:tc>
        <w:tc>
          <w:tcPr>
            <w:tcW w:type="dxa" w:w="1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30" w:before="10" w:line="250" w:lineRule="auto"/>
              <w:jc w:val="center"/>
            </w:pPr>
            <w:r>
              <w:rPr>
                <w:b/>
                <w:bCs/>
                <w:color w:val="FFFFFF"/>
                <w:sz w:val="17"/>
                <w:szCs w:val="17"/>
              </w:rPr>
              <w:t xml:space="preserve">Sección / ítem</w:t>
            </w:r>
          </w:p>
        </w:tc>
        <w:tc>
          <w:tcPr>
            <w:tcW w:type="dxa" w:w="4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30" w:before="10" w:line="250" w:lineRule="auto"/>
              <w:jc w:val="center"/>
            </w:pPr>
            <w:r>
              <w:rPr>
                <w:b/>
                <w:bCs/>
                <w:color w:val="FFFFFF"/>
                <w:sz w:val="17"/>
                <w:szCs w:val="17"/>
              </w:rPr>
              <w:t xml:space="preserve">Observación del docente</w:t>
            </w:r>
          </w:p>
        </w:tc>
        <w:tc>
          <w:tcPr>
            <w:tcW w:type="dxa" w:w="5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30" w:before="10" w:line="250" w:lineRule="auto"/>
              <w:jc w:val="center"/>
            </w:pPr>
            <w:r>
              <w:rPr>
                <w:b/>
                <w:bCs/>
                <w:color w:val="FFFFFF"/>
                <w:sz w:val="17"/>
                <w:szCs w:val="17"/>
              </w:rPr>
              <w:t xml:space="preserve">Respuesta y acción realizada</w:t>
            </w:r>
          </w:p>
        </w:tc>
        <w:tc>
          <w:tcPr>
            <w:tcW w:type="dxa" w:w="1772"/>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30" w:before="10" w:line="250" w:lineRule="auto"/>
              <w:jc w:val="center"/>
            </w:pPr>
            <w:r>
              <w:rPr>
                <w:b/>
                <w:bCs/>
                <w:color w:val="FFFFFF"/>
                <w:sz w:val="17"/>
                <w:szCs w:val="17"/>
              </w:rPr>
              <w:t xml:space="preserve">Ubicación en el documento</w:t>
            </w:r>
          </w:p>
        </w:tc>
      </w:tr>
      <w:tr>
        <w:tc>
          <w:tcPr>
            <w:tcW w:type="dxa" w:w="13572"/>
            <w:gridSpan w:val="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30" w:before="10" w:line="250" w:lineRule="auto"/>
              <w:jc w:val="left"/>
            </w:pPr>
            <w:r>
              <w:rPr>
                <w:b/>
                <w:bCs/>
                <w:sz w:val="18"/>
                <w:szCs w:val="18"/>
              </w:rPr>
              <w:t xml:space="preserve">A. Comentarios insertos en el documento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1.1 Análisis del problema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“Esta puede ser una de las razones, como también lo pueden ser otras. Hay que evitar los juicios, a menos que puedan ser 100 % sustentados por evidencia.”</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eliminó la afirmación de que el centro “no cuenta con un plan de mantenimiento preventivo estructurado”. Los datos de Q1 se presentan como antecedentes, y se indica que la relación entre la indisponibilidad y el mantenimiento será demostrada en el diagnóstico. Se agregó la sección 1.2.4, que explica cómo se validará el análisis causal.</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1.2 y 1.2.4</w:t>
            </w:r>
          </w:p>
          <w:p>
            <w:pPr>
              <w:spacing w:after="30" w:before="10" w:line="250" w:lineRule="auto"/>
              <w:jc w:val="center"/>
            </w:pPr>
            <w:r>
              <w:rPr>
                <w:sz w:val="17"/>
                <w:szCs w:val="17"/>
              </w:rPr>
              <w:t xml:space="preserve">(págs. 6 y 8)</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1.1 Análisis del problema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“Ver redacción.” (sobre “Durante un trimestre promedio de 92 días…”)</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reescribió: “se analizan los datos operativos del primer trimestre del período en estudio (Q1), que comprende 92 días de cobertura operacional”. La disponibilidad se presenta en la Tabla 1 con días del período, días operativos y días fuera de servicio.</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1.2 y 1.2.1, Tabla 1</w:t>
            </w:r>
          </w:p>
          <w:p>
            <w:pPr>
              <w:spacing w:after="30" w:before="10" w:line="250" w:lineRule="auto"/>
              <w:jc w:val="center"/>
            </w:pPr>
            <w:r>
              <w:rPr>
                <w:sz w:val="17"/>
                <w:szCs w:val="17"/>
              </w:rPr>
              <w:t xml:space="preserve">(págs. 6–7)</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2.1 Objetivo general</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El verbo “evaluar” no representa el resultado final esperado; se recomienda reflejar el diseño y evaluación de una propuesta de mejora.</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reformuló como: “</w:t>
            </w:r>
            <w:r>
              <w:rPr>
                <w:sz w:val="17"/>
                <w:szCs w:val="17"/>
              </w:rPr>
              <w:t xml:space="preserve">Diseñar y evaluar una propuesta de mejora para la gestión del mantenimiento</w:t>
            </w:r>
            <w:r>
              <w:rPr>
                <w:sz w:val="17"/>
                <w:szCs w:val="17"/>
              </w:rPr>
              <w:t xml:space="preserve"> de los equipos críticos de imagenología (RM, TC y RX) de un centro de salud de alta complejidad, que sea técnica, operacional y económicamente factible”.</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1.4.1</w:t>
            </w:r>
          </w:p>
          <w:p>
            <w:pPr>
              <w:spacing w:after="30" w:before="10" w:line="250" w:lineRule="auto"/>
              <w:jc w:val="center"/>
            </w:pPr>
            <w:r>
              <w:rPr>
                <w:sz w:val="17"/>
                <w:szCs w:val="17"/>
              </w:rPr>
              <w:t xml:space="preserve">(pág. 9)</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2.2 OE1</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Ajustar a: “Diagnosticar la situación actual … identificando las principales brechas, restricciones y factores que afectan su desempeño operacional.”</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adoptó la redacción sugerida textualmente.</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1.4.2</w:t>
            </w:r>
          </w:p>
          <w:p>
            <w:pPr>
              <w:spacing w:after="30" w:before="10" w:line="250" w:lineRule="auto"/>
              <w:jc w:val="center"/>
            </w:pPr>
            <w:r>
              <w:rPr>
                <w:sz w:val="17"/>
                <w:szCs w:val="17"/>
              </w:rPr>
              <w:t xml:space="preserve">(pág. 9)</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2.2 OE3</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Ajustar a: “Diseñar la alternativa de solución seleccionada, definiendo los procesos, recursos, herramientas de gestión y requerimientos necesarios para su correcta operación.”</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adoptó la redacción sugerida textualmente.</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1.4.2</w:t>
            </w:r>
          </w:p>
          <w:p>
            <w:pPr>
              <w:spacing w:after="30" w:before="10" w:line="250" w:lineRule="auto"/>
              <w:jc w:val="center"/>
            </w:pPr>
            <w:r>
              <w:rPr>
                <w:sz w:val="17"/>
                <w:szCs w:val="17"/>
              </w:rPr>
              <w:t xml:space="preserve">(pág. 9)</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2.2 OE4</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Ajustar a: “Evaluar técnica y económicamente la alternativa seleccionada, determinando su factibilidad operacional, financiera y de implementación.”</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adoptó la redacción sugerida. El detalle del método (flujo de caja, VAN, TIR, sensibilidad) se trasladó a la metodología. Con el mismo criterio se eliminaron los elementos metodológicos de OE2 y OE5.</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1.4.2 y 3.3.4</w:t>
            </w:r>
          </w:p>
          <w:p>
            <w:pPr>
              <w:spacing w:after="30" w:before="10" w:line="250" w:lineRule="auto"/>
              <w:jc w:val="center"/>
            </w:pPr>
            <w:r>
              <w:rPr>
                <w:sz w:val="17"/>
                <w:szCs w:val="17"/>
              </w:rPr>
              <w:t xml:space="preserve">(págs. 9 y 25)</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4.4 Limitaciones</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“Revisar redacción” (en “supuestos técnicos basados manuales…”).</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corrigió: “…en supuestos técnicos basados en manuales, fichas técnicas y estándares de los fabricantes, los que serán declarados explícitamente”.</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1.6.4</w:t>
            </w:r>
          </w:p>
          <w:p>
            <w:pPr>
              <w:spacing w:after="30" w:before="10" w:line="250" w:lineRule="auto"/>
              <w:jc w:val="center"/>
            </w:pPr>
            <w:r>
              <w:rPr>
                <w:sz w:val="17"/>
                <w:szCs w:val="17"/>
              </w:rPr>
              <w:t xml:space="preserve">(pág. 11)</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5. Metodología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“Ojo con: el informe se debe redactar en tercera persona o neutral.” (sobre “Utilizaremos…”)</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revisó todo el documento y se eliminaron las expresiones en primera persona (“utilizaremos”, “nos limitaremos”, etc.). La redacción es impersonal en todo el informe.</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Todo el documento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5. Metodología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“Redacción y puntuación.” (sobre “…objetivos específicos esto sin condicionar…”)</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reescribió la introducción de la metodología: “La metodología se estructura en cinco etapas secuenciales, cada una asociada a un objetivo específico…”.</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3.3</w:t>
            </w:r>
          </w:p>
          <w:p>
            <w:pPr>
              <w:spacing w:after="30" w:before="10" w:line="250" w:lineRule="auto"/>
              <w:jc w:val="center"/>
            </w:pPr>
            <w:r>
              <w:rPr>
                <w:sz w:val="17"/>
                <w:szCs w:val="17"/>
              </w:rPr>
              <w:t xml:space="preserve">(pág. 20)</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10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5.1–5.2 Metodología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Revisar la coherencia sobre el origen de las alternativas de solución: la metodología indica que surgirán del diagnóstico, pero en otros apartados aparecen predefinidas.</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eliminaron las referencias a soluciones específicas fuera de la Etapa 2 (incluido el detalle de CMMS, pautas IMP y gestión de repuestos en el plan de trabajo). Se declara de forma explícita que las tres alternativas se formulan solo a partir de las brechas priorizadas, y que los conceptos del marco teórico son referencias posibles y no soluciones preseleccionadas.</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1.6.1 y 3.3.2 a)</w:t>
            </w:r>
          </w:p>
          <w:p>
            <w:pPr>
              <w:spacing w:after="30" w:before="10" w:line="250" w:lineRule="auto"/>
              <w:jc w:val="center"/>
            </w:pPr>
            <w:r>
              <w:rPr>
                <w:sz w:val="17"/>
                <w:szCs w:val="17"/>
              </w:rPr>
              <w:t xml:space="preserve">(págs. 10 y 23)</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11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5.1.1 BPMN AS-IS</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Fortalecer el BPMN con mayor detalle de actores, responsabilidades, registros y flujos de información.</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elaboró un nuevo BPMN AS-IS con </w:t>
            </w:r>
            <w:r>
              <w:rPr>
                <w:sz w:val="17"/>
                <w:szCs w:val="17"/>
              </w:rPr>
              <w:t xml:space="preserve">cuatro carriles</w:t>
            </w:r>
            <w:r>
              <w:rPr>
                <w:sz w:val="17"/>
                <w:szCs w:val="17"/>
              </w:rPr>
              <w:t xml:space="preserve"> (tecnólogo médico, jefatura, abastecimiento y proveedor externo), dos compuertas de decisión y </w:t>
            </w:r>
            <w:r>
              <w:rPr>
                <w:sz w:val="17"/>
                <w:szCs w:val="17"/>
              </w:rPr>
              <w:t xml:space="preserve">siete puntos de verificación</w:t>
            </w:r>
            <w:r>
              <w:rPr>
                <w:sz w:val="17"/>
                <w:szCs w:val="17"/>
              </w:rPr>
              <w:t xml:space="preserve"> sobre registros y flujos de información, explicados en la Tabla 7. Se declara como modelo preliminar, sujeto a validación.</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3.3.1 a), Figura 1 y Tabla 7</w:t>
            </w:r>
          </w:p>
          <w:p>
            <w:pPr>
              <w:spacing w:after="30" w:before="10" w:line="250" w:lineRule="auto"/>
              <w:jc w:val="center"/>
            </w:pPr>
            <w:r>
              <w:rPr>
                <w:sz w:val="17"/>
                <w:szCs w:val="17"/>
              </w:rPr>
              <w:t xml:space="preserve">(págs. 20–22)</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12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5.3 Diseño (TO-BE)</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“Se asume que hay que ver el proceso de mantenimiento antes de hacer el diagnóstico.”</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reordenó la Etapa 3: el TO-BE se desarrolla solo después de modelar y validar el AS-IS (Etapa 1) y de seleccionar la alternativa (Etapa 2). Sus componentes ya no se definen de antemano.</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3.3.3</w:t>
            </w:r>
          </w:p>
          <w:p>
            <w:pPr>
              <w:spacing w:after="30" w:before="10" w:line="250" w:lineRule="auto"/>
              <w:jc w:val="center"/>
            </w:pPr>
            <w:r>
              <w:rPr>
                <w:sz w:val="17"/>
                <w:szCs w:val="17"/>
              </w:rPr>
              <w:t xml:space="preserve">(pág. 24)</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13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5.3 Diseño (TO-BE)</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El BPMN TO-BE anticipa componentes de una solución no seleccionada (CMMS, órdenes de trabajo digitales, stock de repuestos, SLA, KPI automáticos).</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eliminó la figura del TO-BE. En su lugar se establece que el TO-BE deberá responder a los puntos de verificación de la Tabla 7 que resulten confirmados, sin determinar la herramienta que se utilizará.</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3.3.3</w:t>
            </w:r>
          </w:p>
          <w:p>
            <w:pPr>
              <w:spacing w:after="30" w:before="10" w:line="250" w:lineRule="auto"/>
              <w:jc w:val="center"/>
            </w:pPr>
            <w:r>
              <w:rPr>
                <w:sz w:val="17"/>
                <w:szCs w:val="17"/>
              </w:rPr>
              <w:t xml:space="preserve">(pág. 24)</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14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5.2 Selección de alternativas</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Fortalecer la justificación: origen de los criterios, cómo se determinarán las ponderaciones y cómo se garantiza una selección objetiva y trazable.</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agregaron: origen de los criterios (brechas, literatura y restricciones institucionales); cinco criterios preliminares con su forma de medición (Tabla 8); ponderación con </w:t>
            </w:r>
            <w:r>
              <w:rPr>
                <w:sz w:val="17"/>
                <w:szCs w:val="17"/>
              </w:rPr>
              <w:t xml:space="preserve">AHP</w:t>
            </w:r>
            <w:r>
              <w:rPr>
                <w:sz w:val="17"/>
                <w:szCs w:val="17"/>
              </w:rPr>
              <w:t xml:space="preserve"> por un panel, con razón de consistencia menor a 0,10; puntaje Pj = Σ(wi × sij); análisis de sensibilidad de los pesos; y documentación del fundamento de cada calificación.</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2.2.8 y 3.3.2</w:t>
            </w:r>
          </w:p>
          <w:p>
            <w:pPr>
              <w:spacing w:after="30" w:before="10" w:line="250" w:lineRule="auto"/>
              <w:jc w:val="center"/>
            </w:pPr>
            <w:r>
              <w:rPr>
                <w:sz w:val="17"/>
                <w:szCs w:val="17"/>
              </w:rPr>
              <w:t xml:space="preserve">(págs. 17 y 23)</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15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5.4 Evaluación técnico-económica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Explicar cómo se estimarán los beneficios económicos: variables, fuentes, supuestos y procedimiento para transformar mejoras operacionales en beneficios monetarios.</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agregó la Tabla 9 con las expresiones de cálculo: B1 margen recuperado (Δdías × exámenes/día × ingreso medio × margen), B2 costos correctivos evitados y B3 otros beneficios trazables. También se agregaron un ejemplo con datos de Q1, el criterio de la tasa de descuento, la sensibilidad de ±10 % y ±20 % con valores críticos, la matriz de riesgos y una tabla de supuestos.</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3.3.4</w:t>
            </w:r>
          </w:p>
          <w:p>
            <w:pPr>
              <w:spacing w:after="30" w:before="10" w:line="250" w:lineRule="auto"/>
              <w:jc w:val="center"/>
            </w:pPr>
            <w:r>
              <w:rPr>
                <w:sz w:val="17"/>
                <w:szCs w:val="17"/>
              </w:rPr>
              <w:t xml:space="preserve">(págs. 24–25)</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16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Tabla 4.1 Matriz de alineación</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Asegurar que las herramientas declaradas en cada etapa estén desarrolladas y justificadas en el proyecto.</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actualizó la matriz (Tabla 10) con una columna </w:t>
            </w:r>
            <w:r>
              <w:rPr>
                <w:sz w:val="17"/>
                <w:szCs w:val="17"/>
              </w:rPr>
              <w:t xml:space="preserve">“Fundamento”</w:t>
            </w:r>
            <w:r>
              <w:rPr>
                <w:sz w:val="17"/>
                <w:szCs w:val="17"/>
              </w:rPr>
              <w:t xml:space="preserve"> que indica en qué sección se respalda teórica y metodológicamente cada herramienta. Se quitaron las herramientas que no se desarrollaban.</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3.4, Tabla 10</w:t>
            </w:r>
          </w:p>
          <w:p>
            <w:pPr>
              <w:spacing w:after="30" w:before="10" w:line="250" w:lineRule="auto"/>
              <w:jc w:val="center"/>
            </w:pPr>
            <w:r>
              <w:rPr>
                <w:sz w:val="17"/>
                <w:szCs w:val="17"/>
              </w:rPr>
              <w:t xml:space="preserve">(pág. 26)</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17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6. Plan de trabajo</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La “Carta Gantt” es una planificación de hitos; faltan actividades detalladas, dependencias, duraciones, hitos de control, % de avance y mecanismos de seguimiento. Además, debe ser consistente con la metodología.</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elaboró una </w:t>
            </w:r>
            <w:r>
              <w:rPr>
                <w:sz w:val="17"/>
                <w:szCs w:val="17"/>
              </w:rPr>
              <w:t xml:space="preserve">Carta Gantt formal</w:t>
            </w:r>
            <w:r>
              <w:rPr>
                <w:sz w:val="17"/>
                <w:szCs w:val="17"/>
              </w:rPr>
              <w:t xml:space="preserve"> con 21 actividades y 5 hitos, duración, predecesoras (fin-comienzo y comienzo-comienzo), programación en 16 semanas y % de avance planificado y real al corte de la semana 7. Las etapas son exactamente las mismas de la metodología. Se agregó el cálculo del SPI y criterios de control (Tabla 13).</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Cap. IV, Tablas 11–13</w:t>
            </w:r>
          </w:p>
          <w:p>
            <w:pPr>
              <w:spacing w:after="30" w:before="10" w:line="250" w:lineRule="auto"/>
              <w:jc w:val="center"/>
            </w:pPr>
            <w:r>
              <w:rPr>
                <w:sz w:val="17"/>
                <w:szCs w:val="17"/>
              </w:rPr>
              <w:t xml:space="preserve">(págs. 28–30)</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18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7. Conclusión</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La sección “Conclusión” no es pertinente para una Cátedra 1; se debe eliminar.</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eliminó la sección. La introducción ahora describe la estructura del documento.</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Introducción</w:t>
            </w:r>
          </w:p>
          <w:p>
            <w:pPr>
              <w:spacing w:after="30" w:before="10" w:line="250" w:lineRule="auto"/>
              <w:jc w:val="center"/>
            </w:pPr>
            <w:r>
              <w:rPr>
                <w:sz w:val="17"/>
                <w:szCs w:val="17"/>
              </w:rPr>
              <w:t xml:space="preserve">(pág. 5)</w:t>
            </w:r>
          </w:p>
        </w:tc>
      </w:tr>
      <w:tr>
        <w:tc>
          <w:tcPr>
            <w:tcW w:type="dxa" w:w="13572"/>
            <w:gridSpan w:val="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30" w:before="10" w:line="250" w:lineRule="auto"/>
              <w:jc w:val="left"/>
            </w:pPr>
            <w:r>
              <w:rPr>
                <w:b/>
                <w:bCs/>
                <w:sz w:val="18"/>
                <w:szCs w:val="18"/>
              </w:rPr>
              <w:t xml:space="preserve">B. Pauta de evaluación (Comentarios y observaciones)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19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Cap. I — Formulación del problema (4/5)</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La pregunta mantiene cierta extensión y mezcla problema, factores causales y oportunidades de mejora.</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dejó una sola pregunta principal y breve: “¿Cómo mejorar la gestión del mantenimiento de los equipos críticos de imagenología (RM, TC y RX) de un centro de salud de alta complejidad para aumentar su disponibilidad técnica?”. Además, se agregaron cinco preguntas específicas, una por cada OE.</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1.3</w:t>
            </w:r>
          </w:p>
          <w:p>
            <w:pPr>
              <w:spacing w:after="30" w:before="10" w:line="250" w:lineRule="auto"/>
              <w:jc w:val="center"/>
            </w:pPr>
            <w:r>
              <w:rPr>
                <w:sz w:val="17"/>
                <w:szCs w:val="17"/>
              </w:rPr>
              <w:t xml:space="preserve">(pág. 8)</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20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Cap. I — Objetivos (16/20)</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El objetivo general describe una etapa metodológica; los específicos incorporan elementos metodológicos.</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Ver respuestas N° 3 a 6. Los cinco OE expresan resultados y se numeran OE1–OE5 en todo el documento.</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1.4</w:t>
            </w:r>
          </w:p>
          <w:p>
            <w:pPr>
              <w:spacing w:after="30" w:before="10" w:line="250" w:lineRule="auto"/>
              <w:jc w:val="center"/>
            </w:pPr>
            <w:r>
              <w:rPr>
                <w:sz w:val="17"/>
                <w:szCs w:val="17"/>
              </w:rPr>
              <w:t xml:space="preserve">(pág. 9)</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21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Cap. I — Alcance (5/5)</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Exclusiones y limitaciones coherentes, aunque requieren ajustes menores de redacción.</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reescribieron las exclusiones como lista y se corrigió la redacción de las limitaciones.</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1.6.3 y 1.6.4</w:t>
            </w:r>
          </w:p>
          <w:p>
            <w:pPr>
              <w:spacing w:after="30" w:before="10" w:line="250" w:lineRule="auto"/>
              <w:jc w:val="center"/>
            </w:pPr>
            <w:r>
              <w:rPr>
                <w:sz w:val="17"/>
                <w:szCs w:val="17"/>
              </w:rPr>
              <w:t xml:space="preserve">(pág. 11)</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22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Cap. I — Análisis del problema (5/5)</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El análisis causal deberá ser validado mediante herramientas específicas.</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agregó la sección 1.2.4, que indica las herramientas de validación: clasificación de eventos, Ishikawa, Pareto y 5 porqués. Además, se corrigieron dos porcentajes de cumplimiento (RX Urgencias: 73,6 %; RM Hospitalización: 77,8 %).</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1.2.2 y 1.2.4</w:t>
            </w:r>
          </w:p>
          <w:p>
            <w:pPr>
              <w:spacing w:after="30" w:before="10" w:line="250" w:lineRule="auto"/>
              <w:jc w:val="center"/>
            </w:pPr>
            <w:r>
              <w:rPr>
                <w:sz w:val="17"/>
                <w:szCs w:val="17"/>
              </w:rPr>
              <w:t xml:space="preserve">(págs. 7–8)</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23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Cap. II — Reseña histórica (0/5)</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No se desarrolla una sección de reseña histórica.</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agregó la sección 2.1, con la evolución de la imagenología diagnóstica, la evolución de la gestión del mantenimiento de equipos médicos (incluida la acreditación en Chile) y la reseña de la organización y del Servicio de Imagenología.</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2.1</w:t>
            </w:r>
          </w:p>
          <w:p>
            <w:pPr>
              <w:spacing w:after="30" w:before="10" w:line="250" w:lineRule="auto"/>
              <w:jc w:val="center"/>
            </w:pPr>
            <w:r>
              <w:rPr>
                <w:sz w:val="17"/>
                <w:szCs w:val="17"/>
              </w:rPr>
              <w:t xml:space="preserve">(págs. 13–14)</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24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Cap. II — Bases teóricas (0/15)</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No existe un capítulo de bases teóricas que sustente el diagnóstico, la metodología y la propuesta.</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agregó la sección 2.2, con diez apartados vinculados a cada OE: tipos de mantenimiento; gestión de activos (ISO 55000); ingeniería clínica y programas OMS; priorización por riesgo (Fennigkoh y Smith); indicadores (Tabla 4); BPMN; análisis causal y de brechas; AHP; evaluación de proyectos; y planificación (PMBOK).</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2.2</w:t>
            </w:r>
          </w:p>
          <w:p>
            <w:pPr>
              <w:spacing w:after="30" w:before="10" w:line="250" w:lineRule="auto"/>
              <w:jc w:val="center"/>
            </w:pPr>
            <w:r>
              <w:rPr>
                <w:sz w:val="17"/>
                <w:szCs w:val="17"/>
              </w:rPr>
              <w:t xml:space="preserve">(págs. 14–18)</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25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Cap. II — Bases legales (0/5)</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No se identifican normativas aplicables al contexto hospitalario, equipamiento médico o mantenimiento.</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Se agregó la sección 2.3, con la Tabla 5 (normativa, materia y relevancia): Código Sanitario, leyes 19.966, 20.584 y 16.744, DS 15/2007, el estándar de acreditación (ámbito EQ), los DS 133/1984 y 3/1985 sobre radiaciones ionizantes, el DS 594/1999 y las normas IEC 60601-1, IEC 62353, ISO 55001, EN 13306 y EN 15341.</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Secc. 2.3</w:t>
            </w:r>
          </w:p>
          <w:p>
            <w:pPr>
              <w:spacing w:after="30" w:before="10" w:line="250" w:lineRule="auto"/>
              <w:jc w:val="center"/>
            </w:pPr>
            <w:r>
              <w:rPr>
                <w:sz w:val="17"/>
                <w:szCs w:val="17"/>
              </w:rPr>
              <w:t xml:space="preserve">(págs. 18–19)</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26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Cap. III — Metodología (10/15)</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Corregir inconsistencias, justificar la matriz multicriterio y las ponderaciones, y detallar los beneficios.</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Ver respuestas N° 10 a 16. Se agregaron, además, el tipo y enfoque de la investigación (3.1) y las fuentes e instrumentos de recolección (3.2, Tabla 6).</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Cap. III</w:t>
            </w:r>
          </w:p>
          <w:p>
            <w:pPr>
              <w:spacing w:after="30" w:before="10" w:line="250" w:lineRule="auto"/>
              <w:jc w:val="center"/>
            </w:pPr>
            <w:r>
              <w:rPr>
                <w:sz w:val="17"/>
                <w:szCs w:val="17"/>
              </w:rPr>
              <w:t xml:space="preserve">(págs. 20–26)</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27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Referencias bibliográficas (3/5)</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Bibliografía escasa, antigua y sin integración en un marco teórico formal.</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Las referencias aumentaron de 7 a 32 e incluyen fuentes recientes (Iadanza 2020; PMI 2021; EN 15341:2019; Dumas et al. 2018; normativa vigente). Todas se citan en el texto en formato APA 7.</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Referencias</w:t>
            </w:r>
          </w:p>
          <w:p>
            <w:pPr>
              <w:spacing w:after="30" w:before="10" w:line="250" w:lineRule="auto"/>
              <w:jc w:val="center"/>
            </w:pPr>
            <w:r>
              <w:rPr>
                <w:sz w:val="17"/>
                <w:szCs w:val="17"/>
              </w:rPr>
              <w:t xml:space="preserve">(págs. 31–32)</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28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Planificación del proyecto (3/5)</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Falta una herramienta formal de programación y control, y no se muestra el estado de avance.</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Ver respuesta N° 17. La sección 4.2 muestra el estado de avance por etapa (Tabla 12) y una propuesta para recuperar el atraso.</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Cap. IV</w:t>
            </w:r>
          </w:p>
          <w:p>
            <w:pPr>
              <w:spacing w:after="30" w:before="10" w:line="250" w:lineRule="auto"/>
              <w:jc w:val="center"/>
            </w:pPr>
            <w:r>
              <w:rPr>
                <w:sz w:val="17"/>
                <w:szCs w:val="17"/>
              </w:rPr>
              <w:t xml:space="preserve">(págs. 28–30)</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29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b/>
                <w:bCs/>
                <w:sz w:val="17"/>
                <w:szCs w:val="17"/>
              </w:rPr>
              <w:t xml:space="preserve">Formato, ortografía y redacción (3/5)</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i/>
                <w:iCs/>
                <w:sz w:val="17"/>
                <w:szCs w:val="17"/>
              </w:rPr>
              <w:t xml:space="preserve">Problemas de redacción, puntuación, uso de primera persona y consistencia formal; la conclusión no corresponde.</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left"/>
            </w:pPr>
            <w:r>
              <w:rPr>
                <w:sz w:val="17"/>
                <w:szCs w:val="17"/>
              </w:rPr>
              <w:t xml:space="preserve">Revisión completa de redacción y ortografía (por ejemplo, “metodología”, “diagnóstico”, “semiestructuradas”, “BPMN”). Se eliminaron la primera persona y la conclusión. Se uniformaron la nomenclatura (TC en lugar de CT), la numeración de tablas y figuras con su fuente, y el índice automático.</w:t>
            </w:r>
          </w:p>
        </w:tc>
        <w:tc>
          <w:tcPr>
            <w:tcW w:type="dxa" w:w="17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before="10" w:line="250" w:lineRule="auto"/>
              <w:jc w:val="center"/>
            </w:pPr>
            <w:r>
              <w:rPr>
                <w:sz w:val="17"/>
                <w:szCs w:val="17"/>
              </w:rPr>
              <w:t xml:space="preserve">Todo el documento</w:t>
            </w:r>
          </w:p>
        </w:tc>
      </w:tr>
    </w:tbl>
    <w:sectPr>
      <w:footerReference w:type="default" r:id="rId7"/>
      <w:pgSz w:w="15840" w:h="12240"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2026-10-13T02:15:25.054Z</dcterms:created>
  <dcterms:modified xsi:type="dcterms:W3CDTF">2026-10-13T02:15:25.063Z</dcterms:modified>
</cp:coreProperties>
</file>

<file path=docProps/custom.xml><?xml version="1.0" encoding="utf-8"?>
<Properties xmlns="http://schemas.openxmlformats.org/officeDocument/2006/custom-properties" xmlns:vt="http://schemas.openxmlformats.org/officeDocument/2006/docPropsVTypes"/>
</file>