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oter6.xml" ContentType="application/vnd.openxmlformats-officedocument.wordprocessingml.footer+xml"/>
  <Override PartName="/word/footer5.xml" ContentType="application/vnd.openxmlformats-officedocument.wordprocessingml.footer+xml"/>
  <Override PartName="/word/media/image1.png" ContentType="image/png"/>
  <Override PartName="/word/media/image2.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00" w:after="200"/>
        <w:jc w:val="center"/>
        <w:rPr/>
      </w:pPr>
      <w:r>
        <w:rPr/>
        <w:drawing>
          <wp:inline distT="0" distB="0" distL="0" distR="0">
            <wp:extent cx="2085975" cy="5524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085975" cy="552450"/>
                    </a:xfrm>
                    <a:prstGeom prst="rect">
                      <a:avLst/>
                    </a:prstGeom>
                  </pic:spPr>
                </pic:pic>
              </a:graphicData>
            </a:graphic>
          </wp:inline>
        </w:drawing>
      </w:r>
    </w:p>
    <w:p>
      <w:pPr>
        <w:pStyle w:val="Normal"/>
        <w:spacing w:before="0" w:after="0"/>
        <w:jc w:val="center"/>
        <w:rPr/>
      </w:pPr>
      <w:r>
        <w:rPr/>
        <w:t>UNIVERSIDAD DE LAS AMÉRICAS</w:t>
      </w:r>
    </w:p>
    <w:p>
      <w:pPr>
        <w:pStyle w:val="Normal"/>
        <w:spacing w:before="0" w:after="0"/>
        <w:jc w:val="center"/>
        <w:rPr/>
      </w:pPr>
      <w:r>
        <w:rPr/>
        <w:t>FACULTAD DE INGENIERÍA Y NEGOCIOS</w:t>
      </w:r>
    </w:p>
    <w:p>
      <w:pPr>
        <w:pStyle w:val="Normal"/>
        <w:jc w:val="center"/>
        <w:rPr/>
      </w:pPr>
      <w:r>
        <w:rPr/>
        <w:t>INGENIERÍA DE EJECUCIÓN INDUSTRIAL</w:t>
      </w:r>
    </w:p>
    <w:p>
      <w:pPr>
        <w:pStyle w:val="Normal"/>
        <w:spacing w:before="400" w:after="160"/>
        <w:jc w:val="center"/>
        <w:rPr/>
      </w:pPr>
      <w:r>
        <w:rPr>
          <w:b/>
          <w:bCs/>
        </w:rPr>
        <w:t>PROYECTO DE TÍTULO II — CÁTEDRA N° 1</w:t>
      </w:r>
    </w:p>
    <w:p>
      <w:pPr>
        <w:pStyle w:val="Normal"/>
        <w:jc w:val="center"/>
        <w:rPr/>
      </w:pPr>
      <w:r>
        <w:rPr/>
        <w:t>NRC 13342 — Grupo N° 7</w:t>
      </w:r>
    </w:p>
    <w:p>
      <w:pPr>
        <w:pStyle w:val="Normal"/>
        <w:spacing w:before="900" w:after="900"/>
        <w:jc w:val="center"/>
        <w:rPr/>
      </w:pPr>
      <w:r>
        <w:rPr>
          <w:b/>
          <w:bCs/>
          <w:sz w:val="28"/>
          <w:szCs w:val="28"/>
        </w:rPr>
        <w:t>“</w:t>
      </w:r>
      <w:r>
        <w:rPr>
          <w:b/>
          <w:bCs/>
          <w:sz w:val="28"/>
          <w:szCs w:val="28"/>
        </w:rPr>
        <w:t>PLAN DE MEJORA PARA LA GESTIÓN DEL MANTENIMIENTO DE EQUIPOS DE IMAGENOLOGÍA”</w:t>
      </w:r>
    </w:p>
    <w:p>
      <w:pPr>
        <w:pStyle w:val="Normal"/>
        <w:spacing w:before="0" w:after="60"/>
        <w:jc w:val="center"/>
        <w:rPr/>
      </w:pPr>
      <w:r>
        <w:rPr>
          <w:b/>
          <w:bCs/>
        </w:rPr>
        <w:t>Integrantes:</w:t>
      </w:r>
    </w:p>
    <w:p>
      <w:pPr>
        <w:pStyle w:val="Normal"/>
        <w:spacing w:before="0" w:after="0"/>
        <w:jc w:val="center"/>
        <w:rPr/>
      </w:pPr>
      <w:r>
        <w:rPr/>
        <w:t>Araya Rivera, Omar — 17.530.479-7 — 996332645</w:t>
      </w:r>
    </w:p>
    <w:p>
      <w:pPr>
        <w:pStyle w:val="Normal"/>
        <w:spacing w:before="0" w:after="0"/>
        <w:jc w:val="center"/>
        <w:rPr/>
      </w:pPr>
      <w:r>
        <w:rPr/>
        <w:t>Araya Vega, César — 20.985.784-7 — 979937076</w:t>
      </w:r>
    </w:p>
    <w:p>
      <w:pPr>
        <w:pStyle w:val="Normal"/>
        <w:spacing w:before="0" w:after="0"/>
        <w:jc w:val="center"/>
        <w:rPr/>
      </w:pPr>
      <w:r>
        <w:rPr/>
        <w:t>Cabrera Galleguillos, Claudia — 15.017.262-4 — 992987336</w:t>
      </w:r>
    </w:p>
    <w:p>
      <w:pPr>
        <w:pStyle w:val="Normal"/>
        <w:jc w:val="center"/>
        <w:rPr/>
      </w:pPr>
      <w:r>
        <w:rPr/>
        <w:t>Reyes Soto, Daniel — 17.574.753-2 — 958230131</w:t>
      </w:r>
    </w:p>
    <w:p>
      <w:pPr>
        <w:pStyle w:val="Normal"/>
        <w:spacing w:before="900" w:after="160"/>
        <w:jc w:val="center"/>
        <w:rPr/>
      </w:pPr>
      <w:r>
        <w:rPr>
          <w:b/>
          <w:bCs/>
        </w:rPr>
        <w:t>Octubre de 2026</w:t>
      </w:r>
    </w:p>
    <w:p>
      <w:pPr>
        <w:pStyle w:val="Normal"/>
        <w:rPr/>
        <w:sectPr>
          <w:type w:val="nextPage"/>
          <w:pgSz w:w="12240" w:h="15840"/>
          <w:pgMar w:left="1418" w:right="1418" w:gutter="0" w:header="0" w:top="1418" w:footer="0" w:bottom="1418"/>
          <w:pgNumType w:fmt="decimal"/>
          <w:formProt w:val="false"/>
          <w:textDirection w:val="lrTb"/>
          <w:docGrid w:type="default" w:linePitch="360" w:charSpace="4096"/>
        </w:sectPr>
      </w:pPr>
      <w:r>
        <w:rPr/>
      </w:r>
      <w:r>
        <w:br w:type="page"/>
      </w:r>
    </w:p>
    <w:p>
      <w:pPr>
        <w:pStyle w:val="Normal"/>
        <w:spacing w:before="0" w:after="240"/>
        <w:jc w:val="center"/>
        <w:rPr/>
      </w:pPr>
      <w:r>
        <w:rPr>
          <w:b/>
          <w:bCs/>
          <w:sz w:val="26"/>
          <w:szCs w:val="26"/>
        </w:rPr>
        <w:t>ÍNDICE</w:t>
      </w:r>
    </w:p>
    <w:sdt>
      <w:sdtPr>
        <w:docPartObj>
          <w:docPartGallery w:val="Table of Contents"/>
          <w:docPartUnique w:val="true"/>
        </w:docPartObj>
      </w:sdtPr>
      <w:sdtContent>
        <w:p>
          <w:pPr>
            <w:pStyle w:val="TOC1"/>
            <w:tabs>
              <w:tab w:val="clear" w:pos="9404"/>
              <w:tab w:val="right" w:pos="9403" w:leader="dot"/>
            </w:tabs>
            <w:rPr/>
          </w:pPr>
          <w:r>
            <w:fldChar w:fldCharType="begin"/>
          </w:r>
          <w:r>
            <w:rPr>
              <w:rStyle w:val="IndexLink"/>
            </w:rPr>
            <w:instrText xml:space="preserve"> TOC \o "1-3" \h</w:instrText>
          </w:r>
          <w:r>
            <w:rPr>
              <w:rStyle w:val="IndexLink"/>
            </w:rPr>
            <w:fldChar w:fldCharType="separate"/>
          </w:r>
          <w:hyperlink w:anchor="__RefHeading___Toc2757_1992497069">
            <w:r>
              <w:rPr>
                <w:rStyle w:val="IndexLink"/>
              </w:rPr>
              <w:t>INTRODUCCIÓN</w:t>
              <w:tab/>
              <w:t>5</w:t>
            </w:r>
          </w:hyperlink>
        </w:p>
        <w:p>
          <w:pPr>
            <w:pStyle w:val="TOC1"/>
            <w:tabs>
              <w:tab w:val="clear" w:pos="9404"/>
              <w:tab w:val="right" w:pos="9403" w:leader="dot"/>
            </w:tabs>
            <w:rPr/>
          </w:pPr>
          <w:hyperlink w:anchor="__RefHeading___Toc2759_1992497069">
            <w:r>
              <w:rPr>
                <w:rStyle w:val="IndexLink"/>
              </w:rPr>
              <w:t>CAPÍTULO I: PLANTEAMIENTO DEL PROBLEMA</w:t>
              <w:tab/>
              <w:t>6</w:t>
            </w:r>
          </w:hyperlink>
        </w:p>
        <w:p>
          <w:pPr>
            <w:pStyle w:val="TOC2"/>
            <w:tabs>
              <w:tab w:val="clear" w:pos="9121"/>
              <w:tab w:val="right" w:pos="9403" w:leader="dot"/>
            </w:tabs>
            <w:rPr/>
          </w:pPr>
          <w:hyperlink w:anchor="__RefHeading___Toc2761_1992497069">
            <w:r>
              <w:rPr>
                <w:rStyle w:val="IndexLink"/>
              </w:rPr>
              <w:t>1.1. Identificación del problema</w:t>
              <w:tab/>
              <w:t>6</w:t>
            </w:r>
          </w:hyperlink>
        </w:p>
        <w:p>
          <w:pPr>
            <w:pStyle w:val="TOC2"/>
            <w:tabs>
              <w:tab w:val="clear" w:pos="9121"/>
              <w:tab w:val="right" w:pos="9403" w:leader="dot"/>
            </w:tabs>
            <w:rPr/>
          </w:pPr>
          <w:hyperlink w:anchor="__RefHeading___Toc2763_1992497069">
            <w:r>
              <w:rPr>
                <w:rStyle w:val="IndexLink"/>
              </w:rPr>
              <w:t>1.2. Análisis del problema</w:t>
              <w:tab/>
              <w:t>6</w:t>
            </w:r>
          </w:hyperlink>
        </w:p>
        <w:p>
          <w:pPr>
            <w:pStyle w:val="TOC3"/>
            <w:tabs>
              <w:tab w:val="clear" w:pos="8837"/>
              <w:tab w:val="right" w:pos="9403" w:leader="dot"/>
            </w:tabs>
            <w:rPr/>
          </w:pPr>
          <w:hyperlink w:anchor="__RefHeading___Toc2765_1992497069">
            <w:r>
              <w:rPr>
                <w:rStyle w:val="IndexLink"/>
              </w:rPr>
              <w:t>1.2.1. Disponibilidad y días de inoperancia</w:t>
              <w:tab/>
              <w:t>7</w:t>
            </w:r>
          </w:hyperlink>
        </w:p>
        <w:p>
          <w:pPr>
            <w:pStyle w:val="TOC3"/>
            <w:tabs>
              <w:tab w:val="clear" w:pos="8837"/>
              <w:tab w:val="right" w:pos="9403" w:leader="dot"/>
            </w:tabs>
            <w:rPr/>
          </w:pPr>
          <w:hyperlink w:anchor="__RefHeading___Toc2767_1992497069">
            <w:r>
              <w:rPr>
                <w:rStyle w:val="IndexLink"/>
              </w:rPr>
              <w:t>1.2.2. Capacidad de atención</w:t>
              <w:tab/>
              <w:t>7</w:t>
            </w:r>
          </w:hyperlink>
        </w:p>
        <w:p>
          <w:pPr>
            <w:pStyle w:val="TOC3"/>
            <w:tabs>
              <w:tab w:val="clear" w:pos="8837"/>
              <w:tab w:val="right" w:pos="9403" w:leader="dot"/>
            </w:tabs>
            <w:rPr/>
          </w:pPr>
          <w:hyperlink w:anchor="__RefHeading___Toc2769_1992497069">
            <w:r>
              <w:rPr>
                <w:rStyle w:val="IndexLink"/>
              </w:rPr>
              <w:t>1.2.3. Impacto económico-financiero</w:t>
              <w:tab/>
              <w:t>7</w:t>
            </w:r>
          </w:hyperlink>
        </w:p>
        <w:p>
          <w:pPr>
            <w:pStyle w:val="TOC3"/>
            <w:tabs>
              <w:tab w:val="clear" w:pos="8837"/>
              <w:tab w:val="right" w:pos="9403" w:leader="dot"/>
            </w:tabs>
            <w:rPr/>
          </w:pPr>
          <w:hyperlink w:anchor="__RefHeading___Toc2771_1992497069">
            <w:r>
              <w:rPr>
                <w:rStyle w:val="IndexLink"/>
              </w:rPr>
              <w:t>1.2.4. Validación del análisis causal</w:t>
              <w:tab/>
              <w:t>8</w:t>
            </w:r>
          </w:hyperlink>
        </w:p>
        <w:p>
          <w:pPr>
            <w:pStyle w:val="TOC2"/>
            <w:tabs>
              <w:tab w:val="clear" w:pos="9121"/>
              <w:tab w:val="right" w:pos="9403" w:leader="dot"/>
            </w:tabs>
            <w:rPr/>
          </w:pPr>
          <w:hyperlink w:anchor="__RefHeading___Toc2773_1992497069">
            <w:r>
              <w:rPr>
                <w:rStyle w:val="IndexLink"/>
              </w:rPr>
              <w:t>1.3. Formulación del problema</w:t>
              <w:tab/>
              <w:t>8</w:t>
            </w:r>
          </w:hyperlink>
        </w:p>
        <w:p>
          <w:pPr>
            <w:pStyle w:val="TOC2"/>
            <w:tabs>
              <w:tab w:val="clear" w:pos="9121"/>
              <w:tab w:val="right" w:pos="9403" w:leader="dot"/>
            </w:tabs>
            <w:rPr/>
          </w:pPr>
          <w:hyperlink w:anchor="__RefHeading___Toc2775_1992497069">
            <w:r>
              <w:rPr>
                <w:rStyle w:val="IndexLink"/>
              </w:rPr>
              <w:t>1.4. Objetivos de la investigación</w:t>
              <w:tab/>
              <w:t>9</w:t>
            </w:r>
          </w:hyperlink>
        </w:p>
        <w:p>
          <w:pPr>
            <w:pStyle w:val="TOC3"/>
            <w:tabs>
              <w:tab w:val="clear" w:pos="8837"/>
              <w:tab w:val="right" w:pos="9403" w:leader="dot"/>
            </w:tabs>
            <w:rPr/>
          </w:pPr>
          <w:hyperlink w:anchor="__RefHeading___Toc2777_1992497069">
            <w:r>
              <w:rPr>
                <w:rStyle w:val="IndexLink"/>
              </w:rPr>
              <w:t>1.4.1. Objetivo general</w:t>
              <w:tab/>
              <w:t>9</w:t>
            </w:r>
          </w:hyperlink>
        </w:p>
        <w:p>
          <w:pPr>
            <w:pStyle w:val="TOC3"/>
            <w:tabs>
              <w:tab w:val="clear" w:pos="8837"/>
              <w:tab w:val="right" w:pos="9403" w:leader="dot"/>
            </w:tabs>
            <w:rPr/>
          </w:pPr>
          <w:hyperlink w:anchor="__RefHeading___Toc2779_1992497069">
            <w:r>
              <w:rPr>
                <w:rStyle w:val="IndexLink"/>
              </w:rPr>
              <w:t>1.4.2. Objetivos específicos</w:t>
              <w:tab/>
              <w:t>9</w:t>
            </w:r>
          </w:hyperlink>
        </w:p>
        <w:p>
          <w:pPr>
            <w:pStyle w:val="TOC2"/>
            <w:tabs>
              <w:tab w:val="clear" w:pos="9121"/>
              <w:tab w:val="right" w:pos="9403" w:leader="dot"/>
            </w:tabs>
            <w:rPr/>
          </w:pPr>
          <w:hyperlink w:anchor="__RefHeading___Toc2781_1992497069">
            <w:r>
              <w:rPr>
                <w:rStyle w:val="IndexLink"/>
              </w:rPr>
              <w:t>1.5. Justificación y propósito del proyecto</w:t>
              <w:tab/>
              <w:t>10</w:t>
            </w:r>
          </w:hyperlink>
        </w:p>
        <w:p>
          <w:pPr>
            <w:pStyle w:val="TOC2"/>
            <w:tabs>
              <w:tab w:val="clear" w:pos="9121"/>
              <w:tab w:val="right" w:pos="9403" w:leader="dot"/>
            </w:tabs>
            <w:rPr/>
          </w:pPr>
          <w:hyperlink w:anchor="__RefHeading___Toc2783_1992497069">
            <w:r>
              <w:rPr>
                <w:rStyle w:val="IndexLink"/>
              </w:rPr>
              <w:t>1.6. Alcance y limitaciones</w:t>
              <w:tab/>
              <w:t>10</w:t>
            </w:r>
          </w:hyperlink>
        </w:p>
        <w:p>
          <w:pPr>
            <w:pStyle w:val="TOC3"/>
            <w:tabs>
              <w:tab w:val="clear" w:pos="8837"/>
              <w:tab w:val="right" w:pos="9403" w:leader="dot"/>
            </w:tabs>
            <w:rPr/>
          </w:pPr>
          <w:hyperlink w:anchor="__RefHeading___Toc2785_1992497069">
            <w:r>
              <w:rPr>
                <w:rStyle w:val="IndexLink"/>
              </w:rPr>
              <w:t>1.6.1. Alcance del proyecto</w:t>
              <w:tab/>
              <w:t>10</w:t>
            </w:r>
          </w:hyperlink>
        </w:p>
        <w:p>
          <w:pPr>
            <w:pStyle w:val="TOC3"/>
            <w:tabs>
              <w:tab w:val="clear" w:pos="8837"/>
              <w:tab w:val="right" w:pos="9403" w:leader="dot"/>
            </w:tabs>
            <w:rPr/>
          </w:pPr>
          <w:hyperlink w:anchor="__RefHeading___Toc2787_1992497069">
            <w:r>
              <w:rPr>
                <w:rStyle w:val="IndexLink"/>
              </w:rPr>
              <w:t>1.6.2. Delimitaciones</w:t>
              <w:tab/>
              <w:t>11</w:t>
            </w:r>
          </w:hyperlink>
        </w:p>
        <w:p>
          <w:pPr>
            <w:pStyle w:val="TOC3"/>
            <w:tabs>
              <w:tab w:val="clear" w:pos="8837"/>
              <w:tab w:val="right" w:pos="9403" w:leader="dot"/>
            </w:tabs>
            <w:rPr/>
          </w:pPr>
          <w:hyperlink w:anchor="__RefHeading___Toc2789_1992497069">
            <w:r>
              <w:rPr>
                <w:rStyle w:val="IndexLink"/>
              </w:rPr>
              <w:t>1.6.3. Exclusiones</w:t>
              <w:tab/>
              <w:t>11</w:t>
            </w:r>
          </w:hyperlink>
        </w:p>
        <w:p>
          <w:pPr>
            <w:pStyle w:val="TOC3"/>
            <w:tabs>
              <w:tab w:val="clear" w:pos="8837"/>
              <w:tab w:val="right" w:pos="9403" w:leader="dot"/>
            </w:tabs>
            <w:rPr/>
          </w:pPr>
          <w:hyperlink w:anchor="__RefHeading___Toc2791_1992497069">
            <w:r>
              <w:rPr>
                <w:rStyle w:val="IndexLink"/>
              </w:rPr>
              <w:t>1.6.4. Limitaciones</w:t>
              <w:tab/>
              <w:t>11</w:t>
            </w:r>
          </w:hyperlink>
        </w:p>
        <w:p>
          <w:pPr>
            <w:pStyle w:val="TOC1"/>
            <w:tabs>
              <w:tab w:val="clear" w:pos="9404"/>
              <w:tab w:val="right" w:pos="9403" w:leader="dot"/>
            </w:tabs>
            <w:rPr/>
          </w:pPr>
          <w:hyperlink w:anchor="__RefHeading___Toc2793_1992497069">
            <w:r>
              <w:rPr>
                <w:rStyle w:val="IndexLink"/>
              </w:rPr>
              <w:t>CAPÍTULO II: MARCO REFERENCIAL</w:t>
              <w:tab/>
              <w:t>13</w:t>
            </w:r>
          </w:hyperlink>
        </w:p>
        <w:p>
          <w:pPr>
            <w:pStyle w:val="TOC2"/>
            <w:tabs>
              <w:tab w:val="clear" w:pos="9121"/>
              <w:tab w:val="right" w:pos="9403" w:leader="dot"/>
            </w:tabs>
            <w:rPr/>
          </w:pPr>
          <w:hyperlink w:anchor="__RefHeading___Toc2795_1992497069">
            <w:r>
              <w:rPr>
                <w:rStyle w:val="IndexLink"/>
              </w:rPr>
              <w:t>2.1. Reseña histórica</w:t>
              <w:tab/>
              <w:t>13</w:t>
            </w:r>
          </w:hyperlink>
        </w:p>
        <w:p>
          <w:pPr>
            <w:pStyle w:val="TOC3"/>
            <w:tabs>
              <w:tab w:val="clear" w:pos="8837"/>
              <w:tab w:val="right" w:pos="9403" w:leader="dot"/>
            </w:tabs>
            <w:rPr/>
          </w:pPr>
          <w:hyperlink w:anchor="__RefHeading___Toc2797_1992497069">
            <w:r>
              <w:rPr>
                <w:rStyle w:val="IndexLink"/>
              </w:rPr>
              <w:t>2.1.1. Evolución de la imagenología diagnóstica</w:t>
              <w:tab/>
              <w:t>13</w:t>
            </w:r>
          </w:hyperlink>
        </w:p>
        <w:p>
          <w:pPr>
            <w:pStyle w:val="TOC3"/>
            <w:tabs>
              <w:tab w:val="clear" w:pos="8837"/>
              <w:tab w:val="right" w:pos="9403" w:leader="dot"/>
            </w:tabs>
            <w:rPr/>
          </w:pPr>
          <w:hyperlink w:anchor="__RefHeading___Toc2799_1992497069">
            <w:r>
              <w:rPr>
                <w:rStyle w:val="IndexLink"/>
              </w:rPr>
              <w:t>2.1.2. Evolución de la gestión del mantenimiento de equipos médicos</w:t>
              <w:tab/>
              <w:t>13</w:t>
            </w:r>
          </w:hyperlink>
        </w:p>
        <w:p>
          <w:pPr>
            <w:pStyle w:val="TOC3"/>
            <w:tabs>
              <w:tab w:val="clear" w:pos="8837"/>
              <w:tab w:val="right" w:pos="9403" w:leader="dot"/>
            </w:tabs>
            <w:rPr/>
          </w:pPr>
          <w:hyperlink w:anchor="__RefHeading___Toc2801_1992497069">
            <w:r>
              <w:rPr>
                <w:rStyle w:val="IndexLink"/>
              </w:rPr>
              <w:t>2.1.3. Reseña de la organización y del Servicio de Imagenología</w:t>
              <w:tab/>
              <w:t>14</w:t>
            </w:r>
          </w:hyperlink>
        </w:p>
        <w:p>
          <w:pPr>
            <w:pStyle w:val="TOC2"/>
            <w:tabs>
              <w:tab w:val="clear" w:pos="9121"/>
              <w:tab w:val="right" w:pos="9403" w:leader="dot"/>
            </w:tabs>
            <w:rPr/>
          </w:pPr>
          <w:hyperlink w:anchor="__RefHeading___Toc2803_1992497069">
            <w:r>
              <w:rPr>
                <w:rStyle w:val="IndexLink"/>
              </w:rPr>
              <w:t>2.2. Bases teóricas</w:t>
              <w:tab/>
              <w:t>14</w:t>
            </w:r>
          </w:hyperlink>
        </w:p>
        <w:p>
          <w:pPr>
            <w:pStyle w:val="TOC3"/>
            <w:tabs>
              <w:tab w:val="clear" w:pos="8837"/>
              <w:tab w:val="right" w:pos="9403" w:leader="dot"/>
            </w:tabs>
            <w:rPr/>
          </w:pPr>
          <w:hyperlink w:anchor="__RefHeading___Toc2805_1992497069">
            <w:r>
              <w:rPr>
                <w:rStyle w:val="IndexLink"/>
              </w:rPr>
              <w:t>2.2.1. Mantenimiento y sus tipos</w:t>
              <w:tab/>
              <w:t>14</w:t>
            </w:r>
          </w:hyperlink>
        </w:p>
        <w:p>
          <w:pPr>
            <w:pStyle w:val="TOC3"/>
            <w:tabs>
              <w:tab w:val="clear" w:pos="8837"/>
              <w:tab w:val="right" w:pos="9403" w:leader="dot"/>
            </w:tabs>
            <w:rPr/>
          </w:pPr>
          <w:hyperlink w:anchor="__RefHeading___Toc2807_1992497069">
            <w:r>
              <w:rPr>
                <w:rStyle w:val="IndexLink"/>
              </w:rPr>
              <w:t>2.2.2. Gestión del mantenimiento y gestión de activos</w:t>
              <w:tab/>
              <w:t>15</w:t>
            </w:r>
          </w:hyperlink>
        </w:p>
        <w:p>
          <w:pPr>
            <w:pStyle w:val="TOC3"/>
            <w:tabs>
              <w:tab w:val="clear" w:pos="8837"/>
              <w:tab w:val="right" w:pos="9403" w:leader="dot"/>
            </w:tabs>
            <w:rPr/>
          </w:pPr>
          <w:hyperlink w:anchor="__RefHeading___Toc2809_1992497069">
            <w:r>
              <w:rPr>
                <w:rStyle w:val="IndexLink"/>
              </w:rPr>
              <w:t>2.2.3. Ingeniería clínica y programas de mantenimiento de equipos médicos</w:t>
              <w:tab/>
              <w:t>16</w:t>
            </w:r>
          </w:hyperlink>
        </w:p>
        <w:p>
          <w:pPr>
            <w:pStyle w:val="TOC3"/>
            <w:tabs>
              <w:tab w:val="clear" w:pos="8837"/>
              <w:tab w:val="right" w:pos="9403" w:leader="dot"/>
            </w:tabs>
            <w:rPr/>
          </w:pPr>
          <w:hyperlink w:anchor="__RefHeading___Toc2811_1992497069">
            <w:r>
              <w:rPr>
                <w:rStyle w:val="IndexLink"/>
              </w:rPr>
              <w:t>2.2.4. Priorización de equipos según riesgo</w:t>
              <w:tab/>
              <w:t>16</w:t>
            </w:r>
          </w:hyperlink>
        </w:p>
        <w:p>
          <w:pPr>
            <w:pStyle w:val="TOC3"/>
            <w:tabs>
              <w:tab w:val="clear" w:pos="8837"/>
              <w:tab w:val="right" w:pos="9403" w:leader="dot"/>
            </w:tabs>
            <w:rPr/>
          </w:pPr>
          <w:hyperlink w:anchor="__RefHeading___Toc2813_1992497069">
            <w:r>
              <w:rPr>
                <w:rStyle w:val="IndexLink"/>
              </w:rPr>
              <w:t>2.2.5. Indicadores de mantenimiento y confiabilidad</w:t>
              <w:tab/>
              <w:t>16</w:t>
            </w:r>
          </w:hyperlink>
        </w:p>
        <w:p>
          <w:pPr>
            <w:pStyle w:val="TOC3"/>
            <w:tabs>
              <w:tab w:val="clear" w:pos="8837"/>
              <w:tab w:val="right" w:pos="9403" w:leader="dot"/>
            </w:tabs>
            <w:rPr/>
          </w:pPr>
          <w:hyperlink w:anchor="__RefHeading___Toc2815_1992497069">
            <w:r>
              <w:rPr>
                <w:rStyle w:val="IndexLink"/>
              </w:rPr>
              <w:t>2.2.6. Gestión por procesos y notación BPMN</w:t>
              <w:tab/>
              <w:t>17</w:t>
            </w:r>
          </w:hyperlink>
        </w:p>
        <w:p>
          <w:pPr>
            <w:pStyle w:val="TOC3"/>
            <w:tabs>
              <w:tab w:val="clear" w:pos="8837"/>
              <w:tab w:val="right" w:pos="9403" w:leader="dot"/>
            </w:tabs>
            <w:rPr/>
          </w:pPr>
          <w:hyperlink w:anchor="__RefHeading___Toc2817_1992497069">
            <w:r>
              <w:rPr>
                <w:rStyle w:val="IndexLink"/>
              </w:rPr>
              <w:t>2.2.7. Herramientas de análisis causal y análisis de brechas</w:t>
              <w:tab/>
              <w:t>17</w:t>
            </w:r>
          </w:hyperlink>
        </w:p>
        <w:p>
          <w:pPr>
            <w:pStyle w:val="TOC3"/>
            <w:tabs>
              <w:tab w:val="clear" w:pos="8837"/>
              <w:tab w:val="right" w:pos="9403" w:leader="dot"/>
            </w:tabs>
            <w:rPr/>
          </w:pPr>
          <w:hyperlink w:anchor="__RefHeading___Toc2819_1992497069">
            <w:r>
              <w:rPr>
                <w:rStyle w:val="IndexLink"/>
              </w:rPr>
              <w:t>2.2.8. Toma de decisiones multicriterio</w:t>
              <w:tab/>
              <w:t>17</w:t>
            </w:r>
          </w:hyperlink>
        </w:p>
        <w:p>
          <w:pPr>
            <w:pStyle w:val="TOC3"/>
            <w:tabs>
              <w:tab w:val="clear" w:pos="8837"/>
              <w:tab w:val="right" w:pos="9403" w:leader="dot"/>
            </w:tabs>
            <w:rPr/>
          </w:pPr>
          <w:hyperlink w:anchor="__RefHeading___Toc2821_1992497069">
            <w:r>
              <w:rPr>
                <w:rStyle w:val="IndexLink"/>
              </w:rPr>
              <w:t>2.2.9. Evaluación económica de proyectos</w:t>
              <w:tab/>
              <w:t>17</w:t>
            </w:r>
          </w:hyperlink>
        </w:p>
        <w:p>
          <w:pPr>
            <w:pStyle w:val="TOC3"/>
            <w:tabs>
              <w:tab w:val="clear" w:pos="8837"/>
              <w:tab w:val="right" w:pos="9403" w:leader="dot"/>
            </w:tabs>
            <w:rPr/>
          </w:pPr>
          <w:hyperlink w:anchor="__RefHeading___Toc2823_1992497069">
            <w:r>
              <w:rPr>
                <w:rStyle w:val="IndexLink"/>
              </w:rPr>
              <w:t>2.2.10. Planificación y control de proyectos</w:t>
              <w:tab/>
              <w:t>18</w:t>
            </w:r>
          </w:hyperlink>
        </w:p>
        <w:p>
          <w:pPr>
            <w:pStyle w:val="TOC2"/>
            <w:tabs>
              <w:tab w:val="clear" w:pos="9121"/>
              <w:tab w:val="right" w:pos="9403" w:leader="dot"/>
            </w:tabs>
            <w:rPr/>
          </w:pPr>
          <w:hyperlink w:anchor="__RefHeading___Toc2825_1992497069">
            <w:r>
              <w:rPr>
                <w:rStyle w:val="IndexLink"/>
              </w:rPr>
              <w:t>2.3. Bases legales y normativas</w:t>
              <w:tab/>
              <w:t>18</w:t>
            </w:r>
          </w:hyperlink>
        </w:p>
        <w:p>
          <w:pPr>
            <w:pStyle w:val="TOC1"/>
            <w:tabs>
              <w:tab w:val="clear" w:pos="9404"/>
              <w:tab w:val="right" w:pos="9403" w:leader="dot"/>
            </w:tabs>
            <w:rPr/>
          </w:pPr>
          <w:hyperlink w:anchor="__RefHeading___Toc2827_1992497069">
            <w:r>
              <w:rPr>
                <w:rStyle w:val="IndexLink"/>
              </w:rPr>
              <w:t>CAPÍTULO III: BASES METODOLÓGICAS</w:t>
              <w:tab/>
              <w:t>20</w:t>
            </w:r>
          </w:hyperlink>
        </w:p>
        <w:p>
          <w:pPr>
            <w:pStyle w:val="TOC2"/>
            <w:tabs>
              <w:tab w:val="clear" w:pos="9121"/>
              <w:tab w:val="right" w:pos="9403" w:leader="dot"/>
            </w:tabs>
            <w:rPr/>
          </w:pPr>
          <w:hyperlink w:anchor="__RefHeading___Toc2829_1992497069">
            <w:r>
              <w:rPr>
                <w:rStyle w:val="IndexLink"/>
              </w:rPr>
              <w:t>3.1. Tipo y enfoque de la investigación</w:t>
              <w:tab/>
              <w:t>20</w:t>
            </w:r>
          </w:hyperlink>
        </w:p>
        <w:p>
          <w:pPr>
            <w:pStyle w:val="TOC2"/>
            <w:tabs>
              <w:tab w:val="clear" w:pos="9121"/>
              <w:tab w:val="right" w:pos="9403" w:leader="dot"/>
            </w:tabs>
            <w:rPr/>
          </w:pPr>
          <w:hyperlink w:anchor="__RefHeading___Toc2831_1992497069">
            <w:r>
              <w:rPr>
                <w:rStyle w:val="IndexLink"/>
              </w:rPr>
              <w:t>3.2. Fuentes e instrumentos de recolección de información</w:t>
              <w:tab/>
              <w:t>20</w:t>
            </w:r>
          </w:hyperlink>
        </w:p>
        <w:p>
          <w:pPr>
            <w:pStyle w:val="TOC2"/>
            <w:tabs>
              <w:tab w:val="clear" w:pos="9121"/>
              <w:tab w:val="right" w:pos="9403" w:leader="dot"/>
            </w:tabs>
            <w:rPr/>
          </w:pPr>
          <w:hyperlink w:anchor="__RefHeading___Toc2833_1992497069">
            <w:r>
              <w:rPr>
                <w:rStyle w:val="IndexLink"/>
              </w:rPr>
              <w:t>3.3. Etapas metodológicas</w:t>
              <w:tab/>
              <w:t>20</w:t>
            </w:r>
          </w:hyperlink>
        </w:p>
        <w:p>
          <w:pPr>
            <w:pStyle w:val="TOC3"/>
            <w:tabs>
              <w:tab w:val="clear" w:pos="8837"/>
              <w:tab w:val="right" w:pos="9403" w:leader="dot"/>
            </w:tabs>
            <w:rPr/>
          </w:pPr>
          <w:hyperlink w:anchor="__RefHeading___Toc2835_1992497069">
            <w:r>
              <w:rPr>
                <w:rStyle w:val="IndexLink"/>
              </w:rPr>
              <w:t>3.3.1. Etapa 1: Diagnóstico de la situación actual (OE1)</w:t>
              <w:tab/>
              <w:t>20</w:t>
            </w:r>
          </w:hyperlink>
        </w:p>
        <w:p>
          <w:pPr>
            <w:pStyle w:val="TOC3"/>
            <w:tabs>
              <w:tab w:val="clear" w:pos="8837"/>
              <w:tab w:val="right" w:pos="9403" w:leader="dot"/>
            </w:tabs>
            <w:rPr/>
          </w:pPr>
          <w:hyperlink w:anchor="__RefHeading___Toc2837_1992497069">
            <w:r>
              <w:rPr>
                <w:rStyle w:val="IndexLink"/>
              </w:rPr>
              <w:t>3.3.2. Etapa 2: Generación y selección de alternativas (OE2)</w:t>
              <w:tab/>
              <w:t>23</w:t>
            </w:r>
          </w:hyperlink>
        </w:p>
        <w:p>
          <w:pPr>
            <w:pStyle w:val="TOC3"/>
            <w:tabs>
              <w:tab w:val="clear" w:pos="8837"/>
              <w:tab w:val="right" w:pos="9403" w:leader="dot"/>
            </w:tabs>
            <w:rPr/>
          </w:pPr>
          <w:hyperlink w:anchor="__RefHeading___Toc2839_1992497069">
            <w:r>
              <w:rPr>
                <w:rStyle w:val="IndexLink"/>
              </w:rPr>
              <w:t>3.3.3. Etapa 3: Diseño de la solución seleccionada (OE3)</w:t>
              <w:tab/>
              <w:t>24</w:t>
            </w:r>
          </w:hyperlink>
        </w:p>
        <w:p>
          <w:pPr>
            <w:pStyle w:val="TOC3"/>
            <w:tabs>
              <w:tab w:val="clear" w:pos="8837"/>
              <w:tab w:val="right" w:pos="9403" w:leader="dot"/>
            </w:tabs>
            <w:rPr/>
          </w:pPr>
          <w:hyperlink w:anchor="__RefHeading___Toc2841_1992497069">
            <w:r>
              <w:rPr>
                <w:rStyle w:val="IndexLink"/>
              </w:rPr>
              <w:t>3.3.4. Etapa 4: Evaluación técnico-económica (OE4)</w:t>
              <w:tab/>
              <w:t>25</w:t>
            </w:r>
          </w:hyperlink>
        </w:p>
        <w:p>
          <w:pPr>
            <w:pStyle w:val="TOC3"/>
            <w:tabs>
              <w:tab w:val="clear" w:pos="8837"/>
              <w:tab w:val="right" w:pos="9403" w:leader="dot"/>
            </w:tabs>
            <w:rPr/>
          </w:pPr>
          <w:hyperlink w:anchor="__RefHeading___Toc2843_1992497069">
            <w:r>
              <w:rPr>
                <w:rStyle w:val="IndexLink"/>
              </w:rPr>
              <w:t>3.3.5. Etapa 5: Plan de implementación y control (OE5)</w:t>
              <w:tab/>
              <w:t>26</w:t>
            </w:r>
          </w:hyperlink>
        </w:p>
        <w:p>
          <w:pPr>
            <w:pStyle w:val="TOC2"/>
            <w:tabs>
              <w:tab w:val="clear" w:pos="9121"/>
              <w:tab w:val="right" w:pos="9403" w:leader="dot"/>
            </w:tabs>
            <w:rPr/>
          </w:pPr>
          <w:hyperlink w:anchor="__RefHeading___Toc2845_1992497069">
            <w:r>
              <w:rPr>
                <w:rStyle w:val="IndexLink"/>
              </w:rPr>
              <w:t>3.4. Matriz de alineación metodológica</w:t>
              <w:tab/>
              <w:t>26</w:t>
            </w:r>
          </w:hyperlink>
        </w:p>
        <w:p>
          <w:pPr>
            <w:pStyle w:val="TOC1"/>
            <w:tabs>
              <w:tab w:val="clear" w:pos="9404"/>
              <w:tab w:val="right" w:pos="9403" w:leader="dot"/>
            </w:tabs>
            <w:rPr/>
          </w:pPr>
          <w:hyperlink w:anchor="__RefHeading___Toc2847_1992497069">
            <w:r>
              <w:rPr>
                <w:rStyle w:val="IndexLink"/>
              </w:rPr>
              <w:t>CAPÍTULO IV: PLANIFICACIÓN DEL PROYECTO</w:t>
              <w:tab/>
              <w:t>27</w:t>
            </w:r>
          </w:hyperlink>
        </w:p>
        <w:p>
          <w:pPr>
            <w:pStyle w:val="TOC2"/>
            <w:tabs>
              <w:tab w:val="clear" w:pos="9121"/>
              <w:tab w:val="right" w:pos="9403" w:leader="dot"/>
            </w:tabs>
            <w:rPr/>
          </w:pPr>
          <w:hyperlink w:anchor="__RefHeading___Toc2849_1992497069">
            <w:r>
              <w:rPr>
                <w:rStyle w:val="IndexLink"/>
              </w:rPr>
              <w:t>4.1. Carta Gantt del proyecto</w:t>
              <w:tab/>
              <w:t>27</w:t>
            </w:r>
          </w:hyperlink>
        </w:p>
        <w:p>
          <w:pPr>
            <w:pStyle w:val="TOC2"/>
            <w:tabs>
              <w:tab w:val="clear" w:pos="9121"/>
              <w:tab w:val="right" w:pos="9403" w:leader="dot"/>
            </w:tabs>
            <w:rPr/>
          </w:pPr>
          <w:hyperlink w:anchor="__RefHeading___Toc2851_1992497069">
            <w:r>
              <w:rPr>
                <w:rStyle w:val="IndexLink"/>
              </w:rPr>
              <w:t>4.2. Estado de avance al corte de la semana 7</w:t>
              <w:tab/>
              <w:t>29</w:t>
            </w:r>
          </w:hyperlink>
        </w:p>
        <w:p>
          <w:pPr>
            <w:pStyle w:val="TOC2"/>
            <w:tabs>
              <w:tab w:val="clear" w:pos="9121"/>
              <w:tab w:val="right" w:pos="9403" w:leader="dot"/>
            </w:tabs>
            <w:rPr/>
          </w:pPr>
          <w:hyperlink w:anchor="__RefHeading___Toc2853_1992497069">
            <w:r>
              <w:rPr>
                <w:rStyle w:val="IndexLink"/>
              </w:rPr>
              <w:t>4.3. Mecanismo de seguimiento y control</w:t>
              <w:tab/>
              <w:t>29</w:t>
            </w:r>
          </w:hyperlink>
        </w:p>
        <w:p>
          <w:pPr>
            <w:pStyle w:val="TOC1"/>
            <w:tabs>
              <w:tab w:val="clear" w:pos="9404"/>
              <w:tab w:val="right" w:pos="9403" w:leader="dot"/>
            </w:tabs>
            <w:rPr/>
          </w:pPr>
          <w:hyperlink w:anchor="__RefHeading___Toc2855_1992497069">
            <w:r>
              <w:rPr>
                <w:rStyle w:val="IndexLink"/>
              </w:rPr>
              <w:t>REFERENCIAS BIBLIOGRÁFICAS</w:t>
              <w:tab/>
              <w:t>30</w:t>
            </w:r>
          </w:hyperlink>
          <w:r>
            <w:rPr>
              <w:rStyle w:val="IndexLink"/>
            </w:rPr>
            <w:fldChar w:fldCharType="end"/>
          </w:r>
        </w:p>
      </w:sdtContent>
    </w:sdt>
    <w:p>
      <w:pPr>
        <w:pStyle w:val="Normal"/>
        <w:rPr/>
      </w:pPr>
      <w:r>
        <w:rPr/>
      </w:r>
    </w:p>
    <w:p>
      <w:pPr>
        <w:pStyle w:val="Normal"/>
        <w:jc w:val="both"/>
        <w:rPr/>
      </w:pPr>
      <w:r>
        <w:rPr>
          <w:i/>
          <w:iCs/>
          <w:color w:val="666666"/>
          <w:sz w:val="18"/>
          <w:szCs w:val="18"/>
        </w:rPr>
        <w:t>Nota: si el índice aparece vacío o con números desactualizados, en Word hacer clic derecho sobre él → “Actualizar campos” → “Actualizar toda la tabla”.</w:t>
      </w:r>
    </w:p>
    <w:p>
      <w:pPr>
        <w:pStyle w:val="Normal"/>
        <w:rPr/>
      </w:pPr>
      <w:r>
        <w:rPr/>
      </w:r>
      <w:r>
        <w:br w:type="page"/>
      </w:r>
    </w:p>
    <w:p>
      <w:pPr>
        <w:pStyle w:val="Heading1"/>
        <w:spacing w:before="0" w:after="160"/>
        <w:rPr/>
      </w:pPr>
      <w:bookmarkStart w:id="0" w:name="__RefHeading___Toc2757_1992497069"/>
      <w:bookmarkEnd w:id="0"/>
      <w:r>
        <w:rPr/>
        <w:t>INTRODUCCIÓN</w:t>
      </w:r>
    </w:p>
    <w:p>
      <w:pPr>
        <w:pStyle w:val="Normal"/>
        <w:jc w:val="both"/>
        <w:rPr/>
      </w:pPr>
      <w:r>
        <w:rPr/>
        <w:t>La gestión del mantenimiento de equipos constituye un componente fundamental para asegurar la continuidad operacional, la disponibilidad y la confiabilidad de los servicios que una organización presta. En el caso de los servicios de imagenología, esta gestión adquiere especial relevancia, ya que dependen de equipos de alta complejidad tecnológica y elevado valor económico, cuya disponibilidad condiciona la entrega oportuna de la información que requieren los equipos clínicos para diagnosticar y tratar a los pacientes. En este contexto, la administración eficiente de los recursos técnicos, humanos y económicos asociados al mantenimiento representa un desafío relevante para las instituciones de salud.</w:t>
      </w:r>
    </w:p>
    <w:p>
      <w:pPr>
        <w:pStyle w:val="Normal"/>
        <w:jc w:val="both"/>
        <w:rPr/>
      </w:pPr>
      <w:r>
        <w:rPr/>
        <w:t>El presente proyecto de título se desarrolla en el Servicio de Imagenología de un centro de salud de alta complejidad y considera como objeto de estudio tres equipos críticos: un resonador magnético (RM), un tomógrafo computarizado (TC) y un equipo de rayos X (RX).</w:t>
      </w:r>
    </w:p>
    <w:p>
      <w:pPr>
        <w:pStyle w:val="Normal"/>
        <w:jc w:val="both"/>
        <w:rPr/>
      </w:pPr>
      <w:r>
        <w:rPr/>
        <w:t>El documento corresponde a la Cátedra N° 1 del Proyecto de Título II y se organiza en cuatro capítulos. El Capítulo I presenta el planteamiento del problema, los objetivos de la investigación, la justificación y el alcance del proyecto. El Capítulo II desarrolla el marco referencial, compuesto por la reseña histórica, las bases teóricas y las bases legales que sustentan el estudio. El Capítulo III describe las bases metodológicas, detallando las etapas, técnicas y herramientas que se utilizarán para dar cumplimiento a cada objetivo específico. Finalmente, el Capítulo IV presenta la planificación del proyecto mediante una Carta Gantt formal y el estado de avance a la fecha de entrega.</w:t>
      </w:r>
    </w:p>
    <w:p>
      <w:pPr>
        <w:pStyle w:val="Normal"/>
        <w:rPr/>
      </w:pPr>
      <w:r>
        <w:rPr/>
      </w:r>
      <w:r>
        <w:br w:type="page"/>
      </w:r>
    </w:p>
    <w:p>
      <w:pPr>
        <w:pStyle w:val="Heading1"/>
        <w:spacing w:before="0" w:after="160"/>
        <w:rPr/>
      </w:pPr>
      <w:bookmarkStart w:id="1" w:name="__RefHeading___Toc2759_1992497069"/>
      <w:bookmarkEnd w:id="1"/>
      <w:r>
        <w:rPr/>
        <w:t>CAPÍTULO I: PLANTEAMIENTO DEL PROBLEMA</w:t>
      </w:r>
    </w:p>
    <w:p>
      <w:pPr>
        <w:pStyle w:val="Heading2"/>
        <w:rPr/>
      </w:pPr>
      <w:bookmarkStart w:id="2" w:name="__RefHeading___Toc2761_1992497069"/>
      <w:bookmarkEnd w:id="2"/>
      <w:r>
        <w:rPr/>
        <w:t>1.1. Identificación del problema</w:t>
      </w:r>
    </w:p>
    <w:p>
      <w:pPr>
        <w:pStyle w:val="Normal"/>
        <w:jc w:val="both"/>
        <w:rPr/>
      </w:pPr>
      <w:r>
        <w:rPr/>
        <w:t>El Servicio de Imagenología presenta diferencias en los niveles de disponibilidad operacional de sus equipos críticos, situación que requiere ser analizada para determinar sus causas y su relación con la gestión del mantenimiento. Para el presente estudio se consideran el resonador magnético (RM), el tomógrafo computarizado (TC) y el equipo de rayos X (RX), debido a su relevancia para la continuidad de las prestaciones diagnósticas.</w:t>
      </w:r>
    </w:p>
    <w:p>
      <w:pPr>
        <w:pStyle w:val="Normal"/>
        <w:jc w:val="both"/>
        <w:rPr/>
      </w:pPr>
      <w:r>
        <w:rPr/>
        <w:t>A partir de los antecedentes disponibles, se identifican elementos de la gestión que requieren ser evaluados, entre ellos la frecuencia y planificación del mantenimiento preventivo, la gestión de proveedores externos, la disponibilidad de repuestos, el proceso de atención de fallas y el registro de indicadores de mantenimiento. Estos factores serán analizados y contrastados con información histórica, operacional y técnica para determinar su incidencia efectiva sobre la disponibilidad de los equipos.</w:t>
      </w:r>
    </w:p>
    <w:p>
      <w:pPr>
        <w:pStyle w:val="Normal"/>
        <w:jc w:val="both"/>
        <w:rPr/>
      </w:pPr>
      <w:r>
        <w:rPr/>
        <w:t>La menor disponibilidad de los equipos limita la capacidad de atención del servicio y se asocia a dos tipos de consecuencias:</w:t>
      </w:r>
    </w:p>
    <w:p>
      <w:pPr>
        <w:pStyle w:val="ListParagraph"/>
        <w:numPr>
          <w:ilvl w:val="0"/>
          <w:numId w:val="7"/>
        </w:numPr>
        <w:jc w:val="both"/>
        <w:rPr/>
      </w:pPr>
      <w:r>
        <w:rPr>
          <w:b/>
          <w:bCs/>
        </w:rPr>
        <w:t>Impacto clínico:</w:t>
      </w:r>
      <w:r>
        <w:rPr/>
        <w:t xml:space="preserve"> suspensión de exámenes programados, aumento de las listas de espera, menor capacidad de respuesta frente a los servicios clínicos de Urgencia y Hospitalización, y retraso en la entrega de información necesaria para diagnosticar y tratar a los pacientes.</w:t>
      </w:r>
    </w:p>
    <w:p>
      <w:pPr>
        <w:pStyle w:val="ListParagraph"/>
        <w:numPr>
          <w:ilvl w:val="0"/>
          <w:numId w:val="1"/>
        </w:numPr>
        <w:jc w:val="both"/>
        <w:rPr/>
      </w:pPr>
      <w:r>
        <w:rPr>
          <w:b/>
          <w:bCs/>
        </w:rPr>
        <w:t>Impacto económico:</w:t>
      </w:r>
      <w:r>
        <w:rPr/>
        <w:t xml:space="preserve"> dificultades para cumplir los presupuestos de actividad e ingresos del servicio, junto con costos asociados a reparaciones correctivas no programadas.</w:t>
      </w:r>
    </w:p>
    <w:p>
      <w:pPr>
        <w:pStyle w:val="Heading2"/>
        <w:rPr/>
      </w:pPr>
      <w:bookmarkStart w:id="3" w:name="__RefHeading___Toc2763_1992497069"/>
      <w:bookmarkEnd w:id="3"/>
      <w:r>
        <w:rPr/>
        <w:t>1.2. Análisis del problema</w:t>
      </w:r>
    </w:p>
    <w:p>
      <w:pPr>
        <w:pStyle w:val="Normal"/>
        <w:jc w:val="both"/>
        <w:rPr/>
      </w:pPr>
      <w:r>
        <w:rPr/>
        <w:t>Para dimensionar la situación actual se analizan los datos operativos del primer trimestre del período en estudio (en adelante, Q1), que comprende 92 días de cobertura operacional. Esta información permite cuantificar la disponibilidad de los equipos y su relación con el cumplimiento de la actividad y de los ingresos presupuestados. Sin embargo, estos antecedentes no permiten, por sí solos, atribuir la indisponibilidad a una causa específica; la relación entre las brechas observadas y la gestión del mantenimiento deberá ser demostrada durante el diagnóstico (Etapa 1 de la metodología).</w:t>
      </w:r>
    </w:p>
    <w:p>
      <w:pPr>
        <w:pStyle w:val="Heading3"/>
        <w:rPr/>
      </w:pPr>
      <w:bookmarkStart w:id="4" w:name="__RefHeading___Toc2765_1992497069"/>
      <w:bookmarkEnd w:id="4"/>
      <w:r>
        <w:rPr/>
        <w:t>1.2.1. Disponibilidad y días de inoperancia</w:t>
      </w:r>
    </w:p>
    <w:p>
      <w:pPr>
        <w:pStyle w:val="Normal"/>
        <w:jc w:val="both"/>
        <w:rPr/>
      </w:pPr>
      <w:r>
        <w:rPr/>
        <w:t>La disponibilidad operacional se calculó como la proporción de días en que cada equipo se encontró en funcionamiento respecto de los 92 días del período. Los resultados se presentan en la Tabla 1.</w:t>
      </w:r>
    </w:p>
    <w:tbl>
      <w:tblPr>
        <w:tblW w:w="9404" w:type="dxa"/>
        <w:jc w:val="left"/>
        <w:tblInd w:w="0" w:type="dxa"/>
        <w:tblLayout w:type="fixed"/>
        <w:tblCellMar>
          <w:top w:w="40" w:type="dxa"/>
          <w:left w:w="80" w:type="dxa"/>
          <w:bottom w:w="40" w:type="dxa"/>
          <w:right w:w="80" w:type="dxa"/>
        </w:tblCellMar>
      </w:tblPr>
      <w:tblGrid>
        <w:gridCol w:w="2804"/>
        <w:gridCol w:w="1649"/>
        <w:gridCol w:w="1651"/>
        <w:gridCol w:w="1649"/>
        <w:gridCol w:w="1651"/>
      </w:tblGrid>
      <w:tr>
        <w:trPr>
          <w:tblHeader w:val="true"/>
        </w:trPr>
        <w:tc>
          <w:tcPr>
            <w:tcW w:w="2804"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8"/>
                <w:szCs w:val="18"/>
              </w:rPr>
              <w:t>Equipo</w:t>
            </w:r>
          </w:p>
        </w:tc>
        <w:tc>
          <w:tcPr>
            <w:tcW w:w="1649"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8"/>
                <w:szCs w:val="18"/>
              </w:rPr>
              <w:t>Días del período</w:t>
            </w:r>
          </w:p>
        </w:tc>
        <w:tc>
          <w:tcPr>
            <w:tcW w:w="165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8"/>
                <w:szCs w:val="18"/>
              </w:rPr>
              <w:t>Días operativos</w:t>
            </w:r>
          </w:p>
        </w:tc>
        <w:tc>
          <w:tcPr>
            <w:tcW w:w="1649"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8"/>
                <w:szCs w:val="18"/>
              </w:rPr>
              <w:t>Días fuera de servicio</w:t>
            </w:r>
          </w:p>
        </w:tc>
        <w:tc>
          <w:tcPr>
            <w:tcW w:w="165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8"/>
                <w:szCs w:val="18"/>
              </w:rPr>
              <w:t>Disponibilidad</w:t>
            </w:r>
          </w:p>
        </w:tc>
      </w:tr>
      <w:tr>
        <w:trPr/>
        <w:tc>
          <w:tcPr>
            <w:tcW w:w="280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8"/>
                <w:szCs w:val="18"/>
              </w:rPr>
              <w:t>Rayos X (RX)</w:t>
            </w:r>
          </w:p>
        </w:tc>
        <w:tc>
          <w:tcPr>
            <w:tcW w:w="16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8"/>
                <w:szCs w:val="18"/>
              </w:rPr>
              <w:t>92</w:t>
            </w:r>
          </w:p>
        </w:tc>
        <w:tc>
          <w:tcPr>
            <w:tcW w:w="165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8"/>
                <w:szCs w:val="18"/>
              </w:rPr>
              <w:t>73</w:t>
            </w:r>
          </w:p>
        </w:tc>
        <w:tc>
          <w:tcPr>
            <w:tcW w:w="16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8"/>
                <w:szCs w:val="18"/>
              </w:rPr>
              <w:t>19</w:t>
            </w:r>
          </w:p>
        </w:tc>
        <w:tc>
          <w:tcPr>
            <w:tcW w:w="165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8"/>
                <w:szCs w:val="18"/>
              </w:rPr>
              <w:t>79,3 %</w:t>
            </w:r>
          </w:p>
        </w:tc>
      </w:tr>
      <w:tr>
        <w:trPr/>
        <w:tc>
          <w:tcPr>
            <w:tcW w:w="280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8"/>
                <w:szCs w:val="18"/>
              </w:rPr>
              <w:t>Tomógrafo computarizado (TC)</w:t>
            </w:r>
          </w:p>
        </w:tc>
        <w:tc>
          <w:tcPr>
            <w:tcW w:w="16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8"/>
                <w:szCs w:val="18"/>
              </w:rPr>
              <w:t>92</w:t>
            </w:r>
          </w:p>
        </w:tc>
        <w:tc>
          <w:tcPr>
            <w:tcW w:w="165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8"/>
                <w:szCs w:val="18"/>
              </w:rPr>
              <w:t>81</w:t>
            </w:r>
          </w:p>
        </w:tc>
        <w:tc>
          <w:tcPr>
            <w:tcW w:w="16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8"/>
                <w:szCs w:val="18"/>
              </w:rPr>
              <w:t>11</w:t>
            </w:r>
          </w:p>
        </w:tc>
        <w:tc>
          <w:tcPr>
            <w:tcW w:w="165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8"/>
                <w:szCs w:val="18"/>
              </w:rPr>
              <w:t>88,0 %</w:t>
            </w:r>
          </w:p>
        </w:tc>
      </w:tr>
      <w:tr>
        <w:trPr/>
        <w:tc>
          <w:tcPr>
            <w:tcW w:w="280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8"/>
                <w:szCs w:val="18"/>
              </w:rPr>
              <w:t>Resonador magnético (RM)</w:t>
            </w:r>
          </w:p>
        </w:tc>
        <w:tc>
          <w:tcPr>
            <w:tcW w:w="16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8"/>
                <w:szCs w:val="18"/>
              </w:rPr>
              <w:t>92</w:t>
            </w:r>
          </w:p>
        </w:tc>
        <w:tc>
          <w:tcPr>
            <w:tcW w:w="165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8"/>
                <w:szCs w:val="18"/>
              </w:rPr>
              <w:t>84</w:t>
            </w:r>
          </w:p>
        </w:tc>
        <w:tc>
          <w:tcPr>
            <w:tcW w:w="16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8"/>
                <w:szCs w:val="18"/>
              </w:rPr>
              <w:t>8</w:t>
            </w:r>
          </w:p>
        </w:tc>
        <w:tc>
          <w:tcPr>
            <w:tcW w:w="165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8"/>
                <w:szCs w:val="18"/>
              </w:rPr>
              <w:t>91,3 %</w:t>
            </w:r>
          </w:p>
        </w:tc>
      </w:tr>
    </w:tbl>
    <w:p>
      <w:pPr>
        <w:pStyle w:val="Normal"/>
        <w:spacing w:lineRule="auto" w:line="240" w:before="60" w:after="200"/>
        <w:jc w:val="center"/>
        <w:rPr/>
      </w:pPr>
      <w:r>
        <w:rPr>
          <w:i/>
          <w:iCs/>
          <w:sz w:val="18"/>
          <w:szCs w:val="18"/>
        </w:rPr>
        <w:t>Tabla 1. Disponibilidad operacional de los equipos críticos en Q1. Fuente: Elaboración propia a partir de registros operacionales del servicio.</w:t>
      </w:r>
    </w:p>
    <w:p>
      <w:pPr>
        <w:pStyle w:val="Normal"/>
        <w:jc w:val="both"/>
        <w:rPr/>
      </w:pPr>
      <w:r>
        <w:rPr/>
        <w:t>El equipo de RX presenta la menor disponibilidad del período (79,3 %), con 19 días fuera de servicio, seguido por el TC (88,0 %) y el RM (91,3 %).</w:t>
      </w:r>
    </w:p>
    <w:p>
      <w:pPr>
        <w:pStyle w:val="Heading3"/>
        <w:rPr/>
      </w:pPr>
      <w:bookmarkStart w:id="5" w:name="__RefHeading___Toc2767_1992497069"/>
      <w:bookmarkEnd w:id="5"/>
      <w:r>
        <w:rPr/>
        <w:t>1.2.2. Capacidad de atención</w:t>
      </w:r>
    </w:p>
    <w:p>
      <w:pPr>
        <w:pStyle w:val="Normal"/>
        <w:jc w:val="both"/>
        <w:rPr/>
      </w:pPr>
      <w:r>
        <w:rPr/>
        <w:t>Durante Q1 no fue posible realizar la totalidad de los exámenes presupuestados en las líneas de atención más sensibles a la disponibilidad de los equipos, según se resume en la Tabla 2.</w:t>
      </w:r>
    </w:p>
    <w:tbl>
      <w:tblPr>
        <w:tblW w:w="9404" w:type="dxa"/>
        <w:jc w:val="left"/>
        <w:tblInd w:w="0" w:type="dxa"/>
        <w:tblLayout w:type="fixed"/>
        <w:tblCellMar>
          <w:top w:w="40" w:type="dxa"/>
          <w:left w:w="80" w:type="dxa"/>
          <w:bottom w:w="40" w:type="dxa"/>
          <w:right w:w="80" w:type="dxa"/>
        </w:tblCellMar>
      </w:tblPr>
      <w:tblGrid>
        <w:gridCol w:w="2804"/>
        <w:gridCol w:w="1649"/>
        <w:gridCol w:w="1651"/>
        <w:gridCol w:w="1649"/>
        <w:gridCol w:w="1651"/>
      </w:tblGrid>
      <w:tr>
        <w:trPr>
          <w:tblHeader w:val="true"/>
        </w:trPr>
        <w:tc>
          <w:tcPr>
            <w:tcW w:w="2804"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8"/>
                <w:szCs w:val="18"/>
              </w:rPr>
              <w:t>Equipo / línea de atención</w:t>
            </w:r>
          </w:p>
        </w:tc>
        <w:tc>
          <w:tcPr>
            <w:tcW w:w="1649"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8"/>
                <w:szCs w:val="18"/>
              </w:rPr>
              <w:t>Exámenes presupuestados</w:t>
            </w:r>
          </w:p>
        </w:tc>
        <w:tc>
          <w:tcPr>
            <w:tcW w:w="165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8"/>
                <w:szCs w:val="18"/>
              </w:rPr>
              <w:t>Exámenes realizados</w:t>
            </w:r>
          </w:p>
        </w:tc>
        <w:tc>
          <w:tcPr>
            <w:tcW w:w="1649"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8"/>
                <w:szCs w:val="18"/>
              </w:rPr>
              <w:t>Exámenes no realizados</w:t>
            </w:r>
          </w:p>
        </w:tc>
        <w:tc>
          <w:tcPr>
            <w:tcW w:w="165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8"/>
                <w:szCs w:val="18"/>
              </w:rPr>
              <w:t>Cumplimiento</w:t>
            </w:r>
          </w:p>
        </w:tc>
      </w:tr>
      <w:tr>
        <w:trPr/>
        <w:tc>
          <w:tcPr>
            <w:tcW w:w="280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8"/>
                <w:szCs w:val="18"/>
              </w:rPr>
              <w:t>RX — Urgencias</w:t>
            </w:r>
          </w:p>
        </w:tc>
        <w:tc>
          <w:tcPr>
            <w:tcW w:w="16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8"/>
                <w:szCs w:val="18"/>
              </w:rPr>
              <w:t>518</w:t>
            </w:r>
          </w:p>
        </w:tc>
        <w:tc>
          <w:tcPr>
            <w:tcW w:w="165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8"/>
                <w:szCs w:val="18"/>
              </w:rPr>
              <w:t>381</w:t>
            </w:r>
          </w:p>
        </w:tc>
        <w:tc>
          <w:tcPr>
            <w:tcW w:w="16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8"/>
                <w:szCs w:val="18"/>
              </w:rPr>
              <w:t>137</w:t>
            </w:r>
          </w:p>
        </w:tc>
        <w:tc>
          <w:tcPr>
            <w:tcW w:w="165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8"/>
                <w:szCs w:val="18"/>
              </w:rPr>
              <w:t>73,6 %</w:t>
            </w:r>
          </w:p>
        </w:tc>
      </w:tr>
      <w:tr>
        <w:trPr/>
        <w:tc>
          <w:tcPr>
            <w:tcW w:w="280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8"/>
                <w:szCs w:val="18"/>
              </w:rPr>
              <w:t>TC — Hospitalización</w:t>
            </w:r>
          </w:p>
        </w:tc>
        <w:tc>
          <w:tcPr>
            <w:tcW w:w="16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8"/>
                <w:szCs w:val="18"/>
              </w:rPr>
              <w:t>57</w:t>
            </w:r>
          </w:p>
        </w:tc>
        <w:tc>
          <w:tcPr>
            <w:tcW w:w="165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8"/>
                <w:szCs w:val="18"/>
              </w:rPr>
              <w:t>34</w:t>
            </w:r>
          </w:p>
        </w:tc>
        <w:tc>
          <w:tcPr>
            <w:tcW w:w="16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8"/>
                <w:szCs w:val="18"/>
              </w:rPr>
              <w:t>23</w:t>
            </w:r>
          </w:p>
        </w:tc>
        <w:tc>
          <w:tcPr>
            <w:tcW w:w="165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8"/>
                <w:szCs w:val="18"/>
              </w:rPr>
              <w:t>59,6 %</w:t>
            </w:r>
          </w:p>
        </w:tc>
      </w:tr>
      <w:tr>
        <w:trPr/>
        <w:tc>
          <w:tcPr>
            <w:tcW w:w="280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8"/>
                <w:szCs w:val="18"/>
              </w:rPr>
              <w:t>RM — Hospitalización</w:t>
            </w:r>
          </w:p>
        </w:tc>
        <w:tc>
          <w:tcPr>
            <w:tcW w:w="16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8"/>
                <w:szCs w:val="18"/>
              </w:rPr>
              <w:t>18</w:t>
            </w:r>
          </w:p>
        </w:tc>
        <w:tc>
          <w:tcPr>
            <w:tcW w:w="165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8"/>
                <w:szCs w:val="18"/>
              </w:rPr>
              <w:t>14</w:t>
            </w:r>
          </w:p>
        </w:tc>
        <w:tc>
          <w:tcPr>
            <w:tcW w:w="16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8"/>
                <w:szCs w:val="18"/>
              </w:rPr>
              <w:t>4</w:t>
            </w:r>
          </w:p>
        </w:tc>
        <w:tc>
          <w:tcPr>
            <w:tcW w:w="165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8"/>
                <w:szCs w:val="18"/>
              </w:rPr>
              <w:t>77,8 %</w:t>
            </w:r>
          </w:p>
        </w:tc>
      </w:tr>
    </w:tbl>
    <w:p>
      <w:pPr>
        <w:pStyle w:val="Normal"/>
        <w:spacing w:lineRule="auto" w:line="240" w:before="60" w:after="200"/>
        <w:jc w:val="center"/>
        <w:rPr/>
      </w:pPr>
      <w:r>
        <w:rPr>
          <w:i/>
          <w:iCs/>
          <w:sz w:val="18"/>
          <w:szCs w:val="18"/>
        </w:rPr>
        <w:t>Tabla 2. Cumplimiento de exámenes presupuestados en Q1. Fuente: Elaboración propia a partir de reportes de actividad del servicio.</w:t>
      </w:r>
    </w:p>
    <w:p>
      <w:pPr>
        <w:pStyle w:val="Normal"/>
        <w:jc w:val="both"/>
        <w:rPr/>
      </w:pPr>
      <w:r>
        <w:rPr/>
        <w:t>En el caso de los pacientes hospitalizados, la postergación de exámenes puede retrasar decisiones clínicas y altas médicas, con el consecuente aumento de días cama. El grado en que estas brechas se explican por la indisponibilidad técnica de los equipos, y no por otros factores como la demanda o la programación, será determinado en el diagnóstico.</w:t>
      </w:r>
    </w:p>
    <w:p>
      <w:pPr>
        <w:pStyle w:val="Heading3"/>
        <w:rPr/>
      </w:pPr>
      <w:bookmarkStart w:id="6" w:name="__RefHeading___Toc2769_1992497069"/>
      <w:bookmarkEnd w:id="6"/>
      <w:r>
        <w:rPr/>
        <w:t>1.2.3. Impacto económico-financiero</w:t>
      </w:r>
    </w:p>
    <w:p>
      <w:pPr>
        <w:pStyle w:val="Normal"/>
        <w:jc w:val="both"/>
        <w:rPr/>
      </w:pPr>
      <w:r>
        <w:rPr/>
        <w:t>La Tabla 3 compara los ingresos reales y presupuestados de los equipos RX y TC durante Q1.</w:t>
      </w:r>
    </w:p>
    <w:tbl>
      <w:tblPr>
        <w:tblW w:w="9404" w:type="dxa"/>
        <w:jc w:val="left"/>
        <w:tblInd w:w="0" w:type="dxa"/>
        <w:tblLayout w:type="fixed"/>
        <w:tblCellMar>
          <w:top w:w="40" w:type="dxa"/>
          <w:left w:w="80" w:type="dxa"/>
          <w:bottom w:w="40" w:type="dxa"/>
          <w:right w:w="80" w:type="dxa"/>
        </w:tblCellMar>
      </w:tblPr>
      <w:tblGrid>
        <w:gridCol w:w="1904"/>
        <w:gridCol w:w="1250"/>
        <w:gridCol w:w="1349"/>
        <w:gridCol w:w="1251"/>
        <w:gridCol w:w="1150"/>
        <w:gridCol w:w="1000"/>
        <w:gridCol w:w="1499"/>
      </w:tblGrid>
      <w:tr>
        <w:trPr>
          <w:tblHeader w:val="true"/>
        </w:trPr>
        <w:tc>
          <w:tcPr>
            <w:tcW w:w="1904"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6"/>
                <w:szCs w:val="16"/>
              </w:rPr>
              <w:t>Equipo / categoría</w:t>
            </w:r>
          </w:p>
        </w:tc>
        <w:tc>
          <w:tcPr>
            <w:tcW w:w="1250"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6"/>
                <w:szCs w:val="16"/>
              </w:rPr>
              <w:t>Venta real Q1</w:t>
            </w:r>
          </w:p>
        </w:tc>
        <w:tc>
          <w:tcPr>
            <w:tcW w:w="1349"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6"/>
                <w:szCs w:val="16"/>
              </w:rPr>
              <w:t>Venta presupuestada Q1</w:t>
            </w:r>
          </w:p>
        </w:tc>
        <w:tc>
          <w:tcPr>
            <w:tcW w:w="125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6"/>
                <w:szCs w:val="16"/>
              </w:rPr>
              <w:t>Desviación</w:t>
            </w:r>
          </w:p>
        </w:tc>
        <w:tc>
          <w:tcPr>
            <w:tcW w:w="1150"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6"/>
                <w:szCs w:val="16"/>
              </w:rPr>
              <w:t>Cumplimiento</w:t>
            </w:r>
          </w:p>
        </w:tc>
        <w:tc>
          <w:tcPr>
            <w:tcW w:w="1000"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6"/>
                <w:szCs w:val="16"/>
              </w:rPr>
              <w:t>Días operativos</w:t>
            </w:r>
          </w:p>
        </w:tc>
        <w:tc>
          <w:tcPr>
            <w:tcW w:w="1499"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6"/>
                <w:szCs w:val="16"/>
              </w:rPr>
              <w:t>Disponibilidad</w:t>
            </w:r>
          </w:p>
        </w:tc>
      </w:tr>
      <w:tr>
        <w:trPr/>
        <w:tc>
          <w:tcPr>
            <w:tcW w:w="190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6"/>
                <w:szCs w:val="16"/>
              </w:rPr>
              <w:t>RX — Ambulatorio</w:t>
            </w:r>
          </w:p>
        </w:tc>
        <w:tc>
          <w:tcPr>
            <w:tcW w:w="12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right"/>
              <w:rPr/>
            </w:pPr>
            <w:r>
              <w:rPr>
                <w:sz w:val="16"/>
                <w:szCs w:val="16"/>
              </w:rPr>
              <w:t>$29.062.189</w:t>
            </w:r>
          </w:p>
        </w:tc>
        <w:tc>
          <w:tcPr>
            <w:tcW w:w="13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right"/>
              <w:rPr/>
            </w:pPr>
            <w:r>
              <w:rPr>
                <w:sz w:val="16"/>
                <w:szCs w:val="16"/>
              </w:rPr>
              <w:t>$30.051.371</w:t>
            </w:r>
          </w:p>
        </w:tc>
        <w:tc>
          <w:tcPr>
            <w:tcW w:w="125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right"/>
              <w:rPr/>
            </w:pPr>
            <w:r>
              <w:rPr>
                <w:sz w:val="16"/>
                <w:szCs w:val="16"/>
              </w:rPr>
              <w:t>-$989.182</w:t>
            </w:r>
          </w:p>
        </w:tc>
        <w:tc>
          <w:tcPr>
            <w:tcW w:w="11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6"/>
                <w:szCs w:val="16"/>
              </w:rPr>
              <w:t>96,7 %</w:t>
            </w:r>
          </w:p>
        </w:tc>
        <w:tc>
          <w:tcPr>
            <w:tcW w:w="10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6"/>
                <w:szCs w:val="16"/>
              </w:rPr>
              <w:t>73</w:t>
            </w:r>
          </w:p>
        </w:tc>
        <w:tc>
          <w:tcPr>
            <w:tcW w:w="149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6"/>
                <w:szCs w:val="16"/>
              </w:rPr>
              <w:t>79,3 %</w:t>
            </w:r>
          </w:p>
        </w:tc>
      </w:tr>
      <w:tr>
        <w:trPr/>
        <w:tc>
          <w:tcPr>
            <w:tcW w:w="190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6"/>
                <w:szCs w:val="16"/>
              </w:rPr>
              <w:t>RX — Hospitalización</w:t>
            </w:r>
          </w:p>
        </w:tc>
        <w:tc>
          <w:tcPr>
            <w:tcW w:w="12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right"/>
              <w:rPr/>
            </w:pPr>
            <w:r>
              <w:rPr>
                <w:sz w:val="16"/>
                <w:szCs w:val="16"/>
              </w:rPr>
              <w:t>$2.288.405</w:t>
            </w:r>
          </w:p>
        </w:tc>
        <w:tc>
          <w:tcPr>
            <w:tcW w:w="13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right"/>
              <w:rPr/>
            </w:pPr>
            <w:r>
              <w:rPr>
                <w:sz w:val="16"/>
                <w:szCs w:val="16"/>
              </w:rPr>
              <w:t>$2.270.527</w:t>
            </w:r>
          </w:p>
        </w:tc>
        <w:tc>
          <w:tcPr>
            <w:tcW w:w="125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right"/>
              <w:rPr/>
            </w:pPr>
            <w:r>
              <w:rPr>
                <w:sz w:val="16"/>
                <w:szCs w:val="16"/>
              </w:rPr>
              <w:t>+$17.878</w:t>
            </w:r>
          </w:p>
        </w:tc>
        <w:tc>
          <w:tcPr>
            <w:tcW w:w="11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6"/>
                <w:szCs w:val="16"/>
              </w:rPr>
              <w:t>100,8 %</w:t>
            </w:r>
          </w:p>
        </w:tc>
        <w:tc>
          <w:tcPr>
            <w:tcW w:w="10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6"/>
                <w:szCs w:val="16"/>
              </w:rPr>
              <w:t>73</w:t>
            </w:r>
          </w:p>
        </w:tc>
        <w:tc>
          <w:tcPr>
            <w:tcW w:w="149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6"/>
                <w:szCs w:val="16"/>
              </w:rPr>
              <w:t>79,3 %</w:t>
            </w:r>
          </w:p>
        </w:tc>
      </w:tr>
      <w:tr>
        <w:trPr/>
        <w:tc>
          <w:tcPr>
            <w:tcW w:w="190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6"/>
                <w:szCs w:val="16"/>
              </w:rPr>
              <w:t>RX — Urgencias</w:t>
            </w:r>
          </w:p>
        </w:tc>
        <w:tc>
          <w:tcPr>
            <w:tcW w:w="12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right"/>
              <w:rPr/>
            </w:pPr>
            <w:r>
              <w:rPr>
                <w:sz w:val="16"/>
                <w:szCs w:val="16"/>
              </w:rPr>
              <w:t>$9.506.843</w:t>
            </w:r>
          </w:p>
        </w:tc>
        <w:tc>
          <w:tcPr>
            <w:tcW w:w="13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right"/>
              <w:rPr/>
            </w:pPr>
            <w:r>
              <w:rPr>
                <w:sz w:val="16"/>
                <w:szCs w:val="16"/>
              </w:rPr>
              <w:t>$12.709.691</w:t>
            </w:r>
          </w:p>
        </w:tc>
        <w:tc>
          <w:tcPr>
            <w:tcW w:w="125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right"/>
              <w:rPr/>
            </w:pPr>
            <w:r>
              <w:rPr>
                <w:sz w:val="16"/>
                <w:szCs w:val="16"/>
              </w:rPr>
              <w:t>-$3.202.848</w:t>
            </w:r>
          </w:p>
        </w:tc>
        <w:tc>
          <w:tcPr>
            <w:tcW w:w="11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6"/>
                <w:szCs w:val="16"/>
              </w:rPr>
              <w:t>74,8 %</w:t>
            </w:r>
          </w:p>
        </w:tc>
        <w:tc>
          <w:tcPr>
            <w:tcW w:w="10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6"/>
                <w:szCs w:val="16"/>
              </w:rPr>
              <w:t>73</w:t>
            </w:r>
          </w:p>
        </w:tc>
        <w:tc>
          <w:tcPr>
            <w:tcW w:w="149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6"/>
                <w:szCs w:val="16"/>
              </w:rPr>
              <w:t>79,3 %</w:t>
            </w:r>
          </w:p>
        </w:tc>
      </w:tr>
      <w:tr>
        <w:trPr/>
        <w:tc>
          <w:tcPr>
            <w:tcW w:w="1904" w:type="dxa"/>
            <w:tcBorders>
              <w:top w:val="single" w:sz="4" w:space="0" w:color="808080"/>
              <w:left w:val="single" w:sz="4" w:space="0" w:color="808080"/>
              <w:bottom w:val="single" w:sz="4" w:space="0" w:color="808080"/>
              <w:right w:val="single" w:sz="4" w:space="0" w:color="808080"/>
            </w:tcBorders>
            <w:shd w:color="auto" w:fill="F2F2F2" w:val="clear"/>
            <w:vAlign w:val="center"/>
          </w:tcPr>
          <w:p>
            <w:pPr>
              <w:pStyle w:val="Normal"/>
              <w:spacing w:lineRule="auto" w:line="240" w:before="20" w:after="20"/>
              <w:jc w:val="left"/>
              <w:rPr/>
            </w:pPr>
            <w:r>
              <w:rPr>
                <w:b/>
                <w:bCs/>
                <w:sz w:val="16"/>
                <w:szCs w:val="16"/>
              </w:rPr>
              <w:t>Total RX</w:t>
            </w:r>
          </w:p>
        </w:tc>
        <w:tc>
          <w:tcPr>
            <w:tcW w:w="1250" w:type="dxa"/>
            <w:tcBorders>
              <w:top w:val="single" w:sz="4" w:space="0" w:color="808080"/>
              <w:left w:val="single" w:sz="4" w:space="0" w:color="808080"/>
              <w:bottom w:val="single" w:sz="4" w:space="0" w:color="808080"/>
              <w:right w:val="single" w:sz="4" w:space="0" w:color="808080"/>
            </w:tcBorders>
            <w:shd w:color="auto" w:fill="F2F2F2" w:val="clear"/>
            <w:vAlign w:val="center"/>
          </w:tcPr>
          <w:p>
            <w:pPr>
              <w:pStyle w:val="Normal"/>
              <w:spacing w:lineRule="auto" w:line="240" w:before="20" w:after="20"/>
              <w:jc w:val="right"/>
              <w:rPr/>
            </w:pPr>
            <w:r>
              <w:rPr>
                <w:b/>
                <w:bCs/>
                <w:sz w:val="16"/>
                <w:szCs w:val="16"/>
              </w:rPr>
              <w:t>$40.857.437</w:t>
            </w:r>
          </w:p>
        </w:tc>
        <w:tc>
          <w:tcPr>
            <w:tcW w:w="1349" w:type="dxa"/>
            <w:tcBorders>
              <w:top w:val="single" w:sz="4" w:space="0" w:color="808080"/>
              <w:left w:val="single" w:sz="4" w:space="0" w:color="808080"/>
              <w:bottom w:val="single" w:sz="4" w:space="0" w:color="808080"/>
              <w:right w:val="single" w:sz="4" w:space="0" w:color="808080"/>
            </w:tcBorders>
            <w:shd w:color="auto" w:fill="F2F2F2" w:val="clear"/>
            <w:vAlign w:val="center"/>
          </w:tcPr>
          <w:p>
            <w:pPr>
              <w:pStyle w:val="Normal"/>
              <w:spacing w:lineRule="auto" w:line="240" w:before="20" w:after="20"/>
              <w:jc w:val="right"/>
              <w:rPr/>
            </w:pPr>
            <w:r>
              <w:rPr>
                <w:b/>
                <w:bCs/>
                <w:sz w:val="16"/>
                <w:szCs w:val="16"/>
              </w:rPr>
              <w:t>$45.031.589</w:t>
            </w:r>
          </w:p>
        </w:tc>
        <w:tc>
          <w:tcPr>
            <w:tcW w:w="1251" w:type="dxa"/>
            <w:tcBorders>
              <w:top w:val="single" w:sz="4" w:space="0" w:color="808080"/>
              <w:left w:val="single" w:sz="4" w:space="0" w:color="808080"/>
              <w:bottom w:val="single" w:sz="4" w:space="0" w:color="808080"/>
              <w:right w:val="single" w:sz="4" w:space="0" w:color="808080"/>
            </w:tcBorders>
            <w:shd w:color="auto" w:fill="F2F2F2" w:val="clear"/>
            <w:vAlign w:val="center"/>
          </w:tcPr>
          <w:p>
            <w:pPr>
              <w:pStyle w:val="Normal"/>
              <w:spacing w:lineRule="auto" w:line="240" w:before="20" w:after="20"/>
              <w:jc w:val="right"/>
              <w:rPr/>
            </w:pPr>
            <w:r>
              <w:rPr>
                <w:b/>
                <w:bCs/>
                <w:sz w:val="16"/>
                <w:szCs w:val="16"/>
              </w:rPr>
              <w:t>-$4.174.152</w:t>
            </w:r>
          </w:p>
        </w:tc>
        <w:tc>
          <w:tcPr>
            <w:tcW w:w="1150" w:type="dxa"/>
            <w:tcBorders>
              <w:top w:val="single" w:sz="4" w:space="0" w:color="808080"/>
              <w:left w:val="single" w:sz="4" w:space="0" w:color="808080"/>
              <w:bottom w:val="single" w:sz="4" w:space="0" w:color="808080"/>
              <w:right w:val="single" w:sz="4" w:space="0" w:color="808080"/>
            </w:tcBorders>
            <w:shd w:color="auto" w:fill="F2F2F2" w:val="clear"/>
            <w:vAlign w:val="center"/>
          </w:tcPr>
          <w:p>
            <w:pPr>
              <w:pStyle w:val="Normal"/>
              <w:spacing w:lineRule="auto" w:line="240" w:before="20" w:after="20"/>
              <w:jc w:val="center"/>
              <w:rPr/>
            </w:pPr>
            <w:r>
              <w:rPr>
                <w:b/>
                <w:bCs/>
                <w:sz w:val="16"/>
                <w:szCs w:val="16"/>
              </w:rPr>
              <w:t>90,7 %</w:t>
            </w:r>
          </w:p>
        </w:tc>
        <w:tc>
          <w:tcPr>
            <w:tcW w:w="1000" w:type="dxa"/>
            <w:tcBorders>
              <w:top w:val="single" w:sz="4" w:space="0" w:color="808080"/>
              <w:left w:val="single" w:sz="4" w:space="0" w:color="808080"/>
              <w:bottom w:val="single" w:sz="4" w:space="0" w:color="808080"/>
              <w:right w:val="single" w:sz="4" w:space="0" w:color="808080"/>
            </w:tcBorders>
            <w:shd w:color="auto" w:fill="F2F2F2" w:val="clear"/>
            <w:vAlign w:val="center"/>
          </w:tcPr>
          <w:p>
            <w:pPr>
              <w:pStyle w:val="Normal"/>
              <w:spacing w:lineRule="auto" w:line="240" w:before="20" w:after="20"/>
              <w:jc w:val="center"/>
              <w:rPr/>
            </w:pPr>
            <w:r>
              <w:rPr>
                <w:sz w:val="16"/>
                <w:szCs w:val="16"/>
              </w:rPr>
              <w:t>73</w:t>
            </w:r>
          </w:p>
        </w:tc>
        <w:tc>
          <w:tcPr>
            <w:tcW w:w="1499" w:type="dxa"/>
            <w:tcBorders>
              <w:top w:val="single" w:sz="4" w:space="0" w:color="808080"/>
              <w:left w:val="single" w:sz="4" w:space="0" w:color="808080"/>
              <w:bottom w:val="single" w:sz="4" w:space="0" w:color="808080"/>
              <w:right w:val="single" w:sz="4" w:space="0" w:color="808080"/>
            </w:tcBorders>
            <w:shd w:color="auto" w:fill="F2F2F2" w:val="clear"/>
            <w:vAlign w:val="center"/>
          </w:tcPr>
          <w:p>
            <w:pPr>
              <w:pStyle w:val="Normal"/>
              <w:spacing w:lineRule="auto" w:line="240" w:before="20" w:after="20"/>
              <w:jc w:val="center"/>
              <w:rPr/>
            </w:pPr>
            <w:r>
              <w:rPr>
                <w:sz w:val="16"/>
                <w:szCs w:val="16"/>
              </w:rPr>
              <w:t>79,3 %</w:t>
            </w:r>
          </w:p>
        </w:tc>
      </w:tr>
      <w:tr>
        <w:trPr/>
        <w:tc>
          <w:tcPr>
            <w:tcW w:w="190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6"/>
                <w:szCs w:val="16"/>
              </w:rPr>
              <w:t>TC — Ambulatorio</w:t>
            </w:r>
          </w:p>
        </w:tc>
        <w:tc>
          <w:tcPr>
            <w:tcW w:w="12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right"/>
              <w:rPr/>
            </w:pPr>
            <w:r>
              <w:rPr>
                <w:sz w:val="16"/>
                <w:szCs w:val="16"/>
              </w:rPr>
              <w:t>$77.066.587</w:t>
            </w:r>
          </w:p>
        </w:tc>
        <w:tc>
          <w:tcPr>
            <w:tcW w:w="13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right"/>
              <w:rPr/>
            </w:pPr>
            <w:r>
              <w:rPr>
                <w:sz w:val="16"/>
                <w:szCs w:val="16"/>
              </w:rPr>
              <w:t>$79.823.246</w:t>
            </w:r>
          </w:p>
        </w:tc>
        <w:tc>
          <w:tcPr>
            <w:tcW w:w="125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right"/>
              <w:rPr/>
            </w:pPr>
            <w:r>
              <w:rPr>
                <w:sz w:val="16"/>
                <w:szCs w:val="16"/>
              </w:rPr>
              <w:t>-$2.756.659</w:t>
            </w:r>
          </w:p>
        </w:tc>
        <w:tc>
          <w:tcPr>
            <w:tcW w:w="11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6"/>
                <w:szCs w:val="16"/>
              </w:rPr>
              <w:t>96,5 %</w:t>
            </w:r>
          </w:p>
        </w:tc>
        <w:tc>
          <w:tcPr>
            <w:tcW w:w="10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6"/>
                <w:szCs w:val="16"/>
              </w:rPr>
              <w:t>81</w:t>
            </w:r>
          </w:p>
        </w:tc>
        <w:tc>
          <w:tcPr>
            <w:tcW w:w="149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6"/>
                <w:szCs w:val="16"/>
              </w:rPr>
              <w:t>88,0 %</w:t>
            </w:r>
          </w:p>
        </w:tc>
      </w:tr>
      <w:tr>
        <w:trPr/>
        <w:tc>
          <w:tcPr>
            <w:tcW w:w="190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6"/>
                <w:szCs w:val="16"/>
              </w:rPr>
              <w:t>TC — Hospitalización</w:t>
            </w:r>
          </w:p>
        </w:tc>
        <w:tc>
          <w:tcPr>
            <w:tcW w:w="12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right"/>
              <w:rPr/>
            </w:pPr>
            <w:r>
              <w:rPr>
                <w:sz w:val="16"/>
                <w:szCs w:val="16"/>
              </w:rPr>
              <w:t>$5.253.280</w:t>
            </w:r>
          </w:p>
        </w:tc>
        <w:tc>
          <w:tcPr>
            <w:tcW w:w="13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right"/>
              <w:rPr/>
            </w:pPr>
            <w:r>
              <w:rPr>
                <w:sz w:val="16"/>
                <w:szCs w:val="16"/>
              </w:rPr>
              <w:t>$8.806.970</w:t>
            </w:r>
          </w:p>
        </w:tc>
        <w:tc>
          <w:tcPr>
            <w:tcW w:w="125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right"/>
              <w:rPr/>
            </w:pPr>
            <w:r>
              <w:rPr>
                <w:sz w:val="16"/>
                <w:szCs w:val="16"/>
              </w:rPr>
              <w:t>-$3.553.690</w:t>
            </w:r>
          </w:p>
        </w:tc>
        <w:tc>
          <w:tcPr>
            <w:tcW w:w="11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6"/>
                <w:szCs w:val="16"/>
              </w:rPr>
              <w:t>59,6 %</w:t>
            </w:r>
          </w:p>
        </w:tc>
        <w:tc>
          <w:tcPr>
            <w:tcW w:w="10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6"/>
                <w:szCs w:val="16"/>
              </w:rPr>
              <w:t>81</w:t>
            </w:r>
          </w:p>
        </w:tc>
        <w:tc>
          <w:tcPr>
            <w:tcW w:w="149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6"/>
                <w:szCs w:val="16"/>
              </w:rPr>
              <w:t>88,0 %</w:t>
            </w:r>
          </w:p>
        </w:tc>
      </w:tr>
      <w:tr>
        <w:trPr/>
        <w:tc>
          <w:tcPr>
            <w:tcW w:w="1904" w:type="dxa"/>
            <w:tcBorders>
              <w:top w:val="single" w:sz="4" w:space="0" w:color="808080"/>
              <w:left w:val="single" w:sz="4" w:space="0" w:color="808080"/>
              <w:bottom w:val="single" w:sz="4" w:space="0" w:color="808080"/>
              <w:right w:val="single" w:sz="4" w:space="0" w:color="808080"/>
            </w:tcBorders>
            <w:shd w:color="auto" w:fill="F2F2F2" w:val="clear"/>
            <w:vAlign w:val="center"/>
          </w:tcPr>
          <w:p>
            <w:pPr>
              <w:pStyle w:val="Normal"/>
              <w:spacing w:lineRule="auto" w:line="240" w:before="20" w:after="20"/>
              <w:jc w:val="left"/>
              <w:rPr/>
            </w:pPr>
            <w:r>
              <w:rPr>
                <w:b/>
                <w:bCs/>
                <w:sz w:val="16"/>
                <w:szCs w:val="16"/>
              </w:rPr>
              <w:t>Total TC</w:t>
            </w:r>
          </w:p>
        </w:tc>
        <w:tc>
          <w:tcPr>
            <w:tcW w:w="1250" w:type="dxa"/>
            <w:tcBorders>
              <w:top w:val="single" w:sz="4" w:space="0" w:color="808080"/>
              <w:left w:val="single" w:sz="4" w:space="0" w:color="808080"/>
              <w:bottom w:val="single" w:sz="4" w:space="0" w:color="808080"/>
              <w:right w:val="single" w:sz="4" w:space="0" w:color="808080"/>
            </w:tcBorders>
            <w:shd w:color="auto" w:fill="F2F2F2" w:val="clear"/>
            <w:vAlign w:val="center"/>
          </w:tcPr>
          <w:p>
            <w:pPr>
              <w:pStyle w:val="Normal"/>
              <w:spacing w:lineRule="auto" w:line="240" w:before="20" w:after="20"/>
              <w:jc w:val="right"/>
              <w:rPr/>
            </w:pPr>
            <w:r>
              <w:rPr>
                <w:b/>
                <w:bCs/>
                <w:sz w:val="16"/>
                <w:szCs w:val="16"/>
              </w:rPr>
              <w:t>$82.319.867</w:t>
            </w:r>
          </w:p>
        </w:tc>
        <w:tc>
          <w:tcPr>
            <w:tcW w:w="1349" w:type="dxa"/>
            <w:tcBorders>
              <w:top w:val="single" w:sz="4" w:space="0" w:color="808080"/>
              <w:left w:val="single" w:sz="4" w:space="0" w:color="808080"/>
              <w:bottom w:val="single" w:sz="4" w:space="0" w:color="808080"/>
              <w:right w:val="single" w:sz="4" w:space="0" w:color="808080"/>
            </w:tcBorders>
            <w:shd w:color="auto" w:fill="F2F2F2" w:val="clear"/>
            <w:vAlign w:val="center"/>
          </w:tcPr>
          <w:p>
            <w:pPr>
              <w:pStyle w:val="Normal"/>
              <w:spacing w:lineRule="auto" w:line="240" w:before="20" w:after="20"/>
              <w:jc w:val="right"/>
              <w:rPr/>
            </w:pPr>
            <w:r>
              <w:rPr>
                <w:b/>
                <w:bCs/>
                <w:sz w:val="16"/>
                <w:szCs w:val="16"/>
              </w:rPr>
              <w:t>$88.630.216</w:t>
            </w:r>
          </w:p>
        </w:tc>
        <w:tc>
          <w:tcPr>
            <w:tcW w:w="1251" w:type="dxa"/>
            <w:tcBorders>
              <w:top w:val="single" w:sz="4" w:space="0" w:color="808080"/>
              <w:left w:val="single" w:sz="4" w:space="0" w:color="808080"/>
              <w:bottom w:val="single" w:sz="4" w:space="0" w:color="808080"/>
              <w:right w:val="single" w:sz="4" w:space="0" w:color="808080"/>
            </w:tcBorders>
            <w:shd w:color="auto" w:fill="F2F2F2" w:val="clear"/>
            <w:vAlign w:val="center"/>
          </w:tcPr>
          <w:p>
            <w:pPr>
              <w:pStyle w:val="Normal"/>
              <w:spacing w:lineRule="auto" w:line="240" w:before="20" w:after="20"/>
              <w:jc w:val="right"/>
              <w:rPr/>
            </w:pPr>
            <w:r>
              <w:rPr>
                <w:b/>
                <w:bCs/>
                <w:sz w:val="16"/>
                <w:szCs w:val="16"/>
              </w:rPr>
              <w:t>-$6.310.349</w:t>
            </w:r>
          </w:p>
        </w:tc>
        <w:tc>
          <w:tcPr>
            <w:tcW w:w="1150" w:type="dxa"/>
            <w:tcBorders>
              <w:top w:val="single" w:sz="4" w:space="0" w:color="808080"/>
              <w:left w:val="single" w:sz="4" w:space="0" w:color="808080"/>
              <w:bottom w:val="single" w:sz="4" w:space="0" w:color="808080"/>
              <w:right w:val="single" w:sz="4" w:space="0" w:color="808080"/>
            </w:tcBorders>
            <w:shd w:color="auto" w:fill="F2F2F2" w:val="clear"/>
            <w:vAlign w:val="center"/>
          </w:tcPr>
          <w:p>
            <w:pPr>
              <w:pStyle w:val="Normal"/>
              <w:spacing w:lineRule="auto" w:line="240" w:before="20" w:after="20"/>
              <w:jc w:val="center"/>
              <w:rPr/>
            </w:pPr>
            <w:r>
              <w:rPr>
                <w:b/>
                <w:bCs/>
                <w:sz w:val="16"/>
                <w:szCs w:val="16"/>
              </w:rPr>
              <w:t>92,9 %</w:t>
            </w:r>
          </w:p>
        </w:tc>
        <w:tc>
          <w:tcPr>
            <w:tcW w:w="1000" w:type="dxa"/>
            <w:tcBorders>
              <w:top w:val="single" w:sz="4" w:space="0" w:color="808080"/>
              <w:left w:val="single" w:sz="4" w:space="0" w:color="808080"/>
              <w:bottom w:val="single" w:sz="4" w:space="0" w:color="808080"/>
              <w:right w:val="single" w:sz="4" w:space="0" w:color="808080"/>
            </w:tcBorders>
            <w:shd w:color="auto" w:fill="F2F2F2" w:val="clear"/>
            <w:vAlign w:val="center"/>
          </w:tcPr>
          <w:p>
            <w:pPr>
              <w:pStyle w:val="Normal"/>
              <w:spacing w:lineRule="auto" w:line="240" w:before="20" w:after="20"/>
              <w:jc w:val="center"/>
              <w:rPr/>
            </w:pPr>
            <w:r>
              <w:rPr>
                <w:sz w:val="16"/>
                <w:szCs w:val="16"/>
              </w:rPr>
              <w:t>81</w:t>
            </w:r>
          </w:p>
        </w:tc>
        <w:tc>
          <w:tcPr>
            <w:tcW w:w="1499" w:type="dxa"/>
            <w:tcBorders>
              <w:top w:val="single" w:sz="4" w:space="0" w:color="808080"/>
              <w:left w:val="single" w:sz="4" w:space="0" w:color="808080"/>
              <w:bottom w:val="single" w:sz="4" w:space="0" w:color="808080"/>
              <w:right w:val="single" w:sz="4" w:space="0" w:color="808080"/>
            </w:tcBorders>
            <w:shd w:color="auto" w:fill="F2F2F2" w:val="clear"/>
            <w:vAlign w:val="center"/>
          </w:tcPr>
          <w:p>
            <w:pPr>
              <w:pStyle w:val="Normal"/>
              <w:spacing w:lineRule="auto" w:line="240" w:before="20" w:after="20"/>
              <w:jc w:val="center"/>
              <w:rPr/>
            </w:pPr>
            <w:r>
              <w:rPr>
                <w:sz w:val="16"/>
                <w:szCs w:val="16"/>
              </w:rPr>
              <w:t>88,0 %</w:t>
            </w:r>
          </w:p>
        </w:tc>
      </w:tr>
      <w:tr>
        <w:trPr/>
        <w:tc>
          <w:tcPr>
            <w:tcW w:w="1904"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left"/>
              <w:rPr/>
            </w:pPr>
            <w:r>
              <w:rPr>
                <w:b/>
                <w:bCs/>
                <w:sz w:val="16"/>
                <w:szCs w:val="16"/>
              </w:rPr>
              <w:t>TOTAL RX + TC</w:t>
            </w:r>
          </w:p>
        </w:tc>
        <w:tc>
          <w:tcPr>
            <w:tcW w:w="1250"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right"/>
              <w:rPr/>
            </w:pPr>
            <w:r>
              <w:rPr>
                <w:b/>
                <w:bCs/>
                <w:sz w:val="16"/>
                <w:szCs w:val="16"/>
              </w:rPr>
              <w:t>$123.177.304</w:t>
            </w:r>
          </w:p>
        </w:tc>
        <w:tc>
          <w:tcPr>
            <w:tcW w:w="1349"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right"/>
              <w:rPr/>
            </w:pPr>
            <w:r>
              <w:rPr>
                <w:b/>
                <w:bCs/>
                <w:sz w:val="16"/>
                <w:szCs w:val="16"/>
              </w:rPr>
              <w:t>$133.661.805</w:t>
            </w:r>
          </w:p>
        </w:tc>
        <w:tc>
          <w:tcPr>
            <w:tcW w:w="125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right"/>
              <w:rPr/>
            </w:pPr>
            <w:r>
              <w:rPr>
                <w:b/>
                <w:bCs/>
                <w:sz w:val="16"/>
                <w:szCs w:val="16"/>
              </w:rPr>
              <w:t>-$10.484.501</w:t>
            </w:r>
          </w:p>
        </w:tc>
        <w:tc>
          <w:tcPr>
            <w:tcW w:w="1150"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6"/>
                <w:szCs w:val="16"/>
              </w:rPr>
              <w:t>92,2 %</w:t>
            </w:r>
          </w:p>
        </w:tc>
        <w:tc>
          <w:tcPr>
            <w:tcW w:w="1000"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sz w:val="16"/>
                <w:szCs w:val="16"/>
              </w:rPr>
              <w:t>—</w:t>
            </w:r>
          </w:p>
        </w:tc>
        <w:tc>
          <w:tcPr>
            <w:tcW w:w="1499"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sz w:val="16"/>
                <w:szCs w:val="16"/>
              </w:rPr>
              <w:t>—</w:t>
            </w:r>
          </w:p>
        </w:tc>
      </w:tr>
    </w:tbl>
    <w:p>
      <w:pPr>
        <w:pStyle w:val="Normal"/>
        <w:spacing w:lineRule="auto" w:line="240" w:before="60" w:after="200"/>
        <w:jc w:val="center"/>
        <w:rPr/>
      </w:pPr>
      <w:r>
        <w:rPr>
          <w:i/>
          <w:iCs/>
          <w:sz w:val="18"/>
          <w:szCs w:val="18"/>
        </w:rPr>
        <w:t>Tabla 3. Ingresos reales versus presupuestados de RX y TC en Q1. Fuente: Elaboración propia a partir de reportes de actividad del centro de salud.</w:t>
      </w:r>
    </w:p>
    <w:p>
      <w:pPr>
        <w:pStyle w:val="Normal"/>
        <w:jc w:val="both"/>
        <w:rPr/>
      </w:pPr>
      <w:r>
        <w:rPr/>
        <w:t>Durante Q1 se observa una desviación de $10.484.501 entre los ingresos reales y presupuestados de los equipos RX y TC, con un cumplimiento global de 92,2 %. Las mayores desviaciones relativas se concentran en RX — Urgencias (74,8 %) y TC — Hospitalización (59,6 %). En esta etapa, dicha diferencia se considera un antecedente para el diagnóstico y no una pérdida atribuible exclusivamente a la indisponibilidad por mantenimiento, ya que deberá analizarse la incidencia de otras variables operacionales que también pueden explicar la desviación.</w:t>
      </w:r>
    </w:p>
    <w:p>
      <w:pPr>
        <w:pStyle w:val="Heading3"/>
        <w:rPr/>
      </w:pPr>
      <w:bookmarkStart w:id="7" w:name="__RefHeading___Toc2771_1992497069"/>
      <w:bookmarkEnd w:id="7"/>
      <w:r>
        <w:rPr/>
        <w:t>1.2.4. Validación del análisis causal</w:t>
      </w:r>
    </w:p>
    <w:p>
      <w:pPr>
        <w:pStyle w:val="Normal"/>
        <w:jc w:val="both"/>
        <w:rPr/>
      </w:pPr>
      <w:r>
        <w:rPr/>
        <w:t>Los antecedentes anteriores permiten plantear hipótesis sobre las causas de la indisponibilidad, pero no constituyen evidencia suficiente para confirmarlas. Por ello, el análisis causal será validado durante el diagnóstico mediante herramientas específicas: clasificación de cada evento de indisponibilidad según su origen (mantenimiento, demanda, programación, personal u otras condiciones operacionales), diagrama de Ishikawa, análisis de Pareto y técnica de los cinco porqués, cuyos resultados serán contrastados con los registros disponibles y con las entrevistas a los actores del proceso (ver sección 3.3.1).</w:t>
      </w:r>
    </w:p>
    <w:p>
      <w:pPr>
        <w:pStyle w:val="Heading2"/>
        <w:rPr/>
      </w:pPr>
      <w:bookmarkStart w:id="8" w:name="__RefHeading___Toc2773_1992497069"/>
      <w:bookmarkEnd w:id="8"/>
      <w:r>
        <w:rPr/>
        <w:t>1.3. Formulación del problema</w:t>
      </w:r>
    </w:p>
    <w:p>
      <w:pPr>
        <w:pStyle w:val="Normal"/>
        <w:jc w:val="both"/>
        <w:rPr/>
      </w:pPr>
      <w:r>
        <w:rPr/>
        <w:t>Los antecedentes disponibles evidencian diferencias en la disponibilidad operacional de los equipos críticos de imagenología y en el cumplimiento de los niveles de actividad presupuestados. Sin embargo, resulta necesario determinar las causas que explican estas diferencias y establecer en qué medida se encuentran asociadas a la gestión del mantenimiento. A partir de lo anterior, se plantea la siguiente pregunta de investigación:</w:t>
      </w:r>
    </w:p>
    <w:p>
      <w:pPr>
        <w:pStyle w:val="Normal"/>
        <w:ind w:left="567" w:right="567"/>
        <w:jc w:val="both"/>
        <w:rPr/>
      </w:pPr>
      <w:r>
        <w:rPr>
          <w:b/>
          <w:bCs/>
        </w:rPr>
        <w:t>¿Cómo mejorar la gestión del mantenimiento de los equipos críticos de imagenología (RM, TC y RX) de un centro de salud de alta complejidad para aumentar su disponibilidad técnica?</w:t>
      </w:r>
    </w:p>
    <w:p>
      <w:pPr>
        <w:pStyle w:val="Normal"/>
        <w:jc w:val="both"/>
        <w:rPr/>
      </w:pPr>
      <w:r>
        <w:rPr/>
        <w:t>Para abordar esta pregunta, se plantean las siguientes preguntas específicas, cada una asociada a un objetivo específico:</w:t>
      </w:r>
    </w:p>
    <w:p>
      <w:pPr>
        <w:pStyle w:val="ListParagraph"/>
        <w:numPr>
          <w:ilvl w:val="0"/>
          <w:numId w:val="8"/>
        </w:numPr>
        <w:jc w:val="both"/>
        <w:rPr/>
      </w:pPr>
      <w:r>
        <w:rPr/>
        <w:t>¿Cuál es la situación actual de la gestión del mantenimiento de los equipos críticos y cuáles son sus principales brechas? (OE1)</w:t>
      </w:r>
    </w:p>
    <w:p>
      <w:pPr>
        <w:pStyle w:val="ListParagraph"/>
        <w:numPr>
          <w:ilvl w:val="0"/>
          <w:numId w:val="2"/>
        </w:numPr>
        <w:jc w:val="both"/>
        <w:rPr/>
      </w:pPr>
      <w:r>
        <w:rPr/>
        <w:t>¿Qué alternativa de solución responde de mejor forma a las brechas identificadas? (OE2)</w:t>
      </w:r>
    </w:p>
    <w:p>
      <w:pPr>
        <w:pStyle w:val="ListParagraph"/>
        <w:numPr>
          <w:ilvl w:val="0"/>
          <w:numId w:val="2"/>
        </w:numPr>
        <w:jc w:val="both"/>
        <w:rPr/>
      </w:pPr>
      <w:r>
        <w:rPr/>
        <w:t>¿Qué procesos, recursos y requerimientos necesita la alternativa seleccionada para operar? (OE3)</w:t>
      </w:r>
    </w:p>
    <w:p>
      <w:pPr>
        <w:pStyle w:val="ListParagraph"/>
        <w:numPr>
          <w:ilvl w:val="0"/>
          <w:numId w:val="2"/>
        </w:numPr>
        <w:jc w:val="both"/>
        <w:rPr/>
      </w:pPr>
      <w:r>
        <w:rPr/>
        <w:t>¿Es la alternativa seleccionada factible desde el punto de vista técnico, operacional y económico? (OE4)</w:t>
      </w:r>
    </w:p>
    <w:p>
      <w:pPr>
        <w:pStyle w:val="ListParagraph"/>
        <w:numPr>
          <w:ilvl w:val="0"/>
          <w:numId w:val="2"/>
        </w:numPr>
        <w:jc w:val="both"/>
        <w:rPr/>
      </w:pPr>
      <w:r>
        <w:rPr/>
        <w:t>¿Cómo debe implementarse y controlarse la alternativa seleccionada? (OE5)</w:t>
      </w:r>
    </w:p>
    <w:p>
      <w:pPr>
        <w:pStyle w:val="Heading2"/>
        <w:rPr/>
      </w:pPr>
      <w:bookmarkStart w:id="9" w:name="__RefHeading___Toc2775_1992497069"/>
      <w:bookmarkEnd w:id="9"/>
      <w:r>
        <w:rPr/>
        <w:t>1.4. Objetivos de la investigación</w:t>
      </w:r>
    </w:p>
    <w:p>
      <w:pPr>
        <w:pStyle w:val="Heading3"/>
        <w:rPr/>
      </w:pPr>
      <w:bookmarkStart w:id="10" w:name="__RefHeading___Toc2777_1992497069"/>
      <w:bookmarkEnd w:id="10"/>
      <w:r>
        <w:rPr/>
        <w:t>1.4.1. Objetivo general</w:t>
      </w:r>
    </w:p>
    <w:p>
      <w:pPr>
        <w:pStyle w:val="Normal"/>
        <w:jc w:val="both"/>
        <w:rPr/>
      </w:pPr>
      <w:r>
        <w:rPr/>
        <w:t>Diseñar y evaluar una propuesta de mejora para la gestión del mantenimiento de los equipos críticos de imagenología (RM, TC y RX) de un centro de salud de alta complejidad, que sea técnica, operacional y económicamente factible.</w:t>
      </w:r>
    </w:p>
    <w:p>
      <w:pPr>
        <w:pStyle w:val="Heading3"/>
        <w:rPr/>
      </w:pPr>
      <w:bookmarkStart w:id="11" w:name="__RefHeading___Toc2779_1992497069"/>
      <w:bookmarkEnd w:id="11"/>
      <w:r>
        <w:rPr/>
        <w:t>1.4.2. Objetivos específicos</w:t>
      </w:r>
    </w:p>
    <w:p>
      <w:pPr>
        <w:pStyle w:val="Normal"/>
        <w:jc w:val="both"/>
        <w:rPr/>
      </w:pPr>
      <w:r>
        <w:rPr>
          <w:b/>
          <w:bCs/>
        </w:rPr>
        <w:t>OE1.</w:t>
      </w:r>
      <w:r>
        <w:rPr/>
        <w:t xml:space="preserve"> Diagnosticar la situación actual de la gestión del mantenimiento de los equipos críticos de imagenología, identificando las principales brechas, restricciones y factores que afectan su desempeño operacional.</w:t>
      </w:r>
    </w:p>
    <w:p>
      <w:pPr>
        <w:pStyle w:val="Normal"/>
        <w:jc w:val="both"/>
        <w:rPr/>
      </w:pPr>
      <w:r>
        <w:rPr>
          <w:b/>
          <w:bCs/>
        </w:rPr>
        <w:t>OE2.</w:t>
      </w:r>
      <w:r>
        <w:rPr/>
        <w:t xml:space="preserve"> Seleccionar, entre tres alternativas de solución, aquella que responda de mejor forma a las brechas identificadas en la gestión del mantenimiento.</w:t>
      </w:r>
    </w:p>
    <w:p>
      <w:pPr>
        <w:pStyle w:val="Normal"/>
        <w:jc w:val="both"/>
        <w:rPr/>
      </w:pPr>
      <w:r>
        <w:rPr>
          <w:b/>
          <w:bCs/>
        </w:rPr>
        <w:t>OE3.</w:t>
      </w:r>
      <w:r>
        <w:rPr/>
        <w:t xml:space="preserve"> Diseñar la alternativa de solución seleccionada, definiendo los procesos, recursos, herramientas de gestión y requerimientos necesarios para su correcta operación.</w:t>
      </w:r>
    </w:p>
    <w:p>
      <w:pPr>
        <w:pStyle w:val="Normal"/>
        <w:jc w:val="both"/>
        <w:rPr/>
      </w:pPr>
      <w:r>
        <w:rPr>
          <w:b/>
          <w:bCs/>
        </w:rPr>
        <w:t>OE4.</w:t>
      </w:r>
      <w:r>
        <w:rPr/>
        <w:t xml:space="preserve"> Evaluar técnica y económicamente la alternativa seleccionada, determinando su factibilidad operacional, financiera y de implementación.</w:t>
      </w:r>
    </w:p>
    <w:p>
      <w:pPr>
        <w:pStyle w:val="Normal"/>
        <w:jc w:val="both"/>
        <w:rPr/>
      </w:pPr>
      <w:r>
        <w:rPr>
          <w:b/>
          <w:bCs/>
        </w:rPr>
        <w:t>OE5.</w:t>
      </w:r>
      <w:r>
        <w:rPr/>
        <w:t xml:space="preserve"> Elaborar un plan de implementación de la alternativa seleccionada que permita su puesta en marcha y seguimiento.</w:t>
      </w:r>
    </w:p>
    <w:p>
      <w:pPr>
        <w:pStyle w:val="Heading2"/>
        <w:rPr/>
      </w:pPr>
      <w:bookmarkStart w:id="12" w:name="__RefHeading___Toc2781_1992497069"/>
      <w:bookmarkEnd w:id="12"/>
      <w:r>
        <w:rPr/>
        <w:t>1.5. Justificación y propósito del proyecto</w:t>
      </w:r>
    </w:p>
    <w:p>
      <w:pPr>
        <w:pStyle w:val="Normal"/>
        <w:jc w:val="both"/>
        <w:rPr/>
      </w:pPr>
      <w:r>
        <w:rPr/>
        <w:t>El proyecto se justifica desde tres perspectivas complementarias:</w:t>
      </w:r>
    </w:p>
    <w:p>
      <w:pPr>
        <w:pStyle w:val="ListParagraph"/>
        <w:numPr>
          <w:ilvl w:val="0"/>
          <w:numId w:val="9"/>
        </w:numPr>
        <w:jc w:val="both"/>
        <w:rPr/>
      </w:pPr>
      <w:r>
        <w:rPr>
          <w:b/>
          <w:bCs/>
        </w:rPr>
        <w:t>Operacional:</w:t>
      </w:r>
      <w:r>
        <w:rPr/>
        <w:t xml:space="preserve"> la disponibilidad de los equipos de RX, TC y RM condiciona la capacidad productiva del servicio. En Q1, el equipo de RX estuvo 19 días fuera de servicio y el cumplimiento de exámenes de Urgencias alcanzó 73,6 %. Una gestión del mantenimiento basada en información permite planificar intervenciones, reducir tiempos de respuesta y mejorar la continuidad operacional.</w:t>
      </w:r>
    </w:p>
    <w:p>
      <w:pPr>
        <w:pStyle w:val="ListParagraph"/>
        <w:numPr>
          <w:ilvl w:val="0"/>
          <w:numId w:val="3"/>
        </w:numPr>
        <w:jc w:val="both"/>
        <w:rPr/>
      </w:pPr>
      <w:r>
        <w:rPr>
          <w:b/>
          <w:bCs/>
        </w:rPr>
        <w:t>Clínica:</w:t>
      </w:r>
      <w:r>
        <w:rPr/>
        <w:t xml:space="preserve"> los exámenes de imagenología son insumos críticos para el diagnóstico y tratamiento. Su postergación afecta la oportunidad de la atención, especialmente en pacientes de Urgencia y Hospitalización, lo que se relaciona con el derecho a una atención oportuna y segura (Ley N° 20.584) y con las exigencias de acreditación en el ámbito de equipamiento (Superintendencia de Salud, 2013).</w:t>
      </w:r>
    </w:p>
    <w:p>
      <w:pPr>
        <w:pStyle w:val="ListParagraph"/>
        <w:numPr>
          <w:ilvl w:val="0"/>
          <w:numId w:val="3"/>
        </w:numPr>
        <w:jc w:val="both"/>
        <w:rPr/>
      </w:pPr>
      <w:r>
        <w:rPr>
          <w:b/>
          <w:bCs/>
        </w:rPr>
        <w:t>Económica:</w:t>
      </w:r>
      <w:r>
        <w:rPr/>
        <w:t xml:space="preserve"> durante Q1 se registró una desviación de $10.484.501 respecto de los ingresos presupuestados de RX y TC. Cuantificar la porción de esta desviación atribuible al mantenimiento permitirá estimar el beneficio potencial de una mejora y decidir sobre bases objetivas.</w:t>
      </w:r>
    </w:p>
    <w:p>
      <w:pPr>
        <w:pStyle w:val="Normal"/>
        <w:jc w:val="both"/>
        <w:rPr/>
      </w:pPr>
      <w:r>
        <w:rPr/>
        <w:t>En consecuencia, el propósito del proyecto es contribuir al fortalecimiento de la gestión del mantenimiento de los equipos críticos del Servicio de Imagenología mediante un diagnóstico sustentado en información técnica, operacional y económica. A partir de las brechas efectivamente demostradas se formularán y compararán alternativas de mejora, sin establecer anticipadamente la naturaleza de la solución, con el fin de entregar información objetiva para la toma de decisiones sobre mantenimiento, uso de recursos, gestión de proveedores y continuidad operacional.</w:t>
      </w:r>
    </w:p>
    <w:p>
      <w:pPr>
        <w:pStyle w:val="Heading2"/>
        <w:rPr/>
      </w:pPr>
      <w:bookmarkStart w:id="13" w:name="__RefHeading___Toc2783_1992497069"/>
      <w:bookmarkEnd w:id="13"/>
      <w:r>
        <w:rPr/>
        <w:t>1.6. Alcance y limitaciones</w:t>
      </w:r>
    </w:p>
    <w:p>
      <w:pPr>
        <w:pStyle w:val="Heading3"/>
        <w:rPr/>
      </w:pPr>
      <w:bookmarkStart w:id="14" w:name="__RefHeading___Toc2785_1992497069"/>
      <w:bookmarkEnd w:id="14"/>
      <w:r>
        <w:rPr/>
        <w:t>1.6.1. Alcance del proyecto</w:t>
      </w:r>
    </w:p>
    <w:p>
      <w:pPr>
        <w:pStyle w:val="Normal"/>
        <w:jc w:val="both"/>
        <w:rPr/>
      </w:pPr>
      <w:r>
        <w:rPr/>
        <w:t>El proyecto comprende:</w:t>
      </w:r>
    </w:p>
    <w:p>
      <w:pPr>
        <w:pStyle w:val="ListParagraph"/>
        <w:numPr>
          <w:ilvl w:val="0"/>
          <w:numId w:val="10"/>
        </w:numPr>
        <w:jc w:val="both"/>
        <w:rPr/>
      </w:pPr>
      <w:r>
        <w:rPr/>
        <w:t>El diagnóstico operacional y financiero de la gestión del mantenimiento de los tres equipos (RM, TC y RX), identificando las brechas respecto de una situación objetivo.</w:t>
      </w:r>
    </w:p>
    <w:p>
      <w:pPr>
        <w:pStyle w:val="ListParagraph"/>
        <w:numPr>
          <w:ilvl w:val="0"/>
          <w:numId w:val="4"/>
        </w:numPr>
        <w:jc w:val="both"/>
        <w:rPr/>
      </w:pPr>
      <w:r>
        <w:rPr/>
        <w:t>La formulación de tres alternativas de solución y su evaluación mediante criterios ponderados.</w:t>
      </w:r>
    </w:p>
    <w:p>
      <w:pPr>
        <w:pStyle w:val="ListParagraph"/>
        <w:numPr>
          <w:ilvl w:val="0"/>
          <w:numId w:val="4"/>
        </w:numPr>
        <w:jc w:val="both"/>
        <w:rPr/>
      </w:pPr>
      <w:r>
        <w:rPr/>
        <w:t>El diseño técnico y operacional de la alternativa seleccionada. Sus componentes específicos se definirán de acuerdo con la naturaleza de la solución elegida, sin establecer anticipadamente pautas, niveles de inventario, herramientas tecnológicas u otros elementos propios de una alternativa determinada.</w:t>
      </w:r>
    </w:p>
    <w:p>
      <w:pPr>
        <w:pStyle w:val="ListParagraph"/>
        <w:numPr>
          <w:ilvl w:val="0"/>
          <w:numId w:val="4"/>
        </w:numPr>
        <w:jc w:val="both"/>
        <w:rPr/>
      </w:pPr>
      <w:r>
        <w:rPr/>
        <w:t>La evaluación económica de la alternativa seleccionada, que considera inversión inicial, costos de operación, beneficios, flujo de caja e indicadores de rentabilidad (VAN, TIR y período de recuperación).</w:t>
      </w:r>
    </w:p>
    <w:p>
      <w:pPr>
        <w:pStyle w:val="ListParagraph"/>
        <w:numPr>
          <w:ilvl w:val="0"/>
          <w:numId w:val="4"/>
        </w:numPr>
        <w:jc w:val="both"/>
        <w:rPr/>
      </w:pPr>
      <w:r>
        <w:rPr/>
        <w:t>La elaboración de un plan de implementación con cronograma, hitos, responsables y mecanismos de seguimiento mediante indicadores.</w:t>
      </w:r>
    </w:p>
    <w:p>
      <w:pPr>
        <w:pStyle w:val="Heading3"/>
        <w:rPr/>
      </w:pPr>
      <w:bookmarkStart w:id="15" w:name="__RefHeading___Toc2787_1992497069"/>
      <w:bookmarkEnd w:id="15"/>
      <w:r>
        <w:rPr/>
        <w:t>1.6.2. Delimitaciones</w:t>
      </w:r>
    </w:p>
    <w:p>
      <w:pPr>
        <w:pStyle w:val="Normal"/>
        <w:jc w:val="both"/>
        <w:rPr/>
      </w:pPr>
      <w:r>
        <w:rPr/>
        <w:t>El estudio se circunscribe al Servicio de Imagenología del centro de salud de alta complejidad descrito. El análisis se limita a tres activos físicos: el resonador magnético (RM), el tomógrafo computarizado (TC) y el equipo de rayos X (RX). En cuanto a la temática, se enfoca en la gestión del mantenimiento preventivo y correctivo, la relación con proveedores externos, la gestión de repuestos y el control de indicadores de confiabilidad para la toma de decisiones.</w:t>
      </w:r>
    </w:p>
    <w:p>
      <w:pPr>
        <w:pStyle w:val="Heading3"/>
        <w:rPr/>
      </w:pPr>
      <w:bookmarkStart w:id="16" w:name="__RefHeading___Toc2789_1992497069"/>
      <w:bookmarkEnd w:id="16"/>
      <w:r>
        <w:rPr/>
        <w:t>1.6.3. Exclusiones</w:t>
      </w:r>
    </w:p>
    <w:p>
      <w:pPr>
        <w:pStyle w:val="Normal"/>
        <w:jc w:val="both"/>
        <w:rPr/>
      </w:pPr>
      <w:r>
        <w:rPr/>
        <w:t>El proyecto se desarrolla en el ámbito académico. Por lo tanto, quedan fuera de su alcance:</w:t>
      </w:r>
    </w:p>
    <w:p>
      <w:pPr>
        <w:pStyle w:val="ListParagraph"/>
        <w:numPr>
          <w:ilvl w:val="0"/>
          <w:numId w:val="3"/>
        </w:numPr>
        <w:jc w:val="both"/>
        <w:rPr/>
      </w:pPr>
      <w:r>
        <w:rPr/>
        <w:t>La implementación o puesta en marcha de la alternativa seleccionada en las instalaciones del centro de salud.</w:t>
      </w:r>
    </w:p>
    <w:p>
      <w:pPr>
        <w:pStyle w:val="ListParagraph"/>
        <w:numPr>
          <w:ilvl w:val="0"/>
          <w:numId w:val="3"/>
        </w:numPr>
        <w:jc w:val="both"/>
        <w:rPr/>
      </w:pPr>
      <w:r>
        <w:rPr/>
        <w:t>La adquisición de licencias de software, repuestos o herramientas, y la contratación de proveedores.</w:t>
      </w:r>
    </w:p>
    <w:p>
      <w:pPr>
        <w:pStyle w:val="ListParagraph"/>
        <w:numPr>
          <w:ilvl w:val="0"/>
          <w:numId w:val="3"/>
        </w:numPr>
        <w:jc w:val="both"/>
        <w:rPr/>
      </w:pPr>
      <w:r>
        <w:rPr/>
        <w:t>La ejecución de intervenciones físicas, calibraciones o reparaciones sobre los equipos.</w:t>
      </w:r>
    </w:p>
    <w:p>
      <w:pPr>
        <w:pStyle w:val="ListParagraph"/>
        <w:numPr>
          <w:ilvl w:val="0"/>
          <w:numId w:val="3"/>
        </w:numPr>
        <w:jc w:val="both"/>
        <w:rPr/>
      </w:pPr>
      <w:r>
        <w:rPr/>
        <w:t>La capacitación o contratación de personal y la medición de resultados posteriores a la implementación.</w:t>
      </w:r>
    </w:p>
    <w:p>
      <w:pPr>
        <w:pStyle w:val="Heading3"/>
        <w:rPr/>
      </w:pPr>
      <w:bookmarkStart w:id="17" w:name="__RefHeading___Toc2791_1992497069"/>
      <w:bookmarkEnd w:id="17"/>
      <w:r>
        <w:rPr/>
        <w:t>1.6.4. Limitaciones</w:t>
      </w:r>
    </w:p>
    <w:p>
      <w:pPr>
        <w:pStyle w:val="ListParagraph"/>
        <w:numPr>
          <w:ilvl w:val="0"/>
          <w:numId w:val="11"/>
        </w:numPr>
        <w:jc w:val="both"/>
        <w:rPr/>
      </w:pPr>
      <w:r>
        <w:rPr>
          <w:b/>
          <w:bCs/>
        </w:rPr>
        <w:t>Restricción temporal:</w:t>
      </w:r>
      <w:r>
        <w:rPr/>
        <w:t xml:space="preserve"> el diagnóstico, el diseño y la evaluación económica deben completarse dentro del plazo de la asignatura (16 semanas).</w:t>
      </w:r>
    </w:p>
    <w:p>
      <w:pPr>
        <w:pStyle w:val="ListParagraph"/>
        <w:numPr>
          <w:ilvl w:val="0"/>
          <w:numId w:val="5"/>
        </w:numPr>
        <w:jc w:val="both"/>
        <w:rPr/>
      </w:pPr>
      <w:r>
        <w:rPr>
          <w:b/>
          <w:bCs/>
        </w:rPr>
        <w:t>Acceso a registros históricos:</w:t>
      </w:r>
      <w:r>
        <w:rPr/>
        <w:t xml:space="preserve"> debido a que la organización no cuenta con indicadores de mantenimiento formalizados, el diagnóstico se apoyará en los registros disponibles y, cuando estos sean insuficientes, en supuestos técnicos basados en manuales, fichas técnicas y estándares de los fabricantes, los que serán declarados explícitamente.</w:t>
      </w:r>
    </w:p>
    <w:p>
      <w:pPr>
        <w:pStyle w:val="ListParagraph"/>
        <w:numPr>
          <w:ilvl w:val="0"/>
          <w:numId w:val="5"/>
        </w:numPr>
        <w:jc w:val="both"/>
        <w:rPr/>
      </w:pPr>
      <w:r>
        <w:rPr>
          <w:b/>
          <w:bCs/>
        </w:rPr>
        <w:t>Confidencialidad de los fabricantes:</w:t>
      </w:r>
      <w:r>
        <w:rPr/>
        <w:t xml:space="preserve"> los manuales de servicio y diagramas técnicos de los fabricantes son de acceso restringido, por lo que el estudio se limitará a la información contenida en los manuales de usuario y de operación disponibles.</w:t>
      </w:r>
    </w:p>
    <w:p>
      <w:pPr>
        <w:pStyle w:val="Normal"/>
        <w:rPr/>
      </w:pPr>
      <w:r>
        <w:rPr/>
      </w:r>
      <w:r>
        <w:br w:type="page"/>
      </w:r>
    </w:p>
    <w:p>
      <w:pPr>
        <w:pStyle w:val="Heading1"/>
        <w:spacing w:before="0" w:after="160"/>
        <w:rPr/>
      </w:pPr>
      <w:bookmarkStart w:id="18" w:name="__RefHeading___Toc2793_1992497069"/>
      <w:bookmarkEnd w:id="18"/>
      <w:r>
        <w:rPr/>
        <w:t>CAPÍTULO II: MARCO REFERENCIAL</w:t>
      </w:r>
    </w:p>
    <w:p>
      <w:pPr>
        <w:pStyle w:val="Heading2"/>
        <w:rPr/>
      </w:pPr>
      <w:bookmarkStart w:id="19" w:name="__RefHeading___Toc2795_1992497069"/>
      <w:bookmarkEnd w:id="19"/>
      <w:r>
        <w:rPr/>
        <w:t>2.1. Reseña histórica</w:t>
      </w:r>
    </w:p>
    <w:p>
      <w:pPr>
        <w:pStyle w:val="Heading3"/>
        <w:rPr/>
      </w:pPr>
      <w:bookmarkStart w:id="20" w:name="__RefHeading___Toc2797_1992497069"/>
      <w:bookmarkEnd w:id="20"/>
      <w:r>
        <w:rPr/>
        <w:t>2.1.1. Evolución de la imagenología diagnóstica</w:t>
      </w:r>
    </w:p>
    <w:p>
      <w:pPr>
        <w:pStyle w:val="Normal"/>
        <w:jc w:val="both"/>
        <w:rPr/>
      </w:pPr>
      <w:r>
        <w:rPr/>
        <w:t>La imagenología médica se originó en 1895, cuando Wilhelm Conrad Röntgen descubrió los rayos X y obtuvo la primera radiografía, hallazgo que le valió el primer Premio Nobel de Física en 1901. Durante la primera mitad del siglo XX la radiología convencional se consolidó como la principal herramienta de diagnóstico por imagen.</w:t>
      </w:r>
    </w:p>
    <w:p>
      <w:pPr>
        <w:pStyle w:val="Normal"/>
        <w:jc w:val="both"/>
        <w:rPr/>
      </w:pPr>
      <w:r>
        <w:rPr/>
        <w:t>En 1971 se realizó el primer examen clínico con un tomógrafo computarizado, desarrollado por Godfrey Hounsfield a partir de los fundamentos matemáticos propuestos por Allan Cormack; ambos recibieron el Premio Nobel de Medicina en 1979 (Hounsfield, 1973). Posteriormente, Paul Lauterbur (1973) y Peter Mansfield desarrollaron los principios de la formación de imágenes mediante resonancia magnética, tecnología que se incorporó a la práctica clínica a comienzos de la década de 1980 y por la cual ambos fueron galardonados con el Premio Nobel de Medicina en 2003.</w:t>
      </w:r>
    </w:p>
    <w:p>
      <w:pPr>
        <w:pStyle w:val="Normal"/>
        <w:jc w:val="both"/>
        <w:rPr/>
      </w:pPr>
      <w:r>
        <w:rPr/>
        <w:t>La creciente complejidad de estos equipos, que integran sistemas de alta tensión, imanes superconductores, sistemas de refrigeración criogénica y componentes informáticos, incrementó su costo de adquisición y de operación, y convirtió su mantenimiento en una actividad especializada que exige personal capacitado, repuestos específicos y apoyo de los fabricantes.</w:t>
      </w:r>
    </w:p>
    <w:p>
      <w:pPr>
        <w:pStyle w:val="Heading3"/>
        <w:rPr/>
      </w:pPr>
      <w:bookmarkStart w:id="21" w:name="__RefHeading___Toc2799_1992497069"/>
      <w:bookmarkEnd w:id="21"/>
      <w:r>
        <w:rPr/>
        <w:t>2.1.2. Evolución de la gestión del mantenimiento de equipos médicos</w:t>
      </w:r>
    </w:p>
    <w:p>
      <w:pPr>
        <w:pStyle w:val="Normal"/>
        <w:jc w:val="both"/>
        <w:rPr/>
      </w:pPr>
      <w:r>
        <w:rPr/>
        <w:t>La ingeniería clínica surgió como disciplina en la década de 1970, impulsada por la preocupación por la seguridad eléctrica de los pacientes y por el aumento de la tecnología en los hospitales (Dyro, 2004). En 1989, Fennigkoh y Smith propusieron un modelo para incluir los equipos en los programas de mantenimiento según su función, riesgo físico y requerimientos de mantenimiento, enfoque que fue posteriormente perfeccionado por Ridgeway (2001) y Wang y Levenson (2000), quienes orientaron el mantenimiento hacia la sensibilidad a fallas y la evidencia.</w:t>
      </w:r>
    </w:p>
    <w:p>
      <w:pPr>
        <w:pStyle w:val="Normal"/>
        <w:jc w:val="both"/>
        <w:rPr/>
      </w:pPr>
      <w:r>
        <w:rPr/>
        <w:t>A partir de 2011, la Organización Mundial de la Salud publicó una serie de documentos técnicos sobre dispositivos médicos que establecen lineamientos para los programas de mantenimiento y los sistemas computarizados de gestión del mantenimiento (OMS, 2012a, 2012b). En paralelo, la norma ISO 55001 (ISO, 2014) introdujo un enfoque de gestión de activos orientado a obtener valor de ellos durante todo su ciclo de vida.</w:t>
      </w:r>
    </w:p>
    <w:p>
      <w:pPr>
        <w:pStyle w:val="Normal"/>
        <w:jc w:val="both"/>
        <w:rPr/>
      </w:pPr>
      <w:r>
        <w:rPr/>
        <w:t>En Chile, el Sistema de Acreditación de Prestadores Institucionales de Salud, regulado por el Decreto Supremo N° 15 de 2007, incorporó el ámbito de Equipamiento, que exige a los prestadores contar con un programa de mantenimiento preventivo para sus equipos críticos (Superintendencia de Salud, 2013). La acreditación pasó a ser exigible para los prestadores que otorgan Garantías Explícitas en Salud (GES) a partir de la entrada en vigencia de la garantía de calidad establecida en la Ley N° 19.966.</w:t>
      </w:r>
    </w:p>
    <w:p>
      <w:pPr>
        <w:pStyle w:val="Heading3"/>
        <w:rPr/>
      </w:pPr>
      <w:bookmarkStart w:id="22" w:name="__RefHeading___Toc2801_1992497069"/>
      <w:bookmarkEnd w:id="22"/>
      <w:r>
        <w:rPr/>
        <w:t>2.1.3. Reseña de la organización y del Servicio de Imagenología</w:t>
      </w:r>
    </w:p>
    <w:p>
      <w:pPr>
        <w:pStyle w:val="Normal"/>
        <w:jc w:val="both"/>
        <w:rPr/>
      </w:pPr>
      <w:r>
        <w:rPr>
          <w:i/>
          <w:iCs/>
          <w:color w:val="555555"/>
        </w:rPr>
        <w:t>Por razones de confidencialidad, en este documento no se identifica el nombre de la institución. Los campos destacados en amarillo deben ser completados por el grupo con información verificada de la organización.</w:t>
      </w:r>
    </w:p>
    <w:p>
      <w:pPr>
        <w:pStyle w:val="Normal"/>
        <w:jc w:val="both"/>
        <w:rPr/>
      </w:pPr>
      <w:r>
        <w:rPr/>
        <w:t xml:space="preserve">El centro de salud en estudio es una institución de alta complejidad fundada en </w:t>
      </w:r>
      <w:r>
        <w:rPr>
          <w:highlight w:val="yellow"/>
        </w:rPr>
        <w:t>año de fundación</w:t>
      </w:r>
      <w:r>
        <w:rPr/>
        <w:t xml:space="preserve"> en la ciudad de </w:t>
      </w:r>
      <w:r>
        <w:rPr>
          <w:highlight w:val="yellow"/>
        </w:rPr>
        <w:t>ciudad / región</w:t>
      </w:r>
      <w:r>
        <w:rPr/>
        <w:t xml:space="preserve">. Actualmente cuenta con </w:t>
      </w:r>
      <w:r>
        <w:rPr>
          <w:highlight w:val="yellow"/>
        </w:rPr>
        <w:t>número de camas</w:t>
      </w:r>
      <w:r>
        <w:rPr/>
        <w:t xml:space="preserve"> camas y presta servicios de atención ambulatoria, urgencia y hospitalización en las especialidades de </w:t>
      </w:r>
      <w:r>
        <w:rPr>
          <w:highlight w:val="yellow"/>
        </w:rPr>
        <w:t>principales especialidades</w:t>
      </w:r>
      <w:r>
        <w:rPr/>
        <w:t xml:space="preserve">. Su misión declarada es </w:t>
      </w:r>
      <w:r>
        <w:rPr>
          <w:highlight w:val="yellow"/>
        </w:rPr>
        <w:t>misión institucional</w:t>
      </w:r>
      <w:r>
        <w:rPr/>
        <w:t xml:space="preserve">. La institución </w:t>
      </w:r>
      <w:r>
        <w:rPr>
          <w:highlight w:val="yellow"/>
        </w:rPr>
        <w:t>se encuentra / no se encuentra</w:t>
      </w:r>
      <w:r>
        <w:rPr/>
        <w:t xml:space="preserve"> acreditada ante la Superintendencia de Salud </w:t>
      </w:r>
      <w:r>
        <w:rPr>
          <w:highlight w:val="yellow"/>
        </w:rPr>
        <w:t>fecha de la última acreditación</w:t>
      </w:r>
      <w:r>
        <w:rPr/>
        <w:t>.</w:t>
      </w:r>
    </w:p>
    <w:p>
      <w:pPr>
        <w:pStyle w:val="Normal"/>
        <w:jc w:val="both"/>
        <w:rPr/>
      </w:pPr>
      <w:r>
        <w:rPr/>
        <w:t xml:space="preserve">El Servicio de Imagenología fue creado en </w:t>
      </w:r>
      <w:r>
        <w:rPr>
          <w:highlight w:val="yellow"/>
        </w:rPr>
        <w:t>año</w:t>
      </w:r>
      <w:r>
        <w:rPr/>
        <w:t xml:space="preserve"> y entrega prestaciones a pacientes ambulatorios, hospitalizados y de urgencia. Su equipo humano está compuesto por </w:t>
      </w:r>
      <w:r>
        <w:rPr>
          <w:highlight w:val="yellow"/>
        </w:rPr>
        <w:t>n° de médicos radiólogos, tecnólogos médicos, técnicos y personal administrativo</w:t>
      </w:r>
      <w:r>
        <w:rPr/>
        <w:t xml:space="preserve">. El resonador magnético fue incorporado en </w:t>
      </w:r>
      <w:r>
        <w:rPr>
          <w:highlight w:val="yellow"/>
        </w:rPr>
        <w:t>año</w:t>
      </w:r>
      <w:r>
        <w:rPr/>
        <w:t xml:space="preserve">, el tomógrafo computarizado en </w:t>
      </w:r>
      <w:r>
        <w:rPr>
          <w:highlight w:val="yellow"/>
        </w:rPr>
        <w:t>año</w:t>
      </w:r>
      <w:r>
        <w:rPr/>
        <w:t xml:space="preserve"> y el equipo de rayos X en </w:t>
      </w:r>
      <w:r>
        <w:rPr>
          <w:highlight w:val="yellow"/>
        </w:rPr>
        <w:t>año</w:t>
      </w:r>
      <w:r>
        <w:rPr/>
        <w:t xml:space="preserve">, todos de los fabricantes </w:t>
      </w:r>
      <w:r>
        <w:rPr>
          <w:highlight w:val="yellow"/>
        </w:rPr>
        <w:t>marca y modelo de cada equipo</w:t>
      </w:r>
      <w:r>
        <w:rPr/>
        <w:t xml:space="preserve">. Actualmente, el mantenimiento de estos equipos es realizado por </w:t>
      </w:r>
      <w:r>
        <w:rPr>
          <w:highlight w:val="yellow"/>
        </w:rPr>
        <w:t>proveedor externo / servicio técnico del fabricante / personal propio</w:t>
      </w:r>
      <w:r>
        <w:rPr/>
        <w:t xml:space="preserve"> bajo la modalidad de </w:t>
      </w:r>
      <w:r>
        <w:rPr>
          <w:highlight w:val="yellow"/>
        </w:rPr>
        <w:t>contrato anual / llamado por evento</w:t>
      </w:r>
      <w:r>
        <w:rPr/>
        <w:t>.</w:t>
      </w:r>
    </w:p>
    <w:p>
      <w:pPr>
        <w:pStyle w:val="Heading2"/>
        <w:rPr/>
      </w:pPr>
      <w:bookmarkStart w:id="23" w:name="__RefHeading___Toc2803_1992497069"/>
      <w:bookmarkEnd w:id="23"/>
      <w:r>
        <w:rPr/>
        <w:t>2.2. Bases teóricas</w:t>
      </w:r>
    </w:p>
    <w:p>
      <w:pPr>
        <w:pStyle w:val="Normal"/>
        <w:jc w:val="both"/>
        <w:rPr/>
      </w:pPr>
      <w:r>
        <w:rPr/>
        <w:t>Las bases teóricas que se presentan a continuación sustentan cada una de las etapas del proyecto: los conceptos de mantenimiento, gestión de activos e ingeniería clínica fundamentan el diagnóstico (OE1); la toma de decisiones multicriterio, la selección de alternativas (OE2); la gestión por procesos, el diseño de la solución (OE3); la evaluación de proyectos, el análisis económico (OE4); y la gestión de proyectos, el plan de implementación (OE5).</w:t>
      </w:r>
    </w:p>
    <w:p>
      <w:pPr>
        <w:pStyle w:val="Heading3"/>
        <w:rPr/>
      </w:pPr>
      <w:bookmarkStart w:id="24" w:name="__RefHeading___Toc2805_1992497069"/>
      <w:bookmarkEnd w:id="24"/>
      <w:r>
        <w:rPr/>
        <w:t>2.2.1. Mantenimiento y sus tipos</w:t>
      </w:r>
    </w:p>
    <w:p>
      <w:pPr>
        <w:pStyle w:val="Normal"/>
        <w:jc w:val="both"/>
        <w:rPr/>
      </w:pPr>
      <w:r>
        <w:rPr/>
        <w:t>La norma EN 13306 define el mantenimiento como la combinación de todas las acciones técnicas, administrativas y de gestión, durante el ciclo de vida de un elemento, destinadas a conservarlo o devolverlo a un estado en el cual pueda desarrollar la función requerida (CEN, 2017). Según el momento en que se interviene, se distinguen los siguientes tipos de mantenimiento (García Garrido, 2003; Mora Gutiérrez, 2009):</w:t>
      </w:r>
    </w:p>
    <w:p>
      <w:pPr>
        <w:pStyle w:val="ListParagraph"/>
        <w:numPr>
          <w:ilvl w:val="0"/>
          <w:numId w:val="3"/>
        </w:numPr>
        <w:jc w:val="both"/>
        <w:rPr/>
      </w:pPr>
      <w:r>
        <w:rPr>
          <w:b/>
          <w:bCs/>
        </w:rPr>
        <w:t>Mantenimiento correctivo:</w:t>
      </w:r>
      <w:r>
        <w:rPr/>
        <w:t xml:space="preserve"> se realiza después de detectada una falla, con el fin de restablecer la función del equipo. Puede ser inmediato o diferido.</w:t>
      </w:r>
    </w:p>
    <w:p>
      <w:pPr>
        <w:pStyle w:val="ListParagraph"/>
        <w:numPr>
          <w:ilvl w:val="0"/>
          <w:numId w:val="3"/>
        </w:numPr>
        <w:jc w:val="both"/>
        <w:rPr/>
      </w:pPr>
      <w:r>
        <w:rPr>
          <w:b/>
          <w:bCs/>
        </w:rPr>
        <w:t>Mantenimiento preventivo:</w:t>
      </w:r>
      <w:r>
        <w:rPr/>
        <w:t xml:space="preserve"> se ejecuta a intervalos predeterminados o según criterios establecidos, con el objetivo de reducir la probabilidad de falla. En el ámbito sanitario se denomina inspección y mantenimiento preventivo (IMP) (OMS, 2012a).</w:t>
      </w:r>
    </w:p>
    <w:p>
      <w:pPr>
        <w:pStyle w:val="ListParagraph"/>
        <w:numPr>
          <w:ilvl w:val="0"/>
          <w:numId w:val="3"/>
        </w:numPr>
        <w:jc w:val="both"/>
        <w:rPr/>
      </w:pPr>
      <w:r>
        <w:rPr>
          <w:b/>
          <w:bCs/>
        </w:rPr>
        <w:t>Mantenimiento predictivo o basado en condición:</w:t>
      </w:r>
      <w:r>
        <w:rPr/>
        <w:t xml:space="preserve"> se basa en el monitoreo de parámetros del equipo para intervenir cuando se detectan señales de degradación.</w:t>
      </w:r>
    </w:p>
    <w:p>
      <w:pPr>
        <w:pStyle w:val="Normal"/>
        <w:jc w:val="both"/>
        <w:rPr/>
      </w:pPr>
      <w:r>
        <w:rPr/>
        <w:t>Un predominio del mantenimiento correctivo se asocia a mayor variabilidad en los tiempos de detención y a costos de emergencia más altos, mientras que un programa preventivo bien diseñado permite planificar recursos y reducir fallas imprevistas. No obstante, la proporción adecuada de cada tipo depende del modo de falla de cada equipo, por lo que debe determinarse a partir del diagnóstico (Moubray, 1997).</w:t>
      </w:r>
    </w:p>
    <w:p>
      <w:pPr>
        <w:pStyle w:val="Heading3"/>
        <w:rPr/>
      </w:pPr>
      <w:bookmarkStart w:id="25" w:name="__RefHeading___Toc2807_1992497069"/>
      <w:bookmarkEnd w:id="25"/>
      <w:r>
        <w:rPr/>
        <w:t>2.2.2. Gestión del mantenimiento y gestión de activos</w:t>
      </w:r>
    </w:p>
    <w:p>
      <w:pPr>
        <w:pStyle w:val="Normal"/>
        <w:jc w:val="both"/>
        <w:rPr/>
      </w:pPr>
      <w:r>
        <w:rPr/>
        <w:t>La gestión del mantenimiento comprende la planificación, programación, ejecución, control y mejora de las actividades de mantenimiento, de acuerdo con los objetivos de la organización (Mora Gutiérrez, 2009). La norma ISO 55000 amplía esta mirada hacia la gestión de activos, entendida como la actividad coordinada de una organización para obtener valor de sus activos, equilibrando costos, riesgos y desempeño a lo largo de su ciclo de vida (ISO, 2014). Ambos enfoques se basan en el ciclo de mejora continua planificar-hacer-verificar-actuar (PHVA).</w:t>
      </w:r>
    </w:p>
    <w:p>
      <w:pPr>
        <w:pStyle w:val="Normal"/>
        <w:jc w:val="both"/>
        <w:rPr/>
      </w:pPr>
      <w:r>
        <w:rPr/>
        <w:t>Entre las filosofías de gestión más difundidas se encuentran el Mantenimiento Centrado en la Confiabilidad (RCM), que define las tareas de mantenimiento a partir del análisis de las funciones, modos de falla y consecuencias de cada activo (Moubray, 1997), y el Mantenimiento Productivo Total (TPM), que involucra a los operadores en el cuidado básico de los equipos (Nakajima, 1988). Estas filosofías se consideran referencias para el diseño de alternativas, sin que ello implique su adopción anticipada.</w:t>
      </w:r>
    </w:p>
    <w:p>
      <w:pPr>
        <w:pStyle w:val="Heading3"/>
        <w:rPr/>
      </w:pPr>
      <w:bookmarkStart w:id="26" w:name="__RefHeading___Toc2809_1992497069"/>
      <w:bookmarkEnd w:id="26"/>
      <w:r>
        <w:rPr/>
        <w:t>2.2.3. Ingeniería clínica y programas de mantenimiento de equipos médicos</w:t>
      </w:r>
    </w:p>
    <w:p>
      <w:pPr>
        <w:pStyle w:val="Normal"/>
        <w:jc w:val="both"/>
        <w:rPr/>
      </w:pPr>
      <w:r>
        <w:rPr/>
        <w:t>La ingeniería clínica aplica conocimientos de ingeniería y de gestión a la tecnología sanitaria con el fin de mejorar la atención del paciente (Iadanza, 2020). Según la OMS (2012a), un programa de mantenimiento de equipos médicos debe contar con: (a) un inventario actualizado de equipos; (b) criterios de priorización; (c) procedimientos de inspección y mantenimiento preventivo y correctivo; (d) gestión de repuestos y de proveedores; (e) personal capacitado; y (f) un sistema de registro que permita medir el desempeño. La misma organización plantea que un sistema computarizado de gestión del mantenimiento (CMMS) es una de las herramientas posibles para administrar esta información (OMS, 2012b). Estos elementos se utilizarán como referencia para definir la situación objetivo en el análisis de brechas.</w:t>
      </w:r>
    </w:p>
    <w:p>
      <w:pPr>
        <w:pStyle w:val="Heading3"/>
        <w:rPr/>
      </w:pPr>
      <w:bookmarkStart w:id="27" w:name="__RefHeading___Toc2811_1992497069"/>
      <w:bookmarkEnd w:id="27"/>
      <w:r>
        <w:rPr/>
        <w:t>2.2.4. Priorización de equipos según riesgo</w:t>
      </w:r>
    </w:p>
    <w:p>
      <w:pPr>
        <w:pStyle w:val="Normal"/>
        <w:jc w:val="both"/>
        <w:rPr/>
      </w:pPr>
      <w:r>
        <w:rPr/>
        <w:t>Fennigkoh y Smith (1989) propusieron calcular un número de gestión del equipo (EM, por sus siglas en inglés) mediante la suma de tres puntajes: función del equipo (de 2 a 10), riesgo físico asociado a su falla (de 1 a 5) y requerimientos de mantenimiento (de 1 a 5). Los equipos con un puntaje igual o superior a 12 deben incluirse en el programa de mantenimiento preventivo. Wang y Levenson (2000) agregaron la importancia del equipo para la misión de la institución y su historial de fallas, mientras que estudios más recientes han incorporado técnicas multicriterio para priorizar equipos médicos (Taghipour et al., 2011; Jamshidi et al., 2015). Este enfoque permitirá justificar el carácter crítico de RM, TC y RX y la prioridad de sus intervenciones.</w:t>
      </w:r>
    </w:p>
    <w:p>
      <w:pPr>
        <w:pStyle w:val="Heading3"/>
        <w:rPr/>
      </w:pPr>
      <w:bookmarkStart w:id="28" w:name="__RefHeading___Toc2813_1992497069"/>
      <w:bookmarkEnd w:id="28"/>
      <w:r>
        <w:rPr/>
        <w:t>2.2.5. Indicadores de mantenimiento y confiabilidad</w:t>
      </w:r>
    </w:p>
    <w:p>
      <w:pPr>
        <w:pStyle w:val="Normal"/>
        <w:jc w:val="both"/>
        <w:rPr/>
      </w:pPr>
      <w:r>
        <w:rPr/>
        <w:t>La norma EN 15341 establece indicadores clave de desempeño para el mantenimiento en los ámbitos técnico, económico y organizacional (CEN, 2019). Para este proyecto se consideran los siguientes indicadores (Ebeling, 2010):</w:t>
      </w:r>
    </w:p>
    <w:tbl>
      <w:tblPr>
        <w:tblW w:w="9404" w:type="dxa"/>
        <w:jc w:val="left"/>
        <w:tblInd w:w="0" w:type="dxa"/>
        <w:tblLayout w:type="fixed"/>
        <w:tblCellMar>
          <w:top w:w="40" w:type="dxa"/>
          <w:left w:w="80" w:type="dxa"/>
          <w:bottom w:w="40" w:type="dxa"/>
          <w:right w:w="80" w:type="dxa"/>
        </w:tblCellMar>
      </w:tblPr>
      <w:tblGrid>
        <w:gridCol w:w="2399"/>
        <w:gridCol w:w="3504"/>
        <w:gridCol w:w="3501"/>
      </w:tblGrid>
      <w:tr>
        <w:trPr>
          <w:tblHeader w:val="true"/>
        </w:trPr>
        <w:tc>
          <w:tcPr>
            <w:tcW w:w="2399"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8"/>
                <w:szCs w:val="18"/>
              </w:rPr>
              <w:t>Indicador</w:t>
            </w:r>
          </w:p>
        </w:tc>
        <w:tc>
          <w:tcPr>
            <w:tcW w:w="3504"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8"/>
                <w:szCs w:val="18"/>
              </w:rPr>
              <w:t>Fórmula</w:t>
            </w:r>
          </w:p>
        </w:tc>
        <w:tc>
          <w:tcPr>
            <w:tcW w:w="350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8"/>
                <w:szCs w:val="18"/>
              </w:rPr>
              <w:t>Interpretación</w:t>
            </w:r>
          </w:p>
        </w:tc>
      </w:tr>
      <w:tr>
        <w:trPr/>
        <w:tc>
          <w:tcPr>
            <w:tcW w:w="239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8"/>
                <w:szCs w:val="18"/>
              </w:rPr>
              <w:t>Disponibilidad operacional (Do)</w:t>
            </w:r>
          </w:p>
        </w:tc>
        <w:tc>
          <w:tcPr>
            <w:tcW w:w="350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8"/>
                <w:szCs w:val="18"/>
              </w:rPr>
              <w:t>Do = Tiempo operativo / Tiempo total del período</w:t>
            </w:r>
          </w:p>
        </w:tc>
        <w:tc>
          <w:tcPr>
            <w:tcW w:w="35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8"/>
                <w:szCs w:val="18"/>
              </w:rPr>
              <w:t>Proporción del período en que el equipo estuvo en condiciones de operar.</w:t>
            </w:r>
          </w:p>
        </w:tc>
      </w:tr>
      <w:tr>
        <w:trPr/>
        <w:tc>
          <w:tcPr>
            <w:tcW w:w="239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8"/>
                <w:szCs w:val="18"/>
              </w:rPr>
              <w:t>Tiempo medio entre fallas (MTBF)</w:t>
            </w:r>
          </w:p>
        </w:tc>
        <w:tc>
          <w:tcPr>
            <w:tcW w:w="350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8"/>
                <w:szCs w:val="18"/>
              </w:rPr>
              <w:t>MTBF = Tiempo operativo / N° de fallas</w:t>
            </w:r>
          </w:p>
        </w:tc>
        <w:tc>
          <w:tcPr>
            <w:tcW w:w="35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8"/>
                <w:szCs w:val="18"/>
              </w:rPr>
              <w:t>Mide la confiabilidad: a mayor MTBF, menor frecuencia de fallas.</w:t>
            </w:r>
          </w:p>
        </w:tc>
      </w:tr>
      <w:tr>
        <w:trPr/>
        <w:tc>
          <w:tcPr>
            <w:tcW w:w="239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8"/>
                <w:szCs w:val="18"/>
              </w:rPr>
              <w:t>Tiempo medio de reparación (MTTR)</w:t>
            </w:r>
          </w:p>
        </w:tc>
        <w:tc>
          <w:tcPr>
            <w:tcW w:w="350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8"/>
                <w:szCs w:val="18"/>
              </w:rPr>
              <w:t>MTTR = Tiempo total de reparación / N° de fallas</w:t>
            </w:r>
          </w:p>
        </w:tc>
        <w:tc>
          <w:tcPr>
            <w:tcW w:w="35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8"/>
                <w:szCs w:val="18"/>
              </w:rPr>
              <w:t>Mide la mantenibilidad y la capacidad de respuesta.</w:t>
            </w:r>
          </w:p>
        </w:tc>
      </w:tr>
      <w:tr>
        <w:trPr/>
        <w:tc>
          <w:tcPr>
            <w:tcW w:w="239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8"/>
                <w:szCs w:val="18"/>
              </w:rPr>
              <w:t>Disponibilidad técnica (Dt)</w:t>
            </w:r>
          </w:p>
        </w:tc>
        <w:tc>
          <w:tcPr>
            <w:tcW w:w="350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8"/>
                <w:szCs w:val="18"/>
              </w:rPr>
              <w:t>Dt = MTBF / (MTBF + MTTR)</w:t>
            </w:r>
          </w:p>
        </w:tc>
        <w:tc>
          <w:tcPr>
            <w:tcW w:w="35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8"/>
                <w:szCs w:val="18"/>
              </w:rPr>
              <w:t>Disponibilidad atribuible al comportamiento técnico del equipo.</w:t>
            </w:r>
          </w:p>
        </w:tc>
      </w:tr>
      <w:tr>
        <w:trPr/>
        <w:tc>
          <w:tcPr>
            <w:tcW w:w="239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8"/>
                <w:szCs w:val="18"/>
              </w:rPr>
              <w:t>Cumplimiento del programa preventivo</w:t>
            </w:r>
          </w:p>
        </w:tc>
        <w:tc>
          <w:tcPr>
            <w:tcW w:w="350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8"/>
                <w:szCs w:val="18"/>
              </w:rPr>
              <w:t>Mantenciones ejecutadas / mantenciones programadas × 100</w:t>
            </w:r>
          </w:p>
        </w:tc>
        <w:tc>
          <w:tcPr>
            <w:tcW w:w="35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8"/>
                <w:szCs w:val="18"/>
              </w:rPr>
              <w:t>Mide la adherencia al plan de mantenimiento.</w:t>
            </w:r>
          </w:p>
        </w:tc>
      </w:tr>
      <w:tr>
        <w:trPr/>
        <w:tc>
          <w:tcPr>
            <w:tcW w:w="239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8"/>
                <w:szCs w:val="18"/>
              </w:rPr>
              <w:t>Proporción de mantenimiento correctivo</w:t>
            </w:r>
          </w:p>
        </w:tc>
        <w:tc>
          <w:tcPr>
            <w:tcW w:w="350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8"/>
                <w:szCs w:val="18"/>
              </w:rPr>
              <w:t>Horas correctivas / horas totales de mantenimiento × 100</w:t>
            </w:r>
          </w:p>
        </w:tc>
        <w:tc>
          <w:tcPr>
            <w:tcW w:w="35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8"/>
                <w:szCs w:val="18"/>
              </w:rPr>
              <w:t>Indica el grado de reactividad de la gestión.</w:t>
            </w:r>
          </w:p>
        </w:tc>
      </w:tr>
    </w:tbl>
    <w:p>
      <w:pPr>
        <w:pStyle w:val="Normal"/>
        <w:spacing w:lineRule="auto" w:line="240" w:before="60" w:after="200"/>
        <w:jc w:val="center"/>
        <w:rPr/>
      </w:pPr>
      <w:r>
        <w:rPr>
          <w:i/>
          <w:iCs/>
          <w:sz w:val="18"/>
          <w:szCs w:val="18"/>
        </w:rPr>
        <w:t>Tabla 4. Indicadores de mantenimiento considerados para la línea base. Fuente: Elaboración propia a partir de CEN (2019) y Ebeling (2010).</w:t>
      </w:r>
    </w:p>
    <w:p>
      <w:pPr>
        <w:pStyle w:val="Heading3"/>
        <w:rPr/>
      </w:pPr>
      <w:bookmarkStart w:id="29" w:name="__RefHeading___Toc2815_1992497069"/>
      <w:bookmarkEnd w:id="29"/>
      <w:r>
        <w:rPr/>
        <w:t>2.2.6. Gestión por procesos y notación BPMN</w:t>
      </w:r>
    </w:p>
    <w:p>
      <w:pPr>
        <w:pStyle w:val="Normal"/>
        <w:jc w:val="both"/>
        <w:rPr/>
      </w:pPr>
      <w:r>
        <w:rPr/>
        <w:t>La gestión de procesos de negocio (BPM) consiste en identificar, modelar, analizar, rediseñar y controlar los procesos de una organización (Dumas et al., 2018). El modelamiento se realiza en dos momentos: el modelo AS-IS, que representa el proceso tal como se ejecuta actualmente, y el modelo TO-BE, que representa el proceso rediseñado. La notación BPMN 2.0 (Object Management Group [OMG], 2011) permite representar actividades, eventos, compuertas de decisión, carriles (actores responsables) y objetos de datos (registros), lo que facilita identificar demoras, actividades sin responsable, pérdidas de información y puntos de control.</w:t>
      </w:r>
    </w:p>
    <w:p>
      <w:pPr>
        <w:pStyle w:val="Heading3"/>
        <w:rPr/>
      </w:pPr>
      <w:bookmarkStart w:id="30" w:name="__RefHeading___Toc2817_1992497069"/>
      <w:bookmarkEnd w:id="30"/>
      <w:r>
        <w:rPr/>
        <w:t>2.2.7. Herramientas de análisis causal y análisis de brechas</w:t>
      </w:r>
    </w:p>
    <w:p>
      <w:pPr>
        <w:pStyle w:val="Normal"/>
        <w:jc w:val="both"/>
        <w:rPr/>
      </w:pPr>
      <w:r>
        <w:rPr/>
        <w:t>El diagrama de causa-efecto o de Ishikawa organiza las posibles causas de un problema en categorías (métodos, mano de obra, máquinas, materiales, medición y entorno) (Ishikawa, 1986). El análisis de Pareto permite priorizar las causas que concentran la mayor parte del efecto, y la técnica de los cinco porqués permite profundizar hasta la causa raíz. El análisis de brechas compara la situación actual con una situación objetivo definida a partir de un referente, en este caso los lineamientos de la OMS (2012a), el estándar de acreditación en el ámbito de equipamiento y las buenas prácticas de gestión del mantenimiento.</w:t>
      </w:r>
    </w:p>
    <w:p>
      <w:pPr>
        <w:pStyle w:val="Heading3"/>
        <w:rPr/>
      </w:pPr>
      <w:bookmarkStart w:id="31" w:name="__RefHeading___Toc2819_1992497069"/>
      <w:bookmarkEnd w:id="31"/>
      <w:r>
        <w:rPr/>
        <w:t>2.2.8. Toma de decisiones multicriterio</w:t>
      </w:r>
    </w:p>
    <w:p>
      <w:pPr>
        <w:pStyle w:val="Normal"/>
        <w:jc w:val="both"/>
        <w:rPr/>
      </w:pPr>
      <w:r>
        <w:rPr/>
        <w:t>Los métodos de decisión multicriterio permiten comparar alternativas considerando simultáneamente criterios de distinta naturaleza. El Proceso de Análisis Jerárquico (AHP) desarrollado por Saaty (2008) determina el peso de cada criterio mediante comparaciones pareadas en una escala de 1 a 9 y verifica la coherencia de los juicios mediante la razón de consistencia (RC), que debe ser menor a 0,10. Con los pesos obtenidos, cada alternativa se evalúa mediante la suma ponderada de sus puntajes, lo que permite una selección objetiva y trazable.</w:t>
      </w:r>
    </w:p>
    <w:p>
      <w:pPr>
        <w:pStyle w:val="Heading3"/>
        <w:rPr/>
      </w:pPr>
      <w:bookmarkStart w:id="32" w:name="__RefHeading___Toc2821_1992497069"/>
      <w:bookmarkEnd w:id="32"/>
      <w:r>
        <w:rPr/>
        <w:t>2.2.9. Evaluación económica de proyectos</w:t>
      </w:r>
    </w:p>
    <w:p>
      <w:pPr>
        <w:pStyle w:val="Normal"/>
        <w:jc w:val="both"/>
        <w:rPr/>
      </w:pPr>
      <w:r>
        <w:rPr/>
        <w:t>La evaluación económica compara los flujos de caja de la situación con proyecto y de la situación base (sin proyecto) para determinar si la inversión genera valor (Sapag Chain et al., 2014). Los principales indicadores son:</w:t>
      </w:r>
    </w:p>
    <w:p>
      <w:pPr>
        <w:pStyle w:val="ListParagraph"/>
        <w:numPr>
          <w:ilvl w:val="0"/>
          <w:numId w:val="3"/>
        </w:numPr>
        <w:jc w:val="both"/>
        <w:rPr/>
      </w:pPr>
      <w:r>
        <w:rPr>
          <w:b/>
          <w:bCs/>
        </w:rPr>
        <w:t>Valor Actual Neto (VAN):</w:t>
      </w:r>
      <w:r>
        <w:rPr/>
        <w:t xml:space="preserve"> suma de los flujos de caja descontados a la tasa de costo de capital, menos la inversión inicial. Un VAN mayor que cero indica que el proyecto es rentable.</w:t>
      </w:r>
    </w:p>
    <w:p>
      <w:pPr>
        <w:pStyle w:val="ListParagraph"/>
        <w:numPr>
          <w:ilvl w:val="0"/>
          <w:numId w:val="3"/>
        </w:numPr>
        <w:jc w:val="both"/>
        <w:rPr/>
      </w:pPr>
      <w:r>
        <w:rPr>
          <w:b/>
          <w:bCs/>
        </w:rPr>
        <w:t>Tasa Interna de Retorno (TIR):</w:t>
      </w:r>
      <w:r>
        <w:rPr/>
        <w:t xml:space="preserve"> tasa de descuento que hace el VAN igual a cero; el proyecto es conveniente si la TIR supera la tasa de descuento exigida.</w:t>
      </w:r>
    </w:p>
    <w:p>
      <w:pPr>
        <w:pStyle w:val="ListParagraph"/>
        <w:numPr>
          <w:ilvl w:val="0"/>
          <w:numId w:val="3"/>
        </w:numPr>
        <w:jc w:val="both"/>
        <w:rPr/>
      </w:pPr>
      <w:r>
        <w:rPr>
          <w:b/>
          <w:bCs/>
        </w:rPr>
        <w:t>Período de recuperación de la inversión (PRI o payback):</w:t>
      </w:r>
      <w:r>
        <w:rPr/>
        <w:t xml:space="preserve"> tiempo necesario para recuperar la inversión inicial con los flujos generados.</w:t>
      </w:r>
    </w:p>
    <w:p>
      <w:pPr>
        <w:pStyle w:val="ListParagraph"/>
        <w:numPr>
          <w:ilvl w:val="0"/>
          <w:numId w:val="3"/>
        </w:numPr>
        <w:jc w:val="both"/>
        <w:rPr/>
      </w:pPr>
      <w:r>
        <w:rPr>
          <w:b/>
          <w:bCs/>
        </w:rPr>
        <w:t>Análisis de sensibilidad:</w:t>
      </w:r>
      <w:r>
        <w:rPr/>
        <w:t xml:space="preserve"> mide el efecto de la variación de las variables críticas sobre los indicadores de rentabilidad.</w:t>
      </w:r>
    </w:p>
    <w:p>
      <w:pPr>
        <w:pStyle w:val="Normal"/>
        <w:jc w:val="both"/>
        <w:rPr/>
      </w:pPr>
      <w:r>
        <w:rPr/>
        <w:t>En proyectos de mantenimiento, los beneficios suelen corresponder a ingresos recuperados por mayor disponibilidad y a costos evitados (reparaciones de emergencia, horas extraordinarias, días cama), por lo que su cuantificación requiere relacionar las mejoras operacionales con su valor monetario.</w:t>
      </w:r>
    </w:p>
    <w:p>
      <w:pPr>
        <w:pStyle w:val="Heading3"/>
        <w:rPr/>
      </w:pPr>
      <w:bookmarkStart w:id="33" w:name="__RefHeading___Toc2823_1992497069"/>
      <w:bookmarkEnd w:id="33"/>
      <w:r>
        <w:rPr/>
        <w:t>2.2.10. Planificación y control de proyectos</w:t>
      </w:r>
    </w:p>
    <w:p>
      <w:pPr>
        <w:pStyle w:val="Normal"/>
        <w:jc w:val="both"/>
        <w:rPr/>
      </w:pPr>
      <w:r>
        <w:rPr/>
        <w:t>La Guía del PMBOK define la programación del cronograma como el proceso de establecer las actividades, sus duraciones, relaciones de precedencia e hitos (Project Management Institute [PMI], 2021). La Carta Gantt representa gráficamente esta programación y, al incorporar el porcentaje de avance planificado y real, permite controlar la ejecución. El índice de desempeño del cronograma (SPI), calculado como el avance real dividido por el avance planificado, permite detectar desviaciones de forma objetiva.</w:t>
      </w:r>
    </w:p>
    <w:p>
      <w:pPr>
        <w:pStyle w:val="Heading2"/>
        <w:rPr/>
      </w:pPr>
      <w:bookmarkStart w:id="34" w:name="__RefHeading___Toc2825_1992497069"/>
      <w:bookmarkEnd w:id="34"/>
      <w:r>
        <w:rPr/>
        <w:t>2.3. Bases legales y normativas</w:t>
      </w:r>
    </w:p>
    <w:p>
      <w:pPr>
        <w:pStyle w:val="Normal"/>
        <w:jc w:val="both"/>
        <w:rPr/>
      </w:pPr>
      <w:r>
        <w:rPr/>
        <w:t>La Tabla 5 presenta el marco legal y normativo aplicable a la gestión del mantenimiento de equipos de imagenología en un prestador de salud chileno, y su relevancia para el proyecto.</w:t>
      </w:r>
    </w:p>
    <w:tbl>
      <w:tblPr>
        <w:tblW w:w="9404" w:type="dxa"/>
        <w:jc w:val="left"/>
        <w:tblInd w:w="0" w:type="dxa"/>
        <w:tblLayout w:type="fixed"/>
        <w:tblCellMar>
          <w:top w:w="40" w:type="dxa"/>
          <w:left w:w="80" w:type="dxa"/>
          <w:bottom w:w="40" w:type="dxa"/>
          <w:right w:w="80" w:type="dxa"/>
        </w:tblCellMar>
      </w:tblPr>
      <w:tblGrid>
        <w:gridCol w:w="2900"/>
        <w:gridCol w:w="3204"/>
        <w:gridCol w:w="3300"/>
      </w:tblGrid>
      <w:tr>
        <w:trPr>
          <w:tblHeader w:val="true"/>
        </w:trPr>
        <w:tc>
          <w:tcPr>
            <w:tcW w:w="2900"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7"/>
                <w:szCs w:val="17"/>
              </w:rPr>
              <w:t>Normativa</w:t>
            </w:r>
          </w:p>
        </w:tc>
        <w:tc>
          <w:tcPr>
            <w:tcW w:w="3204"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7"/>
                <w:szCs w:val="17"/>
              </w:rPr>
              <w:t>Materia</w:t>
            </w:r>
          </w:p>
        </w:tc>
        <w:tc>
          <w:tcPr>
            <w:tcW w:w="3300"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7"/>
                <w:szCs w:val="17"/>
              </w:rPr>
              <w:t>Relevancia para el proyecto</w:t>
            </w:r>
          </w:p>
        </w:tc>
      </w:tr>
      <w:tr>
        <w:trPr/>
        <w:tc>
          <w:tcPr>
            <w:tcW w:w="29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DFL N° 725 de 1967, Código Sanitario</w:t>
            </w:r>
          </w:p>
        </w:tc>
        <w:tc>
          <w:tcPr>
            <w:tcW w:w="320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Regula las acciones de salud, las instalaciones radiactivas y el control de los productos de uso médico.</w:t>
            </w:r>
          </w:p>
        </w:tc>
        <w:tc>
          <w:tcPr>
            <w:tcW w:w="33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Marco general que obliga a mantener los equipos y las instalaciones en condiciones seguras.</w:t>
            </w:r>
          </w:p>
        </w:tc>
      </w:tr>
      <w:tr>
        <w:trPr/>
        <w:tc>
          <w:tcPr>
            <w:tcW w:w="29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Ley N° 19.966 de 2004 (Régimen de Garantías Explícitas en Salud)</w:t>
            </w:r>
          </w:p>
        </w:tc>
        <w:tc>
          <w:tcPr>
            <w:tcW w:w="320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Establece las garantías de acceso, oportunidad, protección financiera y calidad.</w:t>
            </w:r>
          </w:p>
        </w:tc>
        <w:tc>
          <w:tcPr>
            <w:tcW w:w="33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La indisponibilidad de los equipos puede afectar el cumplimiento de la garantía de oportunidad en los problemas de salud GES.</w:t>
            </w:r>
          </w:p>
        </w:tc>
      </w:tr>
      <w:tr>
        <w:trPr/>
        <w:tc>
          <w:tcPr>
            <w:tcW w:w="29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Ley N° 20.584 de 2012 (derechos y deberes de los pacientes)</w:t>
            </w:r>
          </w:p>
        </w:tc>
        <w:tc>
          <w:tcPr>
            <w:tcW w:w="320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Garantiza una atención oportuna y segura.</w:t>
            </w:r>
          </w:p>
        </w:tc>
        <w:tc>
          <w:tcPr>
            <w:tcW w:w="33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Fundamenta la necesidad de asegurar la continuidad de las prestaciones diagnósticas.</w:t>
            </w:r>
          </w:p>
        </w:tc>
      </w:tr>
      <w:tr>
        <w:trPr/>
        <w:tc>
          <w:tcPr>
            <w:tcW w:w="29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Decreto Supremo N° 15 de 2007 del MINSAL</w:t>
            </w:r>
          </w:p>
        </w:tc>
        <w:tc>
          <w:tcPr>
            <w:tcW w:w="320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Reglamento del Sistema de Acreditación para los Prestadores Institucionales de Salud.</w:t>
            </w:r>
          </w:p>
        </w:tc>
        <w:tc>
          <w:tcPr>
            <w:tcW w:w="33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Establece la obligación de cumplir los estándares de acreditación, entre ellos el ámbito de Equipamiento.</w:t>
            </w:r>
          </w:p>
        </w:tc>
      </w:tr>
      <w:tr>
        <w:trPr/>
        <w:tc>
          <w:tcPr>
            <w:tcW w:w="29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Manual del Estándar General de Acreditación para Prestadores Institucionales de Atención Cerrada (Superintendencia de Salud)</w:t>
            </w:r>
          </w:p>
        </w:tc>
        <w:tc>
          <w:tcPr>
            <w:tcW w:w="320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Ámbito Equipamiento (EQ): adquisición, programa de mantenimiento preventivo de equipos críticos y operación por personal capacitado.</w:t>
            </w:r>
          </w:p>
        </w:tc>
        <w:tc>
          <w:tcPr>
            <w:tcW w:w="33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Referente principal para definir la situación objetivo y las brechas de cumplimiento.</w:t>
            </w:r>
          </w:p>
        </w:tc>
      </w:tr>
      <w:tr>
        <w:trPr/>
        <w:tc>
          <w:tcPr>
            <w:tcW w:w="29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Decreto Supremo N° 133 de 1984 del MINSAL</w:t>
            </w:r>
          </w:p>
        </w:tc>
        <w:tc>
          <w:tcPr>
            <w:tcW w:w="320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Reglamento sobre autorizaciones para instalaciones radiactivas o equipos generadores de radiaciones ionizantes.</w:t>
            </w:r>
          </w:p>
        </w:tc>
        <w:tc>
          <w:tcPr>
            <w:tcW w:w="33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Aplica a los equipos de RX y TC: exige autorización sanitaria de las instalaciones y del personal que opera los equipos.</w:t>
            </w:r>
          </w:p>
        </w:tc>
      </w:tr>
      <w:tr>
        <w:trPr/>
        <w:tc>
          <w:tcPr>
            <w:tcW w:w="29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Decreto Supremo N° 3 de 1985 del MINSAL</w:t>
            </w:r>
          </w:p>
        </w:tc>
        <w:tc>
          <w:tcPr>
            <w:tcW w:w="320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Reglamento de protección radiológica de instalaciones radiactivas.</w:t>
            </w:r>
          </w:p>
        </w:tc>
        <w:tc>
          <w:tcPr>
            <w:tcW w:w="33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Establece condiciones de seguridad radiológica que deben mantenerse durante la operación y las intervenciones de mantenimiento.</w:t>
            </w:r>
          </w:p>
        </w:tc>
      </w:tr>
      <w:tr>
        <w:trPr/>
        <w:tc>
          <w:tcPr>
            <w:tcW w:w="29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Ley N° 16.744 y Decreto Supremo N° 594 de 1999 del MINSAL</w:t>
            </w:r>
          </w:p>
        </w:tc>
        <w:tc>
          <w:tcPr>
            <w:tcW w:w="320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Seguro contra accidentes del trabajo y condiciones sanitarias y ambientales básicas en los lugares de trabajo.</w:t>
            </w:r>
          </w:p>
        </w:tc>
        <w:tc>
          <w:tcPr>
            <w:tcW w:w="33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Seguridad del personal técnico que interviene los equipos y de los operadores.</w:t>
            </w:r>
          </w:p>
        </w:tc>
      </w:tr>
      <w:tr>
        <w:trPr/>
        <w:tc>
          <w:tcPr>
            <w:tcW w:w="29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IEC 60601-1 e IEC 62353:2014</w:t>
            </w:r>
          </w:p>
        </w:tc>
        <w:tc>
          <w:tcPr>
            <w:tcW w:w="320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Seguridad básica de equipos electromédicos y ensayos recurrentes y posteriores a una reparación.</w:t>
            </w:r>
          </w:p>
        </w:tc>
        <w:tc>
          <w:tcPr>
            <w:tcW w:w="33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Referencia técnica para definir las pruebas de seguridad después de cada intervención.</w:t>
            </w:r>
          </w:p>
        </w:tc>
      </w:tr>
      <w:tr>
        <w:trPr/>
        <w:tc>
          <w:tcPr>
            <w:tcW w:w="29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ISO 55001:2014</w:t>
            </w:r>
          </w:p>
        </w:tc>
        <w:tc>
          <w:tcPr>
            <w:tcW w:w="320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Sistemas de gestión de activos.</w:t>
            </w:r>
          </w:p>
        </w:tc>
        <w:tc>
          <w:tcPr>
            <w:tcW w:w="33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Referencia para el diseño de la alternativa y la gestión del ciclo de vida de los equipos.</w:t>
            </w:r>
          </w:p>
        </w:tc>
      </w:tr>
      <w:tr>
        <w:trPr/>
        <w:tc>
          <w:tcPr>
            <w:tcW w:w="29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EN 13306:2017 y EN 15341:2019</w:t>
            </w:r>
          </w:p>
        </w:tc>
        <w:tc>
          <w:tcPr>
            <w:tcW w:w="320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Terminología e indicadores clave de desempeño del mantenimiento.</w:t>
            </w:r>
          </w:p>
        </w:tc>
        <w:tc>
          <w:tcPr>
            <w:tcW w:w="33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Base para definir los conceptos y los indicadores de la línea base.</w:t>
            </w:r>
          </w:p>
        </w:tc>
      </w:tr>
    </w:tbl>
    <w:p>
      <w:pPr>
        <w:pStyle w:val="Normal"/>
        <w:spacing w:lineRule="auto" w:line="240" w:before="60" w:after="200"/>
        <w:jc w:val="center"/>
        <w:rPr/>
      </w:pPr>
      <w:r>
        <w:rPr>
          <w:i/>
          <w:iCs/>
          <w:sz w:val="18"/>
          <w:szCs w:val="18"/>
        </w:rPr>
        <w:t>Tabla 5. Marco legal y normativo aplicable. Fuente: Elaboración propia.</w:t>
      </w:r>
    </w:p>
    <w:p>
      <w:pPr>
        <w:pStyle w:val="Normal"/>
        <w:rPr/>
      </w:pPr>
      <w:r>
        <w:rPr/>
      </w:r>
      <w:r>
        <w:br w:type="page"/>
      </w:r>
    </w:p>
    <w:p>
      <w:pPr>
        <w:pStyle w:val="Heading1"/>
        <w:spacing w:before="0" w:after="160"/>
        <w:rPr/>
      </w:pPr>
      <w:bookmarkStart w:id="35" w:name="__RefHeading___Toc2827_1992497069"/>
      <w:bookmarkEnd w:id="35"/>
      <w:r>
        <w:rPr/>
        <w:t>CAPÍTULO III: BASES METODOLÓGICAS</w:t>
      </w:r>
    </w:p>
    <w:p>
      <w:pPr>
        <w:pStyle w:val="Heading2"/>
        <w:rPr/>
      </w:pPr>
      <w:bookmarkStart w:id="36" w:name="__RefHeading___Toc2829_1992497069"/>
      <w:bookmarkEnd w:id="36"/>
      <w:r>
        <w:rPr/>
        <w:t>3.1. Tipo y enfoque de la investigación</w:t>
      </w:r>
    </w:p>
    <w:p>
      <w:pPr>
        <w:pStyle w:val="Normal"/>
        <w:jc w:val="both"/>
        <w:rPr/>
      </w:pPr>
      <w:r>
        <w:rPr/>
        <w:t>La investigación es de tipo aplicada, con alcance descriptivo, y adopta un enfoque mixto (Hernández-Sampieri y Mendoza, 2018). El componente cuantitativo se basa en el análisis de registros operacionales, de actividad y financieros, y en el cálculo de indicadores; el componente cualitativo, en entrevistas semiestructuradas y en la observación directa del proceso de mantenimiento. El diseño es no experimental, ya que las variables se observan en su contexto sin ser manipuladas.</w:t>
      </w:r>
    </w:p>
    <w:p>
      <w:pPr>
        <w:pStyle w:val="Heading2"/>
        <w:rPr/>
      </w:pPr>
      <w:bookmarkStart w:id="37" w:name="__RefHeading___Toc2831_1992497069"/>
      <w:bookmarkEnd w:id="37"/>
      <w:r>
        <w:rPr/>
        <w:t>3.2. Fuentes e instrumentos de recolección de información</w:t>
      </w:r>
    </w:p>
    <w:tbl>
      <w:tblPr>
        <w:tblW w:w="9404" w:type="dxa"/>
        <w:jc w:val="left"/>
        <w:tblInd w:w="0" w:type="dxa"/>
        <w:tblLayout w:type="fixed"/>
        <w:tblCellMar>
          <w:top w:w="40" w:type="dxa"/>
          <w:left w:w="80" w:type="dxa"/>
          <w:bottom w:w="40" w:type="dxa"/>
          <w:right w:w="80" w:type="dxa"/>
        </w:tblCellMar>
      </w:tblPr>
      <w:tblGrid>
        <w:gridCol w:w="2000"/>
        <w:gridCol w:w="2600"/>
        <w:gridCol w:w="2599"/>
        <w:gridCol w:w="2204"/>
      </w:tblGrid>
      <w:tr>
        <w:trPr>
          <w:tblHeader w:val="true"/>
        </w:trPr>
        <w:tc>
          <w:tcPr>
            <w:tcW w:w="2000"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7"/>
                <w:szCs w:val="17"/>
              </w:rPr>
              <w:t>Fuente / instrumento</w:t>
            </w:r>
          </w:p>
        </w:tc>
        <w:tc>
          <w:tcPr>
            <w:tcW w:w="2600"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7"/>
                <w:szCs w:val="17"/>
              </w:rPr>
              <w:t>Informantes o documentos</w:t>
            </w:r>
          </w:p>
        </w:tc>
        <w:tc>
          <w:tcPr>
            <w:tcW w:w="2599"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7"/>
                <w:szCs w:val="17"/>
              </w:rPr>
              <w:t>Información que se obtiene</w:t>
            </w:r>
          </w:p>
        </w:tc>
        <w:tc>
          <w:tcPr>
            <w:tcW w:w="2204"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7"/>
                <w:szCs w:val="17"/>
              </w:rPr>
              <w:t>Uso en el proyecto</w:t>
            </w:r>
          </w:p>
        </w:tc>
      </w:tr>
      <w:tr>
        <w:trPr/>
        <w:tc>
          <w:tcPr>
            <w:tcW w:w="20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Entrevistas semiestructuradas</w:t>
            </w:r>
          </w:p>
        </w:tc>
        <w:tc>
          <w:tcPr>
            <w:tcW w:w="26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Jefatura de Imagenología, tecnólogos médicos, abastecimiento, proveedores de servicio técnico</w:t>
            </w:r>
          </w:p>
        </w:tc>
        <w:tc>
          <w:tcPr>
            <w:tcW w:w="259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Descripción del proceso, responsables, tiempos percibidos, problemas y restricciones</w:t>
            </w:r>
          </w:p>
        </w:tc>
        <w:tc>
          <w:tcPr>
            <w:tcW w:w="220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BPMN AS-IS, análisis causal, criterios de evaluación</w:t>
            </w:r>
          </w:p>
        </w:tc>
      </w:tr>
      <w:tr>
        <w:trPr/>
        <w:tc>
          <w:tcPr>
            <w:tcW w:w="20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Observación directa</w:t>
            </w:r>
          </w:p>
        </w:tc>
        <w:tc>
          <w:tcPr>
            <w:tcW w:w="26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Atención de fallas y mantenciones programadas</w:t>
            </w:r>
          </w:p>
        </w:tc>
        <w:tc>
          <w:tcPr>
            <w:tcW w:w="259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Secuencia real de actividades y registros utilizados</w:t>
            </w:r>
          </w:p>
        </w:tc>
        <w:tc>
          <w:tcPr>
            <w:tcW w:w="220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Validación del BPMN AS-IS</w:t>
            </w:r>
          </w:p>
        </w:tc>
      </w:tr>
      <w:tr>
        <w:trPr/>
        <w:tc>
          <w:tcPr>
            <w:tcW w:w="20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Revisión documental</w:t>
            </w:r>
          </w:p>
        </w:tc>
        <w:tc>
          <w:tcPr>
            <w:tcW w:w="26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Contratos de servicio, informes técnicos, guías de trabajo, órdenes de compra, manuales de usuario</w:t>
            </w:r>
          </w:p>
        </w:tc>
        <w:tc>
          <w:tcPr>
            <w:tcW w:w="259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Frecuencia de mantenciones, tiempos de reparación y de compra, costos</w:t>
            </w:r>
          </w:p>
        </w:tc>
        <w:tc>
          <w:tcPr>
            <w:tcW w:w="220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Línea base de indicadores y costos</w:t>
            </w:r>
          </w:p>
        </w:tc>
      </w:tr>
      <w:tr>
        <w:trPr/>
        <w:tc>
          <w:tcPr>
            <w:tcW w:w="20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Registros operacionales y de actividad</w:t>
            </w:r>
          </w:p>
        </w:tc>
        <w:tc>
          <w:tcPr>
            <w:tcW w:w="26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Agenda de exámenes, registros de detención, reportes de producción e ingresos</w:t>
            </w:r>
          </w:p>
        </w:tc>
        <w:tc>
          <w:tcPr>
            <w:tcW w:w="259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Días y horas de detención, exámenes realizados y presupuestados, ingresos</w:t>
            </w:r>
          </w:p>
        </w:tc>
        <w:tc>
          <w:tcPr>
            <w:tcW w:w="220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Disponibilidad, cumplimiento, beneficios económicos</w:t>
            </w:r>
          </w:p>
        </w:tc>
      </w:tr>
    </w:tbl>
    <w:p>
      <w:pPr>
        <w:pStyle w:val="Normal"/>
        <w:spacing w:lineRule="auto" w:line="240" w:before="60" w:after="200"/>
        <w:jc w:val="center"/>
        <w:rPr/>
      </w:pPr>
      <w:r>
        <w:rPr>
          <w:i/>
          <w:iCs/>
          <w:sz w:val="18"/>
          <w:szCs w:val="18"/>
        </w:rPr>
        <w:t>Tabla 6. Fuentes e instrumentos de recolección de información. Fuente: Elaboración propia.</w:t>
      </w:r>
    </w:p>
    <w:p>
      <w:pPr>
        <w:pStyle w:val="Normal"/>
        <w:jc w:val="both"/>
        <w:rPr/>
      </w:pPr>
      <w:r>
        <w:rPr/>
        <w:t>Para cada indicador se declarará explícitamente el período de información utilizado y su fuente. Cuando la información disponible sea insuficiente o no trazable, se indicará el supuesto utilizado y su fundamento.</w:t>
      </w:r>
    </w:p>
    <w:p>
      <w:pPr>
        <w:pStyle w:val="Heading2"/>
        <w:rPr/>
      </w:pPr>
      <w:bookmarkStart w:id="38" w:name="__RefHeading___Toc2833_1992497069"/>
      <w:bookmarkEnd w:id="38"/>
      <w:r>
        <w:rPr/>
        <w:t>3.3. Etapas metodológicas</w:t>
      </w:r>
    </w:p>
    <w:p>
      <w:pPr>
        <w:pStyle w:val="Normal"/>
        <w:jc w:val="both"/>
        <w:rPr/>
      </w:pPr>
      <w:r>
        <w:rPr/>
        <w:t>La metodología se estructura en cinco etapas secuenciales, cada una asociada a un objetivo específico. Estas mismas etapas son las que se programan en la Carta Gantt del Capítulo IV, de modo que la metodología y la planificación representan una única secuencia de trabajo.</w:t>
      </w:r>
    </w:p>
    <w:p>
      <w:pPr>
        <w:pStyle w:val="Heading3"/>
        <w:rPr/>
      </w:pPr>
      <w:bookmarkStart w:id="39" w:name="__RefHeading___Toc2835_1992497069"/>
      <w:bookmarkEnd w:id="39"/>
      <w:r>
        <w:rPr/>
        <w:t>3.3.1. Etapa 1: Diagnóstico de la situación actual (OE1)</w:t>
      </w:r>
    </w:p>
    <w:p>
      <w:pPr>
        <w:pStyle w:val="Normal"/>
        <w:jc w:val="both"/>
        <w:rPr/>
      </w:pPr>
      <w:r>
        <w:rPr>
          <w:b/>
          <w:bCs/>
        </w:rPr>
        <w:t>a) Modelamiento del proceso actual (BPMN AS-IS).</w:t>
      </w:r>
      <w:r>
        <w:rPr/>
        <w:t xml:space="preserve"> Se levantarán los procesos de mantenimiento preventivo y correctivo mediante entrevistas y observación directa, y se modelarán en notación BPMN 2.0 con carriles por actor, identificando actividades, responsables, puntos de decisión, registros generados y flujos de información. La Figura 1 presenta el modelo preliminar del proceso correctivo, elaborado a partir de la información levantada hasta la fecha; este modelo será validado con la jefatura del servicio y complementado con el proceso preventivo.</w:t>
      </w:r>
      <w:r>
        <w:br w:type="page"/>
      </w:r>
    </w:p>
    <w:p>
      <w:pPr>
        <w:pStyle w:val="Normal"/>
        <w:keepNext w:val="true"/>
        <w:spacing w:lineRule="auto" w:line="240" w:before="0" w:after="0"/>
        <w:jc w:val="center"/>
        <w:rPr/>
      </w:pPr>
      <w:r>
        <w:rPr/>
        <w:drawing>
          <wp:inline distT="0" distB="0" distL="0" distR="0">
            <wp:extent cx="4762500" cy="642937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4762500" cy="6429375"/>
                    </a:xfrm>
                    <a:prstGeom prst="rect">
                      <a:avLst/>
                    </a:prstGeom>
                  </pic:spPr>
                </pic:pic>
              </a:graphicData>
            </a:graphic>
          </wp:inline>
        </w:drawing>
      </w:r>
    </w:p>
    <w:p>
      <w:pPr>
        <w:pStyle w:val="Normal"/>
        <w:spacing w:lineRule="auto" w:line="240" w:before="60" w:after="200"/>
        <w:jc w:val="center"/>
        <w:rPr/>
      </w:pPr>
      <w:r>
        <w:rPr>
          <w:i/>
          <w:iCs/>
          <w:sz w:val="18"/>
          <w:szCs w:val="18"/>
        </w:rPr>
        <w:t>Figura 1. Modelo BPMN AS-IS preliminar del proceso de mantenimiento correctivo (pendiente de validación). Fuente: Elaboración propia.</w:t>
      </w:r>
    </w:p>
    <w:p>
      <w:pPr>
        <w:pStyle w:val="Normal"/>
        <w:jc w:val="both"/>
        <w:rPr/>
      </w:pPr>
      <w:r>
        <w:rPr/>
        <w:t>Los números en rojo de la Figura 1 identifican puntos del proceso que deberán ser verificados en el diagnóstico:</w:t>
      </w:r>
    </w:p>
    <w:tbl>
      <w:tblPr>
        <w:tblW w:w="9404" w:type="dxa"/>
        <w:jc w:val="left"/>
        <w:tblInd w:w="0" w:type="dxa"/>
        <w:tblLayout w:type="fixed"/>
        <w:tblCellMar>
          <w:top w:w="40" w:type="dxa"/>
          <w:left w:w="80" w:type="dxa"/>
          <w:bottom w:w="40" w:type="dxa"/>
          <w:right w:w="80" w:type="dxa"/>
        </w:tblCellMar>
      </w:tblPr>
      <w:tblGrid>
        <w:gridCol w:w="599"/>
        <w:gridCol w:w="2301"/>
        <w:gridCol w:w="3300"/>
        <w:gridCol w:w="3203"/>
      </w:tblGrid>
      <w:tr>
        <w:trPr>
          <w:tblHeader w:val="true"/>
        </w:trPr>
        <w:tc>
          <w:tcPr>
            <w:tcW w:w="599"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7"/>
                <w:szCs w:val="17"/>
              </w:rPr>
              <w:t>N°</w:t>
            </w:r>
          </w:p>
        </w:tc>
        <w:tc>
          <w:tcPr>
            <w:tcW w:w="230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7"/>
                <w:szCs w:val="17"/>
              </w:rPr>
              <w:t>Actividad</w:t>
            </w:r>
          </w:p>
        </w:tc>
        <w:tc>
          <w:tcPr>
            <w:tcW w:w="3300"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7"/>
                <w:szCs w:val="17"/>
              </w:rPr>
              <w:t>Observación preliminar</w:t>
            </w:r>
          </w:p>
        </w:tc>
        <w:tc>
          <w:tcPr>
            <w:tcW w:w="320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7"/>
                <w:szCs w:val="17"/>
              </w:rPr>
              <w:t>Efecto potencial a verificar</w:t>
            </w:r>
          </w:p>
        </w:tc>
      </w:tr>
      <w:tr>
        <w:trPr/>
        <w:tc>
          <w:tcPr>
            <w:tcW w:w="59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7"/>
                <w:szCs w:val="17"/>
              </w:rPr>
              <w:t>1</w:t>
            </w:r>
          </w:p>
        </w:tc>
        <w:tc>
          <w:tcPr>
            <w:tcW w:w="23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Avisar a jefatura</w:t>
            </w:r>
          </w:p>
        </w:tc>
        <w:tc>
          <w:tcPr>
            <w:tcW w:w="33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El aviso se realiza por teléfono o correo, sin registro centralizado.</w:t>
            </w:r>
          </w:p>
        </w:tc>
        <w:tc>
          <w:tcPr>
            <w:tcW w:w="320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No se conoce la hora de inicio de la falla; no es posible calcular el MTTR.</w:t>
            </w:r>
          </w:p>
        </w:tc>
      </w:tr>
      <w:tr>
        <w:trPr/>
        <w:tc>
          <w:tcPr>
            <w:tcW w:w="59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7"/>
                <w:szCs w:val="17"/>
              </w:rPr>
              <w:t>2</w:t>
            </w:r>
          </w:p>
        </w:tc>
        <w:tc>
          <w:tcPr>
            <w:tcW w:w="23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Evaluar falla y contactar proveedor</w:t>
            </w:r>
          </w:p>
        </w:tc>
        <w:tc>
          <w:tcPr>
            <w:tcW w:w="33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No existe un criterio documentado para priorizar la atención.</w:t>
            </w:r>
          </w:p>
        </w:tc>
        <w:tc>
          <w:tcPr>
            <w:tcW w:w="320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Tiempos de respuesta variables según el equipo y el proveedor.</w:t>
            </w:r>
          </w:p>
        </w:tc>
      </w:tr>
      <w:tr>
        <w:trPr/>
        <w:tc>
          <w:tcPr>
            <w:tcW w:w="59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7"/>
                <w:szCs w:val="17"/>
              </w:rPr>
              <w:t>3</w:t>
            </w:r>
          </w:p>
        </w:tc>
        <w:tc>
          <w:tcPr>
            <w:tcW w:w="23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¿Proveedor disponible?</w:t>
            </w:r>
          </w:p>
        </w:tc>
        <w:tc>
          <w:tcPr>
            <w:tcW w:w="33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El tiempo de espera del proveedor no se registra.</w:t>
            </w:r>
          </w:p>
        </w:tc>
        <w:tc>
          <w:tcPr>
            <w:tcW w:w="320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No es posible evaluar el cumplimiento de los tiempos de respuesta.</w:t>
            </w:r>
          </w:p>
        </w:tc>
      </w:tr>
      <w:tr>
        <w:trPr/>
        <w:tc>
          <w:tcPr>
            <w:tcW w:w="59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7"/>
                <w:szCs w:val="17"/>
              </w:rPr>
              <w:t>4</w:t>
            </w:r>
          </w:p>
        </w:tc>
        <w:tc>
          <w:tcPr>
            <w:tcW w:w="23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Gestionar compra / importación</w:t>
            </w:r>
          </w:p>
        </w:tc>
        <w:tc>
          <w:tcPr>
            <w:tcW w:w="33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Los tiempos de compra e importación de repuestos no se miden.</w:t>
            </w:r>
          </w:p>
        </w:tc>
        <w:tc>
          <w:tcPr>
            <w:tcW w:w="320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Posible principal componente del tiempo fuera de servicio.</w:t>
            </w:r>
          </w:p>
        </w:tc>
      </w:tr>
      <w:tr>
        <w:trPr/>
        <w:tc>
          <w:tcPr>
            <w:tcW w:w="59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7"/>
                <w:szCs w:val="17"/>
              </w:rPr>
              <w:t>5</w:t>
            </w:r>
          </w:p>
        </w:tc>
        <w:tc>
          <w:tcPr>
            <w:tcW w:w="23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Prueba funcional y entrega de guía</w:t>
            </w:r>
          </w:p>
        </w:tc>
        <w:tc>
          <w:tcPr>
            <w:tcW w:w="33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La guía de trabajo se entrega en papel.</w:t>
            </w:r>
          </w:p>
        </w:tc>
        <w:tc>
          <w:tcPr>
            <w:tcW w:w="320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Información técnica difícil de consultar y analizar.</w:t>
            </w:r>
          </w:p>
        </w:tc>
      </w:tr>
      <w:tr>
        <w:trPr/>
        <w:tc>
          <w:tcPr>
            <w:tcW w:w="59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7"/>
                <w:szCs w:val="17"/>
              </w:rPr>
              <w:t>6</w:t>
            </w:r>
          </w:p>
        </w:tc>
        <w:tc>
          <w:tcPr>
            <w:tcW w:w="23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Firmar recepción y archivar</w:t>
            </w:r>
          </w:p>
        </w:tc>
        <w:tc>
          <w:tcPr>
            <w:tcW w:w="33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Los documentos se archivan en forma física.</w:t>
            </w:r>
          </w:p>
        </w:tc>
        <w:tc>
          <w:tcPr>
            <w:tcW w:w="320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Sin historial trazable por equipo.</w:t>
            </w:r>
          </w:p>
        </w:tc>
      </w:tr>
      <w:tr>
        <w:trPr/>
        <w:tc>
          <w:tcPr>
            <w:tcW w:w="59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7"/>
                <w:szCs w:val="17"/>
              </w:rPr>
              <w:t>7</w:t>
            </w:r>
          </w:p>
        </w:tc>
        <w:tc>
          <w:tcPr>
            <w:tcW w:w="23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Equipo operativo</w:t>
            </w:r>
          </w:p>
        </w:tc>
        <w:tc>
          <w:tcPr>
            <w:tcW w:w="33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No se registran tiempos ni la causa raíz de la falla.</w:t>
            </w:r>
          </w:p>
        </w:tc>
        <w:tc>
          <w:tcPr>
            <w:tcW w:w="320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No se dispone de MTBF, MTTR ni análisis de fallas repetitivas.</w:t>
            </w:r>
          </w:p>
        </w:tc>
      </w:tr>
    </w:tbl>
    <w:p>
      <w:pPr>
        <w:pStyle w:val="Normal"/>
        <w:spacing w:lineRule="auto" w:line="240" w:before="60" w:after="200"/>
        <w:jc w:val="center"/>
        <w:rPr/>
      </w:pPr>
      <w:r>
        <w:rPr>
          <w:i/>
          <w:iCs/>
          <w:sz w:val="18"/>
          <w:szCs w:val="18"/>
        </w:rPr>
        <w:t>Tabla 7. Puntos de verificación identificados en el modelo AS-IS preliminar. Fuente: Elaboración propia.</w:t>
      </w:r>
    </w:p>
    <w:p>
      <w:pPr>
        <w:pStyle w:val="Normal"/>
        <w:jc w:val="both"/>
        <w:rPr/>
      </w:pPr>
      <w:r>
        <w:rPr>
          <w:b/>
          <w:bCs/>
        </w:rPr>
        <w:t>b) Línea base de indicadores.</w:t>
      </w:r>
      <w:r>
        <w:rPr/>
        <w:t xml:space="preserve"> Con los registros disponibles se calcularán los indicadores de la Tabla 4 para cada equipo. A la fecha se dispone de la disponibilidad operacional de Q1 (Tabla 1); el MTBF y el MTTR se calcularán una vez reconstruido el historial de fallas.</w:t>
      </w:r>
    </w:p>
    <w:p>
      <w:pPr>
        <w:pStyle w:val="Normal"/>
        <w:jc w:val="both"/>
        <w:rPr/>
      </w:pPr>
      <w:r>
        <w:rPr>
          <w:b/>
          <w:bCs/>
        </w:rPr>
        <w:t>c) Análisis causal.</w:t>
      </w:r>
      <w:r>
        <w:rPr/>
        <w:t xml:space="preserve"> Cada evento de indisponibilidad se clasificará según su origen: (i) mantenimiento (falla técnica, espera de proveedor, espera de repuesto, mantención programada) u (ii) otros factores (demanda, programación de agenda, disponibilidad de personal, condiciones de la infraestructura). Sobre los eventos atribuibles a mantenimiento se aplicarán el diagrama de Ishikawa y el análisis de Pareto para identificar las causas que concentran la mayor parte del tiempo fuera de servicio, y la técnica de los cinco porqués para llegar a la causa raíz. Los resultados serán validados con la jefatura del servicio.</w:t>
      </w:r>
    </w:p>
    <w:p>
      <w:pPr>
        <w:pStyle w:val="Normal"/>
        <w:jc w:val="both"/>
        <w:rPr/>
      </w:pPr>
      <w:r>
        <w:rPr>
          <w:b/>
          <w:bCs/>
        </w:rPr>
        <w:t>d) Matriz de brechas.</w:t>
      </w:r>
      <w:r>
        <w:rPr/>
        <w:t xml:space="preserve"> Se comparará la situación actual con la situación objetivo definida a partir de los elementos de un programa de mantenimiento de la OMS (2012a) y de las exigencias del ámbito de Equipamiento del estándar de acreditación. Para cada elemento se registrará la situación actual, la situación objetivo, la brecha y su prioridad.</w:t>
      </w:r>
    </w:p>
    <w:p>
      <w:pPr>
        <w:pStyle w:val="Normal"/>
        <w:jc w:val="both"/>
        <w:rPr/>
      </w:pPr>
      <w:r>
        <w:rPr>
          <w:b/>
          <w:bCs/>
        </w:rPr>
        <w:t>Entregable:</w:t>
      </w:r>
      <w:r>
        <w:rPr/>
        <w:t xml:space="preserve"> diagnóstico operacional y financiero, BPMN AS-IS validado, línea base de indicadores y matriz de brechas priorizada.</w:t>
      </w:r>
    </w:p>
    <w:p>
      <w:pPr>
        <w:pStyle w:val="Heading3"/>
        <w:rPr/>
      </w:pPr>
      <w:bookmarkStart w:id="40" w:name="__RefHeading___Toc2837_1992497069"/>
      <w:bookmarkEnd w:id="40"/>
      <w:r>
        <w:rPr/>
        <w:t>3.3.2. Etapa 2: Generación y selección de alternativas (OE2)</w:t>
      </w:r>
    </w:p>
    <w:p>
      <w:pPr>
        <w:pStyle w:val="Normal"/>
        <w:jc w:val="both"/>
        <w:rPr/>
      </w:pPr>
      <w:r>
        <w:rPr>
          <w:b/>
          <w:bCs/>
        </w:rPr>
        <w:t>a) Generación de alternativas.</w:t>
      </w:r>
      <w:r>
        <w:rPr/>
        <w:t xml:space="preserve"> Las tres alternativas de solución se formularán exclusivamente a partir de las brechas priorizadas en la Etapa 1. Ninguna alternativa se define en forma previa; los conceptos mencionados en el marco teórico (por ejemplo, RCM, TPM o sistemas computarizados de gestión del mantenimiento) constituyen referencias posibles, no soluciones preseleccionadas.</w:t>
      </w:r>
    </w:p>
    <w:p>
      <w:pPr>
        <w:pStyle w:val="Normal"/>
        <w:jc w:val="both"/>
        <w:rPr/>
      </w:pPr>
      <w:r>
        <w:rPr>
          <w:b/>
          <w:bCs/>
        </w:rPr>
        <w:t>b) Definición de criterios.</w:t>
      </w:r>
      <w:r>
        <w:rPr/>
        <w:t xml:space="preserve"> Los criterios de evaluación se obtendrán de tres fuentes: las brechas identificadas, la literatura revisada y las restricciones institucionales declaradas por la jefatura. La Tabla 8 presenta los criterios preliminares, que serán validados en esta etapa.</w:t>
      </w:r>
    </w:p>
    <w:tbl>
      <w:tblPr>
        <w:tblW w:w="9404" w:type="dxa"/>
        <w:jc w:val="left"/>
        <w:tblInd w:w="0" w:type="dxa"/>
        <w:tblLayout w:type="fixed"/>
        <w:tblCellMar>
          <w:top w:w="40" w:type="dxa"/>
          <w:left w:w="80" w:type="dxa"/>
          <w:bottom w:w="40" w:type="dxa"/>
          <w:right w:w="80" w:type="dxa"/>
        </w:tblCellMar>
      </w:tblPr>
      <w:tblGrid>
        <w:gridCol w:w="2600"/>
        <w:gridCol w:w="3600"/>
        <w:gridCol w:w="3204"/>
      </w:tblGrid>
      <w:tr>
        <w:trPr>
          <w:tblHeader w:val="true"/>
        </w:trPr>
        <w:tc>
          <w:tcPr>
            <w:tcW w:w="2600"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7"/>
                <w:szCs w:val="17"/>
              </w:rPr>
              <w:t>Criterio</w:t>
            </w:r>
          </w:p>
        </w:tc>
        <w:tc>
          <w:tcPr>
            <w:tcW w:w="3600"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7"/>
                <w:szCs w:val="17"/>
              </w:rPr>
              <w:t>Descripción</w:t>
            </w:r>
          </w:p>
        </w:tc>
        <w:tc>
          <w:tcPr>
            <w:tcW w:w="3204"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7"/>
                <w:szCs w:val="17"/>
              </w:rPr>
              <w:t>Forma de medición</w:t>
            </w:r>
          </w:p>
        </w:tc>
      </w:tr>
      <w:tr>
        <w:trPr/>
        <w:tc>
          <w:tcPr>
            <w:tcW w:w="26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C1. Impacto técnico-operacional</w:t>
            </w:r>
          </w:p>
        </w:tc>
        <w:tc>
          <w:tcPr>
            <w:tcW w:w="36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Capacidad de cerrar las brechas prioritarias y mejorar la disponibilidad.</w:t>
            </w:r>
          </w:p>
        </w:tc>
        <w:tc>
          <w:tcPr>
            <w:tcW w:w="320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Aumento estimado de la disponibilidad y número de brechas cubiertas.</w:t>
            </w:r>
          </w:p>
        </w:tc>
      </w:tr>
      <w:tr>
        <w:trPr/>
        <w:tc>
          <w:tcPr>
            <w:tcW w:w="26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C2. Costo</w:t>
            </w:r>
          </w:p>
        </w:tc>
        <w:tc>
          <w:tcPr>
            <w:tcW w:w="36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Inversión inicial y costos de operación anuales.</w:t>
            </w:r>
          </w:p>
        </w:tc>
        <w:tc>
          <w:tcPr>
            <w:tcW w:w="320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Monto en pesos, transformado a escala de 1 a 5.</w:t>
            </w:r>
          </w:p>
        </w:tc>
      </w:tr>
      <w:tr>
        <w:trPr/>
        <w:tc>
          <w:tcPr>
            <w:tcW w:w="26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C3. Factibilidad de implementación</w:t>
            </w:r>
          </w:p>
        </w:tc>
        <w:tc>
          <w:tcPr>
            <w:tcW w:w="36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Plazo, complejidad y recursos internos requeridos.</w:t>
            </w:r>
          </w:p>
        </w:tc>
        <w:tc>
          <w:tcPr>
            <w:tcW w:w="320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Escala de 1 a 5 con descriptores definidos.</w:t>
            </w:r>
          </w:p>
        </w:tc>
      </w:tr>
      <w:tr>
        <w:trPr/>
        <w:tc>
          <w:tcPr>
            <w:tcW w:w="26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C4. Riesgo</w:t>
            </w:r>
          </w:p>
        </w:tc>
        <w:tc>
          <w:tcPr>
            <w:tcW w:w="36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Dependencia de terceros y probabilidad de no lograr los resultados.</w:t>
            </w:r>
          </w:p>
        </w:tc>
        <w:tc>
          <w:tcPr>
            <w:tcW w:w="320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Escala de 1 a 5 con descriptores definidos.</w:t>
            </w:r>
          </w:p>
        </w:tc>
      </w:tr>
      <w:tr>
        <w:trPr/>
        <w:tc>
          <w:tcPr>
            <w:tcW w:w="26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C5. Cumplimiento normativo</w:t>
            </w:r>
          </w:p>
        </w:tc>
        <w:tc>
          <w:tcPr>
            <w:tcW w:w="36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Aporte al cumplimiento del ámbito de Equipamiento de la acreditación.</w:t>
            </w:r>
          </w:p>
        </w:tc>
        <w:tc>
          <w:tcPr>
            <w:tcW w:w="320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Escala de 1 a 5 con descriptores definidos.</w:t>
            </w:r>
          </w:p>
        </w:tc>
      </w:tr>
    </w:tbl>
    <w:p>
      <w:pPr>
        <w:pStyle w:val="Normal"/>
        <w:spacing w:lineRule="auto" w:line="240" w:before="60" w:after="200"/>
        <w:jc w:val="center"/>
        <w:rPr/>
      </w:pPr>
      <w:r>
        <w:rPr>
          <w:i/>
          <w:iCs/>
          <w:sz w:val="18"/>
          <w:szCs w:val="18"/>
        </w:rPr>
        <w:t>Tabla 8. Criterios preliminares de evaluación de alternativas. Fuente: Elaboración propia.</w:t>
      </w:r>
    </w:p>
    <w:p>
      <w:pPr>
        <w:pStyle w:val="Normal"/>
        <w:jc w:val="both"/>
        <w:rPr/>
      </w:pPr>
      <w:r>
        <w:rPr>
          <w:b/>
          <w:bCs/>
        </w:rPr>
        <w:t>c) Ponderación de criterios.</w:t>
      </w:r>
      <w:r>
        <w:rPr/>
        <w:t xml:space="preserve"> Los pesos se determinarán mediante el método AHP (Saaty, 2008). Un panel compuesto por la jefatura del servicio, un tecnólogo médico y el equipo del proyecto realizará las comparaciones pareadas entre criterios. Se calculará la razón de consistencia (RC) y, si es mayor o igual a 0,10, se revisarán los juicios con el panel hasta obtener una matriz consistente.</w:t>
      </w:r>
    </w:p>
    <w:p>
      <w:pPr>
        <w:pStyle w:val="Normal"/>
        <w:jc w:val="both"/>
        <w:rPr/>
      </w:pPr>
      <w:r>
        <w:rPr>
          <w:b/>
          <w:bCs/>
        </w:rPr>
        <w:t>d) Evaluación y selección.</w:t>
      </w:r>
      <w:r>
        <w:rPr/>
        <w:t xml:space="preserve"> Cada alternativa será calificada en cada criterio en una escala de 1 a 5, con descriptores que definen el significado de cada puntaje. El puntaje total se calculará como </w:t>
      </w:r>
      <w:r>
        <w:rPr>
          <w:b/>
          <w:bCs/>
        </w:rPr>
        <w:t>Pj = Σ (wi × sij)</w:t>
      </w:r>
      <w:r>
        <w:rPr/>
        <w:t>, donde wi es el peso del criterio i y sij el puntaje de la alternativa j en el criterio i. Para verificar la robustez de la decisión, se realizará un análisis de sensibilidad variando los pesos de los criterios más relevantes; la selección se considerará robusta si la alternativa ganadora se mantiene. Todas las calificaciones quedarán documentadas con su fundamento, de manera que la selección sea trazable.</w:t>
      </w:r>
    </w:p>
    <w:p>
      <w:pPr>
        <w:pStyle w:val="Normal"/>
        <w:jc w:val="both"/>
        <w:rPr/>
      </w:pPr>
      <w:r>
        <w:rPr>
          <w:b/>
          <w:bCs/>
        </w:rPr>
        <w:t>Entregable:</w:t>
      </w:r>
      <w:r>
        <w:rPr/>
        <w:t xml:space="preserve"> matriz multicriterio ponderada y alternativa seleccionada con su justificación.</w:t>
      </w:r>
    </w:p>
    <w:p>
      <w:pPr>
        <w:pStyle w:val="Heading3"/>
        <w:rPr/>
      </w:pPr>
      <w:bookmarkStart w:id="41" w:name="__RefHeading___Toc2839_1992497069"/>
      <w:bookmarkEnd w:id="41"/>
      <w:r>
        <w:rPr/>
        <w:t>3.3.3. Etapa 3: Diseño de la solución seleccionada (OE3)</w:t>
      </w:r>
    </w:p>
    <w:p>
      <w:pPr>
        <w:pStyle w:val="Normal"/>
        <w:jc w:val="both"/>
        <w:rPr/>
      </w:pPr>
      <w:r>
        <w:rPr/>
        <w:t>Una vez seleccionada la alternativa, y con el proceso actual ya modelado y validado en la Etapa 1, se desarrollará el modelo BPMN TO-BE, que representará el funcionamiento esperado del proceso y sus diferencias respecto del AS-IS. Los componentes específicos del diseño (procedimientos, recursos, herramientas de gestión y requerimientos) dependerán de la alternativa seleccionada, por lo que no se definen en esta etapa del proyecto.</w:t>
      </w:r>
    </w:p>
    <w:p>
      <w:pPr>
        <w:pStyle w:val="Normal"/>
        <w:jc w:val="both"/>
        <w:rPr/>
      </w:pPr>
      <w:r>
        <w:rPr/>
        <w:t>Independientemente de la alternativa elegida, el modelo TO-BE deberá dar respuesta a los puntos de verificación de la Tabla 7 que resulten confirmados en el diagnóstico. A modo de ejemplo, si se confirma la ausencia de registro del inicio de la falla, el diseño deberá incluir algún mecanismo que permita registrarlo, sin que ello determine la herramienta que se utilizará.</w:t>
      </w:r>
    </w:p>
    <w:p>
      <w:pPr>
        <w:pStyle w:val="Normal"/>
        <w:jc w:val="both"/>
        <w:rPr/>
      </w:pPr>
      <w:r>
        <w:rPr>
          <w:b/>
          <w:bCs/>
        </w:rPr>
        <w:t>Entregable:</w:t>
      </w:r>
      <w:r>
        <w:rPr/>
        <w:t xml:space="preserve"> BPMN TO-BE, descripción de procesos, responsables, recursos y requerimientos de la solución.</w:t>
      </w:r>
    </w:p>
    <w:p>
      <w:pPr>
        <w:pStyle w:val="Heading3"/>
        <w:rPr/>
      </w:pPr>
      <w:bookmarkStart w:id="42" w:name="__RefHeading___Toc2841_1992497069"/>
      <w:bookmarkEnd w:id="42"/>
      <w:r>
        <w:rPr/>
        <w:t>3.3.4. Etapa 4: Evaluación técnico-económica (OE4)</w:t>
      </w:r>
    </w:p>
    <w:p>
      <w:pPr>
        <w:pStyle w:val="Normal"/>
        <w:jc w:val="both"/>
        <w:rPr/>
      </w:pPr>
      <w:r>
        <w:rPr/>
        <w:t>La evaluación se realizará comparando la situación con proyecto con la situación base, en un horizonte de cinco años. El procedimiento es el siguiente:</w:t>
      </w:r>
    </w:p>
    <w:p>
      <w:pPr>
        <w:pStyle w:val="Normal"/>
        <w:jc w:val="both"/>
        <w:rPr/>
      </w:pPr>
      <w:r>
        <w:rPr>
          <w:b/>
          <w:bCs/>
        </w:rPr>
        <w:t>a) Estimación de inversiones y costos.</w:t>
      </w:r>
      <w:r>
        <w:rPr/>
        <w:t xml:space="preserve"> La inversión inicial y los costos de operación se obtendrán de cotizaciones de proveedores, contratos vigentes y precios de mercado. Cuando corresponda, se incluirá la depreciación de los activos y su efecto tributario.</w:t>
      </w:r>
    </w:p>
    <w:p>
      <w:pPr>
        <w:pStyle w:val="Normal"/>
        <w:jc w:val="both"/>
        <w:rPr/>
      </w:pPr>
      <w:r>
        <w:rPr>
          <w:b/>
          <w:bCs/>
        </w:rPr>
        <w:t>b) Estimación de beneficios.</w:t>
      </w:r>
      <w:r>
        <w:rPr/>
        <w:t xml:space="preserve"> Los beneficios se calcularán únicamente sobre la fracción de la indisponibilidad que el diagnóstico atribuya al mantenimiento, mediante las siguientes expresiones:</w:t>
      </w:r>
    </w:p>
    <w:tbl>
      <w:tblPr>
        <w:tblW w:w="9404" w:type="dxa"/>
        <w:jc w:val="left"/>
        <w:tblInd w:w="0" w:type="dxa"/>
        <w:tblLayout w:type="fixed"/>
        <w:tblCellMar>
          <w:top w:w="40" w:type="dxa"/>
          <w:left w:w="80" w:type="dxa"/>
          <w:bottom w:w="40" w:type="dxa"/>
          <w:right w:w="80" w:type="dxa"/>
        </w:tblCellMar>
      </w:tblPr>
      <w:tblGrid>
        <w:gridCol w:w="2399"/>
        <w:gridCol w:w="3701"/>
        <w:gridCol w:w="3304"/>
      </w:tblGrid>
      <w:tr>
        <w:trPr>
          <w:tblHeader w:val="true"/>
        </w:trPr>
        <w:tc>
          <w:tcPr>
            <w:tcW w:w="2399"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7"/>
                <w:szCs w:val="17"/>
              </w:rPr>
              <w:t>Beneficio</w:t>
            </w:r>
          </w:p>
        </w:tc>
        <w:tc>
          <w:tcPr>
            <w:tcW w:w="370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7"/>
                <w:szCs w:val="17"/>
              </w:rPr>
              <w:t>Expresión de cálculo</w:t>
            </w:r>
          </w:p>
        </w:tc>
        <w:tc>
          <w:tcPr>
            <w:tcW w:w="3304"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7"/>
                <w:szCs w:val="17"/>
              </w:rPr>
              <w:t>Fuente de las variables</w:t>
            </w:r>
          </w:p>
        </w:tc>
      </w:tr>
      <w:tr>
        <w:trPr/>
        <w:tc>
          <w:tcPr>
            <w:tcW w:w="239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B1. Margen recuperado por mayor disponibilidad</w:t>
            </w:r>
          </w:p>
        </w:tc>
        <w:tc>
          <w:tcPr>
            <w:tcW w:w="37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B1 = ΔDías disponibles × Exámenes por día × Ingreso medio por examen × Margen de contribución</w:t>
            </w:r>
          </w:p>
        </w:tc>
        <w:tc>
          <w:tcPr>
            <w:tcW w:w="330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ΔDías: diferencia entre la línea base y la meta de la alternativa. Exámenes e ingresos: reportes de actividad. Margen: información financiera del servicio.</w:t>
            </w:r>
          </w:p>
        </w:tc>
      </w:tr>
      <w:tr>
        <w:trPr/>
        <w:tc>
          <w:tcPr>
            <w:tcW w:w="239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B2. Costos correctivos evitados</w:t>
            </w:r>
          </w:p>
        </w:tc>
        <w:tc>
          <w:tcPr>
            <w:tcW w:w="37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B2 = ΔN° de fallas × Costo medio por intervención correctiva</w:t>
            </w:r>
          </w:p>
        </w:tc>
        <w:tc>
          <w:tcPr>
            <w:tcW w:w="330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Historial de fallas y facturas de reparaciones.</w:t>
            </w:r>
          </w:p>
        </w:tc>
      </w:tr>
      <w:tr>
        <w:trPr/>
        <w:tc>
          <w:tcPr>
            <w:tcW w:w="239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B3. Otros beneficios</w:t>
            </w:r>
          </w:p>
        </w:tc>
        <w:tc>
          <w:tcPr>
            <w:tcW w:w="37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Días cama evitados, horas extraordinarias evitadas, entre otros</w:t>
            </w:r>
          </w:p>
        </w:tc>
        <w:tc>
          <w:tcPr>
            <w:tcW w:w="330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7"/>
                <w:szCs w:val="17"/>
              </w:rPr>
              <w:t>Se incorporarán solo si son trazables; de lo contrario, se describirán cualitativamente.</w:t>
            </w:r>
          </w:p>
        </w:tc>
      </w:tr>
    </w:tbl>
    <w:p>
      <w:pPr>
        <w:pStyle w:val="Normal"/>
        <w:spacing w:lineRule="auto" w:line="240" w:before="60" w:after="200"/>
        <w:jc w:val="center"/>
        <w:rPr/>
      </w:pPr>
      <w:r>
        <w:rPr>
          <w:i/>
          <w:iCs/>
          <w:sz w:val="18"/>
          <w:szCs w:val="18"/>
        </w:rPr>
        <w:t>Tabla 9. Procedimiento de estimación de beneficios. Fuente: Elaboración propia.</w:t>
      </w:r>
    </w:p>
    <w:p>
      <w:pPr>
        <w:pStyle w:val="Normal"/>
        <w:jc w:val="both"/>
        <w:rPr/>
      </w:pPr>
      <w:r>
        <w:rPr/>
        <w:t>Como referencia, con los datos de Q1 el ingreso promedio por día operativo fue de aproximadamente $559.691 para el equipo de RX ($40.857.437 / 73 días) y $1.016.295 para el TC ($82.319.867 / 81 días). Estos valores corresponden a ingresos brutos, por lo que, para estimar el beneficio, deberán ajustarse por el margen de contribución y por la demanda efectivamente insatisfecha.</w:t>
      </w:r>
    </w:p>
    <w:p>
      <w:pPr>
        <w:pStyle w:val="Normal"/>
        <w:jc w:val="both"/>
        <w:rPr/>
      </w:pPr>
      <w:r>
        <w:rPr>
          <w:b/>
          <w:bCs/>
        </w:rPr>
        <w:t>c) Flujo de caja e indicadores.</w:t>
      </w:r>
      <w:r>
        <w:rPr/>
        <w:t xml:space="preserve"> Con las inversiones, costos y beneficios se construirá el flujo de caja incremental y se calcularán el VAN, la TIR y el PRI. La tasa de descuento corresponderá a la tasa de costo de capital informada por la institución o, en su defecto, a una tasa de referencia justificada.</w:t>
      </w:r>
    </w:p>
    <w:p>
      <w:pPr>
        <w:pStyle w:val="Normal"/>
        <w:jc w:val="both"/>
        <w:rPr/>
      </w:pPr>
      <w:r>
        <w:rPr>
          <w:b/>
          <w:bCs/>
        </w:rPr>
        <w:t>d) Análisis de sensibilidad y de riesgos.</w:t>
      </w:r>
      <w:r>
        <w:rPr/>
        <w:t xml:space="preserve"> Se realizará un análisis de sensibilidad unidimensional variando en ±10 % y ±20 % las variables con mayor incidencia (días recuperados, margen de contribución, inversión y costos de operación), y se determinará el valor crítico de cada una que hace el VAN igual a cero. Además, se construirá una matriz de riesgos de probabilidad e impacto para los riesgos técnicos, operacionales y económicos, con sus medidas de mitigación.</w:t>
      </w:r>
    </w:p>
    <w:p>
      <w:pPr>
        <w:pStyle w:val="Normal"/>
        <w:jc w:val="both"/>
        <w:rPr/>
      </w:pPr>
      <w:r>
        <w:rPr/>
        <w:t>Todos los supuestos utilizados serán declarados en una tabla de supuestos, indicando su valor, fuente y justificación.</w:t>
      </w:r>
    </w:p>
    <w:p>
      <w:pPr>
        <w:pStyle w:val="Normal"/>
        <w:jc w:val="both"/>
        <w:rPr/>
      </w:pPr>
      <w:r>
        <w:rPr>
          <w:b/>
          <w:bCs/>
        </w:rPr>
        <w:t>Entregable:</w:t>
      </w:r>
      <w:r>
        <w:rPr/>
        <w:t xml:space="preserve"> flujo de caja a cinco años, VAN, TIR, PRI, análisis de sensibilidad y matriz de riesgos.</w:t>
      </w:r>
    </w:p>
    <w:p>
      <w:pPr>
        <w:pStyle w:val="Heading3"/>
        <w:rPr/>
      </w:pPr>
      <w:bookmarkStart w:id="43" w:name="__RefHeading___Toc2843_1992497069"/>
      <w:bookmarkEnd w:id="43"/>
      <w:r>
        <w:rPr/>
        <w:t>3.3.5. Etapa 5: Plan de implementación y control (OE5)</w:t>
      </w:r>
    </w:p>
    <w:p>
      <w:pPr>
        <w:pStyle w:val="Normal"/>
        <w:jc w:val="both"/>
        <w:rPr/>
      </w:pPr>
      <w:r>
        <w:rPr/>
        <w:t>Se elaborará una Carta Gantt de implementación con actividades, duraciones, precedencias e hitos; una matriz de asignación de responsabilidades (RACI); una matriz de riesgos de la implementación; y un cuadro de mando con los indicadores de la Tabla 4, sus metas y su frecuencia de medición.</w:t>
      </w:r>
    </w:p>
    <w:p>
      <w:pPr>
        <w:pStyle w:val="Normal"/>
        <w:jc w:val="both"/>
        <w:rPr/>
      </w:pPr>
      <w:r>
        <w:rPr>
          <w:b/>
          <w:bCs/>
        </w:rPr>
        <w:t>Entregable:</w:t>
      </w:r>
      <w:r>
        <w:rPr/>
        <w:t xml:space="preserve"> plan de implementación y cuadro de mando de indicadores.</w:t>
      </w:r>
    </w:p>
    <w:p>
      <w:pPr>
        <w:pStyle w:val="Heading2"/>
        <w:rPr/>
      </w:pPr>
      <w:bookmarkStart w:id="44" w:name="__RefHeading___Toc2845_1992497069"/>
      <w:bookmarkEnd w:id="44"/>
      <w:r>
        <w:rPr/>
        <w:t>3.4. Matriz de alineación metodológica</w:t>
      </w:r>
    </w:p>
    <w:p>
      <w:pPr>
        <w:pStyle w:val="Normal"/>
        <w:jc w:val="both"/>
        <w:rPr/>
      </w:pPr>
      <w:r>
        <w:rPr/>
        <w:t>La Tabla 10 relaciona cada objetivo específico con su etapa, herramientas, entregable y sección del documento donde se fundamenta cada herramienta.</w:t>
      </w:r>
    </w:p>
    <w:tbl>
      <w:tblPr>
        <w:tblW w:w="9404" w:type="dxa"/>
        <w:jc w:val="left"/>
        <w:tblInd w:w="0" w:type="dxa"/>
        <w:tblLayout w:type="fixed"/>
        <w:tblCellMar>
          <w:top w:w="40" w:type="dxa"/>
          <w:left w:w="80" w:type="dxa"/>
          <w:bottom w:w="40" w:type="dxa"/>
          <w:right w:w="80" w:type="dxa"/>
        </w:tblCellMar>
      </w:tblPr>
      <w:tblGrid>
        <w:gridCol w:w="1450"/>
        <w:gridCol w:w="1700"/>
        <w:gridCol w:w="2350"/>
        <w:gridCol w:w="1500"/>
        <w:gridCol w:w="1200"/>
        <w:gridCol w:w="1203"/>
      </w:tblGrid>
      <w:tr>
        <w:trPr>
          <w:tblHeader w:val="true"/>
        </w:trPr>
        <w:tc>
          <w:tcPr>
            <w:tcW w:w="1450"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6"/>
                <w:szCs w:val="16"/>
              </w:rPr>
              <w:t>Objetivo específico</w:t>
            </w:r>
          </w:p>
        </w:tc>
        <w:tc>
          <w:tcPr>
            <w:tcW w:w="1700"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6"/>
                <w:szCs w:val="16"/>
              </w:rPr>
              <w:t>Etapa</w:t>
            </w:r>
          </w:p>
        </w:tc>
        <w:tc>
          <w:tcPr>
            <w:tcW w:w="2350"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6"/>
                <w:szCs w:val="16"/>
              </w:rPr>
              <w:t>Herramientas</w:t>
            </w:r>
          </w:p>
        </w:tc>
        <w:tc>
          <w:tcPr>
            <w:tcW w:w="1500"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6"/>
                <w:szCs w:val="16"/>
              </w:rPr>
              <w:t>Entregable</w:t>
            </w:r>
          </w:p>
        </w:tc>
        <w:tc>
          <w:tcPr>
            <w:tcW w:w="1200"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6"/>
                <w:szCs w:val="16"/>
              </w:rPr>
              <w:t>Fundamento</w:t>
            </w:r>
          </w:p>
        </w:tc>
        <w:tc>
          <w:tcPr>
            <w:tcW w:w="120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6"/>
                <w:szCs w:val="16"/>
              </w:rPr>
              <w:t>Entrega</w:t>
            </w:r>
          </w:p>
        </w:tc>
      </w:tr>
      <w:tr>
        <w:trPr/>
        <w:tc>
          <w:tcPr>
            <w:tcW w:w="14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6"/>
                <w:szCs w:val="16"/>
              </w:rPr>
              <w:t>OE1. Diagnosticar</w:t>
            </w:r>
          </w:p>
        </w:tc>
        <w:tc>
          <w:tcPr>
            <w:tcW w:w="17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6"/>
                <w:szCs w:val="16"/>
              </w:rPr>
              <w:t>Etapa 1: Diagnóstico de la situación actual</w:t>
            </w:r>
          </w:p>
        </w:tc>
        <w:tc>
          <w:tcPr>
            <w:tcW w:w="23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6"/>
                <w:szCs w:val="16"/>
              </w:rPr>
              <w:t>BPMN AS-IS, indicadores (Do, MTBF, MTTR), Ishikawa, Pareto, 5 porqués, matriz de brechas</w:t>
            </w:r>
          </w:p>
        </w:tc>
        <w:tc>
          <w:tcPr>
            <w:tcW w:w="15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6"/>
                <w:szCs w:val="16"/>
              </w:rPr>
              <w:t>Diagnóstico y matriz de brechas</w:t>
            </w:r>
          </w:p>
        </w:tc>
        <w:tc>
          <w:tcPr>
            <w:tcW w:w="12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6"/>
                <w:szCs w:val="16"/>
              </w:rPr>
              <w:t>2.2.5, 2.2.6, 2.2.7, 3.3.1</w:t>
            </w:r>
          </w:p>
        </w:tc>
        <w:tc>
          <w:tcPr>
            <w:tcW w:w="120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6"/>
                <w:szCs w:val="16"/>
              </w:rPr>
              <w:t>Cátedra 1 (S4–S7)</w:t>
            </w:r>
          </w:p>
        </w:tc>
      </w:tr>
      <w:tr>
        <w:trPr/>
        <w:tc>
          <w:tcPr>
            <w:tcW w:w="14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6"/>
                <w:szCs w:val="16"/>
              </w:rPr>
              <w:t>OE2. Seleccionar</w:t>
            </w:r>
          </w:p>
        </w:tc>
        <w:tc>
          <w:tcPr>
            <w:tcW w:w="17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6"/>
                <w:szCs w:val="16"/>
              </w:rPr>
              <w:t>Etapa 2: Generación y selección de alternativas</w:t>
            </w:r>
          </w:p>
        </w:tc>
        <w:tc>
          <w:tcPr>
            <w:tcW w:w="23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6"/>
                <w:szCs w:val="16"/>
              </w:rPr>
              <w:t>AHP, matriz multicriterio ponderada, sensibilidad de pesos</w:t>
            </w:r>
          </w:p>
        </w:tc>
        <w:tc>
          <w:tcPr>
            <w:tcW w:w="15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6"/>
                <w:szCs w:val="16"/>
              </w:rPr>
              <w:t>Alternativa seleccionada</w:t>
            </w:r>
          </w:p>
        </w:tc>
        <w:tc>
          <w:tcPr>
            <w:tcW w:w="12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6"/>
                <w:szCs w:val="16"/>
              </w:rPr>
              <w:t>2.2.8, 3.3.2</w:t>
            </w:r>
          </w:p>
        </w:tc>
        <w:tc>
          <w:tcPr>
            <w:tcW w:w="120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6"/>
                <w:szCs w:val="16"/>
              </w:rPr>
              <w:t>Cátedra 2 (S8–S9)</w:t>
            </w:r>
          </w:p>
        </w:tc>
      </w:tr>
      <w:tr>
        <w:trPr/>
        <w:tc>
          <w:tcPr>
            <w:tcW w:w="14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6"/>
                <w:szCs w:val="16"/>
              </w:rPr>
              <w:t>OE3. Diseñar</w:t>
            </w:r>
          </w:p>
        </w:tc>
        <w:tc>
          <w:tcPr>
            <w:tcW w:w="17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6"/>
                <w:szCs w:val="16"/>
              </w:rPr>
              <w:t>Etapa 3: Diseño de la solución</w:t>
            </w:r>
          </w:p>
        </w:tc>
        <w:tc>
          <w:tcPr>
            <w:tcW w:w="23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6"/>
                <w:szCs w:val="16"/>
              </w:rPr>
              <w:t>BPMN TO-BE; componentes según la alternativa seleccionada</w:t>
            </w:r>
          </w:p>
        </w:tc>
        <w:tc>
          <w:tcPr>
            <w:tcW w:w="15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6"/>
                <w:szCs w:val="16"/>
              </w:rPr>
              <w:t>Propuesta diseñada</w:t>
            </w:r>
          </w:p>
        </w:tc>
        <w:tc>
          <w:tcPr>
            <w:tcW w:w="12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6"/>
                <w:szCs w:val="16"/>
              </w:rPr>
              <w:t>2.2.1 a 2.2.6, 3.3.3</w:t>
            </w:r>
          </w:p>
        </w:tc>
        <w:tc>
          <w:tcPr>
            <w:tcW w:w="120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6"/>
                <w:szCs w:val="16"/>
              </w:rPr>
              <w:t>Cátedra 2 (S10–S11)</w:t>
            </w:r>
          </w:p>
        </w:tc>
      </w:tr>
      <w:tr>
        <w:trPr/>
        <w:tc>
          <w:tcPr>
            <w:tcW w:w="14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6"/>
                <w:szCs w:val="16"/>
              </w:rPr>
              <w:t>OE4. Evaluar</w:t>
            </w:r>
          </w:p>
        </w:tc>
        <w:tc>
          <w:tcPr>
            <w:tcW w:w="17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6"/>
                <w:szCs w:val="16"/>
              </w:rPr>
              <w:t>Etapa 4: Evaluación técnico-económica</w:t>
            </w:r>
          </w:p>
        </w:tc>
        <w:tc>
          <w:tcPr>
            <w:tcW w:w="23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6"/>
                <w:szCs w:val="16"/>
              </w:rPr>
              <w:t>Flujo de caja, VAN, TIR, PRI, sensibilidad, matriz de riesgos</w:t>
            </w:r>
          </w:p>
        </w:tc>
        <w:tc>
          <w:tcPr>
            <w:tcW w:w="15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6"/>
                <w:szCs w:val="16"/>
              </w:rPr>
              <w:t>Evaluación de factibilidad</w:t>
            </w:r>
          </w:p>
        </w:tc>
        <w:tc>
          <w:tcPr>
            <w:tcW w:w="12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6"/>
                <w:szCs w:val="16"/>
              </w:rPr>
              <w:t>2.2.9, 3.3.4</w:t>
            </w:r>
          </w:p>
        </w:tc>
        <w:tc>
          <w:tcPr>
            <w:tcW w:w="120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6"/>
                <w:szCs w:val="16"/>
              </w:rPr>
              <w:t>Cátedra 2 (S12–S13)</w:t>
            </w:r>
          </w:p>
        </w:tc>
      </w:tr>
      <w:tr>
        <w:trPr/>
        <w:tc>
          <w:tcPr>
            <w:tcW w:w="14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6"/>
                <w:szCs w:val="16"/>
              </w:rPr>
              <w:t>OE5. Elaborar plan</w:t>
            </w:r>
          </w:p>
        </w:tc>
        <w:tc>
          <w:tcPr>
            <w:tcW w:w="17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6"/>
                <w:szCs w:val="16"/>
              </w:rPr>
              <w:t>Etapa 5: Plan de implementación y control</w:t>
            </w:r>
          </w:p>
        </w:tc>
        <w:tc>
          <w:tcPr>
            <w:tcW w:w="23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6"/>
                <w:szCs w:val="16"/>
              </w:rPr>
              <w:t>Carta Gantt, matriz RACI, matriz de riesgos, cuadro de mando</w:t>
            </w:r>
          </w:p>
        </w:tc>
        <w:tc>
          <w:tcPr>
            <w:tcW w:w="15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6"/>
                <w:szCs w:val="16"/>
              </w:rPr>
              <w:t>Plan de implementación</w:t>
            </w:r>
          </w:p>
        </w:tc>
        <w:tc>
          <w:tcPr>
            <w:tcW w:w="12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6"/>
                <w:szCs w:val="16"/>
              </w:rPr>
              <w:t>2.2.10, 3.3.5</w:t>
            </w:r>
          </w:p>
        </w:tc>
        <w:tc>
          <w:tcPr>
            <w:tcW w:w="120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6"/>
                <w:szCs w:val="16"/>
              </w:rPr>
              <w:t>Informe final (S14–S16)</w:t>
            </w:r>
          </w:p>
        </w:tc>
      </w:tr>
    </w:tbl>
    <w:p>
      <w:pPr>
        <w:pStyle w:val="Normal"/>
        <w:spacing w:lineRule="auto" w:line="240" w:before="60" w:after="200"/>
        <w:jc w:val="center"/>
        <w:rPr/>
        <w:sectPr>
          <w:footerReference w:type="even" r:id="rId4"/>
          <w:footerReference w:type="default" r:id="rId5"/>
          <w:type w:val="nextPage"/>
          <w:pgSz w:w="12240" w:h="15840"/>
          <w:pgMar w:left="1418" w:right="1418" w:gutter="0" w:header="0" w:top="1418" w:footer="708" w:bottom="1418"/>
          <w:pgNumType w:fmt="decimal"/>
          <w:formProt w:val="false"/>
          <w:textDirection w:val="lrTb"/>
          <w:docGrid w:type="default" w:linePitch="360" w:charSpace="4096"/>
        </w:sectPr>
      </w:pPr>
      <w:r>
        <w:rPr>
          <w:i/>
          <w:iCs/>
          <w:sz w:val="18"/>
          <w:szCs w:val="18"/>
        </w:rPr>
        <w:t>Tabla 10. Matriz de alineación entre objetivos, etapas, herramientas y entregables. Fuente: Elaboración propia.</w:t>
      </w:r>
    </w:p>
    <w:p>
      <w:pPr>
        <w:pStyle w:val="Heading1"/>
        <w:rPr/>
      </w:pPr>
      <w:bookmarkStart w:id="45" w:name="__RefHeading___Toc2847_1992497069"/>
      <w:bookmarkEnd w:id="45"/>
      <w:r>
        <w:rPr/>
        <w:t>CAPÍTULO IV: PLANIFICACIÓN DEL PROYECTO</w:t>
      </w:r>
    </w:p>
    <w:p>
      <w:pPr>
        <w:pStyle w:val="Heading2"/>
        <w:rPr/>
      </w:pPr>
      <w:bookmarkStart w:id="46" w:name="__RefHeading___Toc2849_1992497069"/>
      <w:bookmarkEnd w:id="46"/>
      <w:r>
        <w:rPr/>
        <w:t>4.1. Carta Gantt del proyecto</w:t>
      </w:r>
    </w:p>
    <w:p>
      <w:pPr>
        <w:pStyle w:val="Normal"/>
        <w:jc w:val="both"/>
        <w:rPr/>
      </w:pPr>
      <w:r>
        <w:rPr/>
        <w:t>La planificación se organiza en las mismas cinco etapas de la metodología (Capítulo III), precedidas por la etapa de formulación del proyecto y seguidas por el cierre. Cada actividad tiene definida su duración en semanas, sus predecesoras (relación fin-comienzo, salvo que se indique CC: comienzo-comienzo), el porcentaje de avance planificado y real al corte de la semana 7, y su programación semanal.</w:t>
      </w:r>
    </w:p>
    <w:tbl>
      <w:tblPr>
        <w:tblW w:w="13648" w:type="dxa"/>
        <w:jc w:val="left"/>
        <w:tblInd w:w="0" w:type="dxa"/>
        <w:tblLayout w:type="fixed"/>
        <w:tblCellMar>
          <w:top w:w="40" w:type="dxa"/>
          <w:left w:w="80" w:type="dxa"/>
          <w:bottom w:w="40" w:type="dxa"/>
          <w:right w:w="80" w:type="dxa"/>
        </w:tblCellMar>
      </w:tblPr>
      <w:tblGrid>
        <w:gridCol w:w="550"/>
        <w:gridCol w:w="3149"/>
        <w:gridCol w:w="601"/>
        <w:gridCol w:w="800"/>
        <w:gridCol w:w="649"/>
        <w:gridCol w:w="650"/>
        <w:gridCol w:w="453"/>
        <w:gridCol w:w="453"/>
        <w:gridCol w:w="453"/>
        <w:gridCol w:w="454"/>
        <w:gridCol w:w="453"/>
        <w:gridCol w:w="453"/>
        <w:gridCol w:w="453"/>
        <w:gridCol w:w="453"/>
        <w:gridCol w:w="453"/>
        <w:gridCol w:w="452"/>
        <w:gridCol w:w="453"/>
        <w:gridCol w:w="453"/>
        <w:gridCol w:w="453"/>
        <w:gridCol w:w="453"/>
        <w:gridCol w:w="453"/>
        <w:gridCol w:w="450"/>
      </w:tblGrid>
      <w:tr>
        <w:trPr>
          <w:tblHeader w:val="true"/>
        </w:trPr>
        <w:tc>
          <w:tcPr>
            <w:tcW w:w="550"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4"/>
                <w:szCs w:val="14"/>
              </w:rPr>
              <w:t>ID</w:t>
            </w:r>
          </w:p>
        </w:tc>
        <w:tc>
          <w:tcPr>
            <w:tcW w:w="3149"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4"/>
                <w:szCs w:val="14"/>
              </w:rPr>
              <w:t>Actividad</w:t>
            </w:r>
          </w:p>
        </w:tc>
        <w:tc>
          <w:tcPr>
            <w:tcW w:w="60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4"/>
                <w:szCs w:val="14"/>
              </w:rPr>
              <w:t>Dur. (sem.)</w:t>
            </w:r>
          </w:p>
        </w:tc>
        <w:tc>
          <w:tcPr>
            <w:tcW w:w="800"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4"/>
                <w:szCs w:val="14"/>
              </w:rPr>
              <w:t>Predece-soras</w:t>
            </w:r>
          </w:p>
        </w:tc>
        <w:tc>
          <w:tcPr>
            <w:tcW w:w="649"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4"/>
                <w:szCs w:val="14"/>
              </w:rPr>
              <w:t>% plan S7</w:t>
            </w:r>
          </w:p>
        </w:tc>
        <w:tc>
          <w:tcPr>
            <w:tcW w:w="650"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4"/>
                <w:szCs w:val="14"/>
              </w:rPr>
              <w:t>% real S7</w:t>
            </w:r>
          </w:p>
        </w:tc>
        <w:tc>
          <w:tcPr>
            <w:tcW w:w="45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4"/>
                <w:szCs w:val="14"/>
              </w:rPr>
              <w:t>S1</w:t>
            </w:r>
          </w:p>
        </w:tc>
        <w:tc>
          <w:tcPr>
            <w:tcW w:w="45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4"/>
                <w:szCs w:val="14"/>
              </w:rPr>
              <w:t>S2</w:t>
            </w:r>
          </w:p>
        </w:tc>
        <w:tc>
          <w:tcPr>
            <w:tcW w:w="45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4"/>
                <w:szCs w:val="14"/>
              </w:rPr>
              <w:t>S3</w:t>
            </w:r>
          </w:p>
        </w:tc>
        <w:tc>
          <w:tcPr>
            <w:tcW w:w="454"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4"/>
                <w:szCs w:val="14"/>
              </w:rPr>
              <w:t>S4</w:t>
            </w:r>
          </w:p>
        </w:tc>
        <w:tc>
          <w:tcPr>
            <w:tcW w:w="45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4"/>
                <w:szCs w:val="14"/>
              </w:rPr>
              <w:t>S5</w:t>
            </w:r>
          </w:p>
        </w:tc>
        <w:tc>
          <w:tcPr>
            <w:tcW w:w="45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4"/>
                <w:szCs w:val="14"/>
              </w:rPr>
              <w:t>S6</w:t>
            </w:r>
          </w:p>
        </w:tc>
        <w:tc>
          <w:tcPr>
            <w:tcW w:w="453" w:type="dxa"/>
            <w:tcBorders>
              <w:top w:val="single" w:sz="4" w:space="0" w:color="808080"/>
              <w:left w:val="single" w:sz="4" w:space="0" w:color="808080"/>
              <w:bottom w:val="single" w:sz="4" w:space="0" w:color="808080"/>
              <w:right w:val="single" w:sz="4" w:space="0" w:color="808080"/>
            </w:tcBorders>
            <w:shd w:color="auto" w:fill="FFC000" w:val="clear"/>
            <w:vAlign w:val="center"/>
          </w:tcPr>
          <w:p>
            <w:pPr>
              <w:pStyle w:val="Normal"/>
              <w:spacing w:lineRule="auto" w:line="240" w:before="20" w:after="20"/>
              <w:jc w:val="center"/>
              <w:rPr/>
            </w:pPr>
            <w:r>
              <w:rPr>
                <w:b/>
                <w:bCs/>
                <w:sz w:val="14"/>
                <w:szCs w:val="14"/>
              </w:rPr>
              <w:t>S7</w:t>
            </w:r>
          </w:p>
        </w:tc>
        <w:tc>
          <w:tcPr>
            <w:tcW w:w="45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4"/>
                <w:szCs w:val="14"/>
              </w:rPr>
              <w:t>S8</w:t>
            </w:r>
          </w:p>
        </w:tc>
        <w:tc>
          <w:tcPr>
            <w:tcW w:w="45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4"/>
                <w:szCs w:val="14"/>
              </w:rPr>
              <w:t>S9</w:t>
            </w:r>
          </w:p>
        </w:tc>
        <w:tc>
          <w:tcPr>
            <w:tcW w:w="452"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4"/>
                <w:szCs w:val="14"/>
              </w:rPr>
              <w:t>S10</w:t>
            </w:r>
          </w:p>
        </w:tc>
        <w:tc>
          <w:tcPr>
            <w:tcW w:w="45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4"/>
                <w:szCs w:val="14"/>
              </w:rPr>
              <w:t>S11</w:t>
            </w:r>
          </w:p>
        </w:tc>
        <w:tc>
          <w:tcPr>
            <w:tcW w:w="45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4"/>
                <w:szCs w:val="14"/>
              </w:rPr>
              <w:t>S12</w:t>
            </w:r>
          </w:p>
        </w:tc>
        <w:tc>
          <w:tcPr>
            <w:tcW w:w="45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4"/>
                <w:szCs w:val="14"/>
              </w:rPr>
              <w:t>S13</w:t>
            </w:r>
          </w:p>
        </w:tc>
        <w:tc>
          <w:tcPr>
            <w:tcW w:w="45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4"/>
                <w:szCs w:val="14"/>
              </w:rPr>
              <w:t>S14</w:t>
            </w:r>
          </w:p>
        </w:tc>
        <w:tc>
          <w:tcPr>
            <w:tcW w:w="45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4"/>
                <w:szCs w:val="14"/>
              </w:rPr>
              <w:t>S15</w:t>
            </w:r>
          </w:p>
        </w:tc>
        <w:tc>
          <w:tcPr>
            <w:tcW w:w="450"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4"/>
                <w:szCs w:val="14"/>
              </w:rPr>
              <w:t>S16</w:t>
            </w:r>
          </w:p>
        </w:tc>
      </w:tr>
      <w:tr>
        <w:trPr/>
        <w:tc>
          <w:tcPr>
            <w:tcW w:w="550" w:type="dxa"/>
            <w:tcBorders>
              <w:top w:val="single" w:sz="4" w:space="0" w:color="808080"/>
              <w:left w:val="single" w:sz="4" w:space="0" w:color="808080"/>
              <w:bottom w:val="single" w:sz="4" w:space="0" w:color="808080"/>
              <w:right w:val="single" w:sz="4" w:space="0" w:color="808080"/>
            </w:tcBorders>
            <w:shd w:color="auto" w:fill="E7E6E6" w:val="clear"/>
            <w:vAlign w:val="center"/>
          </w:tcPr>
          <w:p>
            <w:pPr>
              <w:pStyle w:val="Normal"/>
              <w:spacing w:lineRule="auto" w:line="240" w:before="20" w:after="20"/>
              <w:jc w:val="left"/>
              <w:rPr/>
            </w:pPr>
            <w:r>
              <w:rPr>
                <w:b/>
                <w:bCs/>
                <w:sz w:val="15"/>
                <w:szCs w:val="15"/>
              </w:rPr>
              <w:t>E0</w:t>
            </w:r>
          </w:p>
        </w:tc>
        <w:tc>
          <w:tcPr>
            <w:tcW w:w="13094" w:type="dxa"/>
            <w:gridSpan w:val="21"/>
            <w:tcBorders>
              <w:top w:val="single" w:sz="4" w:space="0" w:color="808080"/>
              <w:left w:val="single" w:sz="4" w:space="0" w:color="808080"/>
              <w:bottom w:val="single" w:sz="4" w:space="0" w:color="808080"/>
              <w:right w:val="single" w:sz="4" w:space="0" w:color="808080"/>
            </w:tcBorders>
            <w:shd w:color="auto" w:fill="E7E6E6" w:val="clear"/>
            <w:vAlign w:val="center"/>
          </w:tcPr>
          <w:p>
            <w:pPr>
              <w:pStyle w:val="Normal"/>
              <w:spacing w:lineRule="auto" w:line="240" w:before="20" w:after="20"/>
              <w:jc w:val="left"/>
              <w:rPr/>
            </w:pPr>
            <w:r>
              <w:rPr>
                <w:b/>
                <w:bCs/>
                <w:sz w:val="15"/>
                <w:szCs w:val="15"/>
              </w:rPr>
              <w:t>Etapa 0: Formulación del proyecto</w:t>
            </w:r>
          </w:p>
        </w:tc>
      </w:tr>
      <w:tr>
        <w:trPr/>
        <w:tc>
          <w:tcPr>
            <w:tcW w:w="5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5"/>
                <w:szCs w:val="15"/>
              </w:rPr>
              <w:t>0.1</w:t>
            </w:r>
          </w:p>
        </w:tc>
        <w:tc>
          <w:tcPr>
            <w:tcW w:w="31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5"/>
                <w:szCs w:val="15"/>
              </w:rPr>
              <w:t>Definición del problema, objetivos y alcance</w:t>
            </w:r>
          </w:p>
        </w:tc>
        <w:tc>
          <w:tcPr>
            <w:tcW w:w="6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2</w:t>
            </w:r>
          </w:p>
        </w:tc>
        <w:tc>
          <w:tcPr>
            <w:tcW w:w="8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w:t>
            </w:r>
          </w:p>
        </w:tc>
        <w:tc>
          <w:tcPr>
            <w:tcW w:w="6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100 %</w:t>
            </w:r>
          </w:p>
        </w:tc>
        <w:tc>
          <w:tcPr>
            <w:tcW w:w="6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100 %</w:t>
            </w:r>
          </w:p>
        </w:tc>
        <w:tc>
          <w:tcPr>
            <w:tcW w:w="453" w:type="dxa"/>
            <w:tcBorders>
              <w:top w:val="single" w:sz="4" w:space="0" w:color="808080"/>
              <w:left w:val="single" w:sz="4" w:space="0" w:color="808080"/>
              <w:bottom w:val="single" w:sz="4" w:space="0" w:color="808080"/>
              <w:right w:val="single" w:sz="4" w:space="0" w:color="808080"/>
            </w:tcBorders>
            <w:shd w:color="auto" w:fill="2F5597" w:val="clear"/>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shd w:color="auto" w:fill="2F5597" w:val="clear"/>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2"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r>
      <w:tr>
        <w:trPr/>
        <w:tc>
          <w:tcPr>
            <w:tcW w:w="5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5"/>
                <w:szCs w:val="15"/>
              </w:rPr>
              <w:t>0.2</w:t>
            </w:r>
          </w:p>
        </w:tc>
        <w:tc>
          <w:tcPr>
            <w:tcW w:w="31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5"/>
                <w:szCs w:val="15"/>
              </w:rPr>
              <w:t>Elaboración y entrega del anteproyecto</w:t>
            </w:r>
          </w:p>
        </w:tc>
        <w:tc>
          <w:tcPr>
            <w:tcW w:w="6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1</w:t>
            </w:r>
          </w:p>
        </w:tc>
        <w:tc>
          <w:tcPr>
            <w:tcW w:w="8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0.1</w:t>
            </w:r>
          </w:p>
        </w:tc>
        <w:tc>
          <w:tcPr>
            <w:tcW w:w="6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100 %</w:t>
            </w:r>
          </w:p>
        </w:tc>
        <w:tc>
          <w:tcPr>
            <w:tcW w:w="6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100 %</w:t>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shd w:color="auto" w:fill="2F5597" w:val="clear"/>
            <w:vAlign w:val="center"/>
          </w:tcPr>
          <w:p>
            <w:pPr>
              <w:pStyle w:val="Normal"/>
              <w:spacing w:lineRule="auto" w:line="240" w:before="20" w:after="20"/>
              <w:jc w:val="center"/>
              <w:rPr/>
            </w:pPr>
            <w:r>
              <w:rPr/>
            </w:r>
          </w:p>
        </w:tc>
        <w:tc>
          <w:tcPr>
            <w:tcW w:w="45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2"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r>
      <w:tr>
        <w:trPr/>
        <w:tc>
          <w:tcPr>
            <w:tcW w:w="5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b/>
                <w:bCs/>
                <w:sz w:val="15"/>
                <w:szCs w:val="15"/>
              </w:rPr>
              <w:t>H1</w:t>
            </w:r>
          </w:p>
        </w:tc>
        <w:tc>
          <w:tcPr>
            <w:tcW w:w="31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b/>
                <w:bCs/>
                <w:sz w:val="15"/>
                <w:szCs w:val="15"/>
              </w:rPr>
              <w:t>Hito: anteproyecto entregado (aprobado con observaciones)</w:t>
            </w:r>
          </w:p>
        </w:tc>
        <w:tc>
          <w:tcPr>
            <w:tcW w:w="6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0</w:t>
            </w:r>
          </w:p>
        </w:tc>
        <w:tc>
          <w:tcPr>
            <w:tcW w:w="8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0.2</w:t>
            </w:r>
          </w:p>
        </w:tc>
        <w:tc>
          <w:tcPr>
            <w:tcW w:w="6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100 %</w:t>
            </w:r>
          </w:p>
        </w:tc>
        <w:tc>
          <w:tcPr>
            <w:tcW w:w="6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100 %</w:t>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b/>
                <w:bCs/>
                <w:color w:val="C00000"/>
                <w:sz w:val="15"/>
                <w:szCs w:val="15"/>
              </w:rPr>
              <w:t>◆</w:t>
            </w:r>
          </w:p>
        </w:tc>
        <w:tc>
          <w:tcPr>
            <w:tcW w:w="45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2"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r>
      <w:tr>
        <w:trPr/>
        <w:tc>
          <w:tcPr>
            <w:tcW w:w="550" w:type="dxa"/>
            <w:tcBorders>
              <w:top w:val="single" w:sz="4" w:space="0" w:color="808080"/>
              <w:left w:val="single" w:sz="4" w:space="0" w:color="808080"/>
              <w:bottom w:val="single" w:sz="4" w:space="0" w:color="808080"/>
              <w:right w:val="single" w:sz="4" w:space="0" w:color="808080"/>
            </w:tcBorders>
            <w:shd w:color="auto" w:fill="E7E6E6" w:val="clear"/>
            <w:vAlign w:val="center"/>
          </w:tcPr>
          <w:p>
            <w:pPr>
              <w:pStyle w:val="Normal"/>
              <w:spacing w:lineRule="auto" w:line="240" w:before="20" w:after="20"/>
              <w:jc w:val="left"/>
              <w:rPr/>
            </w:pPr>
            <w:r>
              <w:rPr>
                <w:b/>
                <w:bCs/>
                <w:sz w:val="15"/>
                <w:szCs w:val="15"/>
              </w:rPr>
              <w:t>E1</w:t>
            </w:r>
          </w:p>
        </w:tc>
        <w:tc>
          <w:tcPr>
            <w:tcW w:w="13094" w:type="dxa"/>
            <w:gridSpan w:val="21"/>
            <w:tcBorders>
              <w:top w:val="single" w:sz="4" w:space="0" w:color="808080"/>
              <w:left w:val="single" w:sz="4" w:space="0" w:color="808080"/>
              <w:bottom w:val="single" w:sz="4" w:space="0" w:color="808080"/>
              <w:right w:val="single" w:sz="4" w:space="0" w:color="808080"/>
            </w:tcBorders>
            <w:shd w:color="auto" w:fill="E7E6E6" w:val="clear"/>
            <w:vAlign w:val="center"/>
          </w:tcPr>
          <w:p>
            <w:pPr>
              <w:pStyle w:val="Normal"/>
              <w:spacing w:lineRule="auto" w:line="240" w:before="20" w:after="20"/>
              <w:jc w:val="left"/>
              <w:rPr/>
            </w:pPr>
            <w:r>
              <w:rPr>
                <w:b/>
                <w:bCs/>
                <w:sz w:val="15"/>
                <w:szCs w:val="15"/>
              </w:rPr>
              <w:t>Etapa 1: Diagnóstico de la situación actual (OE1)</w:t>
            </w:r>
          </w:p>
        </w:tc>
      </w:tr>
      <w:tr>
        <w:trPr/>
        <w:tc>
          <w:tcPr>
            <w:tcW w:w="5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5"/>
                <w:szCs w:val="15"/>
              </w:rPr>
              <w:t>1.1</w:t>
            </w:r>
          </w:p>
        </w:tc>
        <w:tc>
          <w:tcPr>
            <w:tcW w:w="31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5"/>
                <w:szCs w:val="15"/>
              </w:rPr>
              <w:t>Incorporación de observaciones del anteproyecto</w:t>
            </w:r>
          </w:p>
        </w:tc>
        <w:tc>
          <w:tcPr>
            <w:tcW w:w="6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1</w:t>
            </w:r>
          </w:p>
        </w:tc>
        <w:tc>
          <w:tcPr>
            <w:tcW w:w="8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H1</w:t>
            </w:r>
          </w:p>
        </w:tc>
        <w:tc>
          <w:tcPr>
            <w:tcW w:w="6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100 %</w:t>
            </w:r>
          </w:p>
        </w:tc>
        <w:tc>
          <w:tcPr>
            <w:tcW w:w="6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100 %</w:t>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4" w:type="dxa"/>
            <w:tcBorders>
              <w:top w:val="single" w:sz="4" w:space="0" w:color="808080"/>
              <w:left w:val="single" w:sz="4" w:space="0" w:color="808080"/>
              <w:bottom w:val="single" w:sz="4" w:space="0" w:color="808080"/>
              <w:right w:val="single" w:sz="4" w:space="0" w:color="808080"/>
            </w:tcBorders>
            <w:shd w:color="auto" w:fill="2F5597" w:val="clear"/>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2"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r>
      <w:tr>
        <w:trPr/>
        <w:tc>
          <w:tcPr>
            <w:tcW w:w="5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5"/>
                <w:szCs w:val="15"/>
              </w:rPr>
              <w:t>1.2</w:t>
            </w:r>
          </w:p>
        </w:tc>
        <w:tc>
          <w:tcPr>
            <w:tcW w:w="31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5"/>
                <w:szCs w:val="15"/>
              </w:rPr>
              <w:t>Marco referencial: reseña, bases teóricas y legales</w:t>
            </w:r>
          </w:p>
        </w:tc>
        <w:tc>
          <w:tcPr>
            <w:tcW w:w="6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3</w:t>
            </w:r>
          </w:p>
        </w:tc>
        <w:tc>
          <w:tcPr>
            <w:tcW w:w="8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1.1</w:t>
            </w:r>
          </w:p>
        </w:tc>
        <w:tc>
          <w:tcPr>
            <w:tcW w:w="6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100 %</w:t>
            </w:r>
          </w:p>
        </w:tc>
        <w:tc>
          <w:tcPr>
            <w:tcW w:w="6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100 %</w:t>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4" w:type="dxa"/>
            <w:tcBorders>
              <w:top w:val="single" w:sz="4" w:space="0" w:color="808080"/>
              <w:left w:val="single" w:sz="4" w:space="0" w:color="808080"/>
              <w:bottom w:val="single" w:sz="4" w:space="0" w:color="808080"/>
              <w:right w:val="single" w:sz="4" w:space="0" w:color="808080"/>
            </w:tcBorders>
            <w:shd w:color="auto" w:fill="2F5597" w:val="clear"/>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shd w:color="auto" w:fill="2F5597" w:val="clear"/>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shd w:color="auto" w:fill="2F5597" w:val="clear"/>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2"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r>
      <w:tr>
        <w:trPr/>
        <w:tc>
          <w:tcPr>
            <w:tcW w:w="5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5"/>
                <w:szCs w:val="15"/>
              </w:rPr>
              <w:t>1.3</w:t>
            </w:r>
          </w:p>
        </w:tc>
        <w:tc>
          <w:tcPr>
            <w:tcW w:w="31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5"/>
                <w:szCs w:val="15"/>
              </w:rPr>
              <w:t>Levantamiento de información (entrevistas y registros)</w:t>
            </w:r>
          </w:p>
        </w:tc>
        <w:tc>
          <w:tcPr>
            <w:tcW w:w="6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3</w:t>
            </w:r>
          </w:p>
        </w:tc>
        <w:tc>
          <w:tcPr>
            <w:tcW w:w="8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H1</w:t>
            </w:r>
          </w:p>
        </w:tc>
        <w:tc>
          <w:tcPr>
            <w:tcW w:w="6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100 %</w:t>
            </w:r>
          </w:p>
        </w:tc>
        <w:tc>
          <w:tcPr>
            <w:tcW w:w="6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highlight w:val="yellow"/>
              </w:rPr>
              <w:t>80 %</w:t>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4" w:type="dxa"/>
            <w:tcBorders>
              <w:top w:val="single" w:sz="4" w:space="0" w:color="808080"/>
              <w:left w:val="single" w:sz="4" w:space="0" w:color="808080"/>
              <w:bottom w:val="single" w:sz="4" w:space="0" w:color="808080"/>
              <w:right w:val="single" w:sz="4" w:space="0" w:color="808080"/>
            </w:tcBorders>
            <w:shd w:color="auto" w:fill="2F5597" w:val="clear"/>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shd w:color="auto" w:fill="2F5597" w:val="clear"/>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shd w:color="auto" w:fill="2F5597" w:val="clear"/>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2"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r>
      <w:tr>
        <w:trPr/>
        <w:tc>
          <w:tcPr>
            <w:tcW w:w="5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5"/>
                <w:szCs w:val="15"/>
              </w:rPr>
              <w:t>1.4</w:t>
            </w:r>
          </w:p>
        </w:tc>
        <w:tc>
          <w:tcPr>
            <w:tcW w:w="31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5"/>
                <w:szCs w:val="15"/>
              </w:rPr>
              <w:t>Modelamiento y validación del BPMN AS-IS</w:t>
            </w:r>
          </w:p>
        </w:tc>
        <w:tc>
          <w:tcPr>
            <w:tcW w:w="6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2</w:t>
            </w:r>
          </w:p>
        </w:tc>
        <w:tc>
          <w:tcPr>
            <w:tcW w:w="8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1.3 (CC)</w:t>
            </w:r>
          </w:p>
        </w:tc>
        <w:tc>
          <w:tcPr>
            <w:tcW w:w="6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100 %</w:t>
            </w:r>
          </w:p>
        </w:tc>
        <w:tc>
          <w:tcPr>
            <w:tcW w:w="6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highlight w:val="yellow"/>
              </w:rPr>
              <w:t>70 %</w:t>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shd w:color="auto" w:fill="2F5597" w:val="clear"/>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shd w:color="auto" w:fill="2F5597" w:val="clear"/>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2"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r>
      <w:tr>
        <w:trPr/>
        <w:tc>
          <w:tcPr>
            <w:tcW w:w="5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5"/>
                <w:szCs w:val="15"/>
              </w:rPr>
              <w:t>1.5</w:t>
            </w:r>
          </w:p>
        </w:tc>
        <w:tc>
          <w:tcPr>
            <w:tcW w:w="31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5"/>
                <w:szCs w:val="15"/>
              </w:rPr>
              <w:t>Cálculo de la línea base de indicadores</w:t>
            </w:r>
          </w:p>
        </w:tc>
        <w:tc>
          <w:tcPr>
            <w:tcW w:w="6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2</w:t>
            </w:r>
          </w:p>
        </w:tc>
        <w:tc>
          <w:tcPr>
            <w:tcW w:w="8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1.3</w:t>
            </w:r>
          </w:p>
        </w:tc>
        <w:tc>
          <w:tcPr>
            <w:tcW w:w="6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100 %</w:t>
            </w:r>
          </w:p>
        </w:tc>
        <w:tc>
          <w:tcPr>
            <w:tcW w:w="6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highlight w:val="yellow"/>
              </w:rPr>
              <w:t>50 %</w:t>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shd w:color="auto" w:fill="2F5597" w:val="clear"/>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shd w:color="auto" w:fill="2F5597" w:val="clear"/>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2"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r>
      <w:tr>
        <w:trPr/>
        <w:tc>
          <w:tcPr>
            <w:tcW w:w="5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5"/>
                <w:szCs w:val="15"/>
              </w:rPr>
              <w:t>1.6</w:t>
            </w:r>
          </w:p>
        </w:tc>
        <w:tc>
          <w:tcPr>
            <w:tcW w:w="31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5"/>
                <w:szCs w:val="15"/>
              </w:rPr>
              <w:t>Análisis causal y matriz de brechas</w:t>
            </w:r>
          </w:p>
        </w:tc>
        <w:tc>
          <w:tcPr>
            <w:tcW w:w="6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1</w:t>
            </w:r>
          </w:p>
        </w:tc>
        <w:tc>
          <w:tcPr>
            <w:tcW w:w="8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1.4; 1.5</w:t>
            </w:r>
          </w:p>
        </w:tc>
        <w:tc>
          <w:tcPr>
            <w:tcW w:w="6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100 %</w:t>
            </w:r>
          </w:p>
        </w:tc>
        <w:tc>
          <w:tcPr>
            <w:tcW w:w="6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highlight w:val="yellow"/>
              </w:rPr>
              <w:t>20 %</w:t>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shd w:color="auto" w:fill="2F5597" w:val="clear"/>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2"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r>
      <w:tr>
        <w:trPr/>
        <w:tc>
          <w:tcPr>
            <w:tcW w:w="5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5"/>
                <w:szCs w:val="15"/>
              </w:rPr>
              <w:t>1.7</w:t>
            </w:r>
          </w:p>
        </w:tc>
        <w:tc>
          <w:tcPr>
            <w:tcW w:w="31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5"/>
                <w:szCs w:val="15"/>
              </w:rPr>
              <w:t>Redacción y entrega de la Cátedra 1</w:t>
            </w:r>
          </w:p>
        </w:tc>
        <w:tc>
          <w:tcPr>
            <w:tcW w:w="6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1</w:t>
            </w:r>
          </w:p>
        </w:tc>
        <w:tc>
          <w:tcPr>
            <w:tcW w:w="8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1.2</w:t>
            </w:r>
          </w:p>
        </w:tc>
        <w:tc>
          <w:tcPr>
            <w:tcW w:w="6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100 %</w:t>
            </w:r>
          </w:p>
        </w:tc>
        <w:tc>
          <w:tcPr>
            <w:tcW w:w="6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100 %</w:t>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shd w:color="auto" w:fill="2F5597" w:val="clear"/>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2"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r>
      <w:tr>
        <w:trPr/>
        <w:tc>
          <w:tcPr>
            <w:tcW w:w="5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b/>
                <w:bCs/>
                <w:sz w:val="15"/>
                <w:szCs w:val="15"/>
              </w:rPr>
              <w:t>H2</w:t>
            </w:r>
          </w:p>
        </w:tc>
        <w:tc>
          <w:tcPr>
            <w:tcW w:w="31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b/>
                <w:bCs/>
                <w:sz w:val="15"/>
                <w:szCs w:val="15"/>
              </w:rPr>
              <w:t>Hito: entrega Cátedra 1</w:t>
            </w:r>
          </w:p>
        </w:tc>
        <w:tc>
          <w:tcPr>
            <w:tcW w:w="6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0</w:t>
            </w:r>
          </w:p>
        </w:tc>
        <w:tc>
          <w:tcPr>
            <w:tcW w:w="8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1.7</w:t>
            </w:r>
          </w:p>
        </w:tc>
        <w:tc>
          <w:tcPr>
            <w:tcW w:w="6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100 %</w:t>
            </w:r>
          </w:p>
        </w:tc>
        <w:tc>
          <w:tcPr>
            <w:tcW w:w="6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100 %</w:t>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b/>
                <w:bCs/>
                <w:color w:val="C00000"/>
                <w:sz w:val="15"/>
                <w:szCs w:val="15"/>
              </w:rPr>
              <w:t>◆</w:t>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2"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r>
      <w:tr>
        <w:trPr/>
        <w:tc>
          <w:tcPr>
            <w:tcW w:w="550" w:type="dxa"/>
            <w:tcBorders>
              <w:top w:val="single" w:sz="4" w:space="0" w:color="808080"/>
              <w:left w:val="single" w:sz="4" w:space="0" w:color="808080"/>
              <w:bottom w:val="single" w:sz="4" w:space="0" w:color="808080"/>
              <w:right w:val="single" w:sz="4" w:space="0" w:color="808080"/>
            </w:tcBorders>
            <w:shd w:color="auto" w:fill="E7E6E6" w:val="clear"/>
            <w:vAlign w:val="center"/>
          </w:tcPr>
          <w:p>
            <w:pPr>
              <w:pStyle w:val="Normal"/>
              <w:spacing w:lineRule="auto" w:line="240" w:before="20" w:after="20"/>
              <w:jc w:val="left"/>
              <w:rPr/>
            </w:pPr>
            <w:r>
              <w:rPr>
                <w:b/>
                <w:bCs/>
                <w:sz w:val="15"/>
                <w:szCs w:val="15"/>
              </w:rPr>
              <w:t>E2</w:t>
            </w:r>
          </w:p>
        </w:tc>
        <w:tc>
          <w:tcPr>
            <w:tcW w:w="13094" w:type="dxa"/>
            <w:gridSpan w:val="21"/>
            <w:tcBorders>
              <w:top w:val="single" w:sz="4" w:space="0" w:color="808080"/>
              <w:left w:val="single" w:sz="4" w:space="0" w:color="808080"/>
              <w:bottom w:val="single" w:sz="4" w:space="0" w:color="808080"/>
              <w:right w:val="single" w:sz="4" w:space="0" w:color="808080"/>
            </w:tcBorders>
            <w:shd w:color="auto" w:fill="E7E6E6" w:val="clear"/>
            <w:vAlign w:val="center"/>
          </w:tcPr>
          <w:p>
            <w:pPr>
              <w:pStyle w:val="Normal"/>
              <w:spacing w:lineRule="auto" w:line="240" w:before="20" w:after="20"/>
              <w:jc w:val="left"/>
              <w:rPr/>
            </w:pPr>
            <w:r>
              <w:rPr>
                <w:b/>
                <w:bCs/>
                <w:sz w:val="15"/>
                <w:szCs w:val="15"/>
              </w:rPr>
              <w:t>Etapa 2: Generación y selección de alternativas (OE2)</w:t>
            </w:r>
          </w:p>
        </w:tc>
      </w:tr>
      <w:tr>
        <w:trPr/>
        <w:tc>
          <w:tcPr>
            <w:tcW w:w="5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5"/>
                <w:szCs w:val="15"/>
              </w:rPr>
              <w:t>2.1</w:t>
            </w:r>
          </w:p>
        </w:tc>
        <w:tc>
          <w:tcPr>
            <w:tcW w:w="31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5"/>
                <w:szCs w:val="15"/>
              </w:rPr>
              <w:t>Formulación de tres alternativas</w:t>
            </w:r>
          </w:p>
        </w:tc>
        <w:tc>
          <w:tcPr>
            <w:tcW w:w="6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1</w:t>
            </w:r>
          </w:p>
        </w:tc>
        <w:tc>
          <w:tcPr>
            <w:tcW w:w="8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1.6</w:t>
            </w:r>
          </w:p>
        </w:tc>
        <w:tc>
          <w:tcPr>
            <w:tcW w:w="6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0 %</w:t>
            </w:r>
          </w:p>
        </w:tc>
        <w:tc>
          <w:tcPr>
            <w:tcW w:w="6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0 %</w:t>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shd w:color="auto" w:fill="9DC3E6" w:val="clear"/>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2"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r>
      <w:tr>
        <w:trPr/>
        <w:tc>
          <w:tcPr>
            <w:tcW w:w="5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5"/>
                <w:szCs w:val="15"/>
              </w:rPr>
              <w:t>2.2</w:t>
            </w:r>
          </w:p>
        </w:tc>
        <w:tc>
          <w:tcPr>
            <w:tcW w:w="31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5"/>
                <w:szCs w:val="15"/>
              </w:rPr>
              <w:t>Definición de criterios y ponderación AHP</w:t>
            </w:r>
          </w:p>
        </w:tc>
        <w:tc>
          <w:tcPr>
            <w:tcW w:w="6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1</w:t>
            </w:r>
          </w:p>
        </w:tc>
        <w:tc>
          <w:tcPr>
            <w:tcW w:w="8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1.6</w:t>
            </w:r>
          </w:p>
        </w:tc>
        <w:tc>
          <w:tcPr>
            <w:tcW w:w="6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0 %</w:t>
            </w:r>
          </w:p>
        </w:tc>
        <w:tc>
          <w:tcPr>
            <w:tcW w:w="6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0 %</w:t>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shd w:color="auto" w:fill="9DC3E6" w:val="clear"/>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2"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r>
      <w:tr>
        <w:trPr/>
        <w:tc>
          <w:tcPr>
            <w:tcW w:w="5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5"/>
                <w:szCs w:val="15"/>
              </w:rPr>
              <w:t>2.3</w:t>
            </w:r>
          </w:p>
        </w:tc>
        <w:tc>
          <w:tcPr>
            <w:tcW w:w="31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5"/>
                <w:szCs w:val="15"/>
              </w:rPr>
              <w:t>Evaluación multicriterio y selección</w:t>
            </w:r>
          </w:p>
        </w:tc>
        <w:tc>
          <w:tcPr>
            <w:tcW w:w="6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1</w:t>
            </w:r>
          </w:p>
        </w:tc>
        <w:tc>
          <w:tcPr>
            <w:tcW w:w="8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2.1; 2.2</w:t>
            </w:r>
          </w:p>
        </w:tc>
        <w:tc>
          <w:tcPr>
            <w:tcW w:w="6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0 %</w:t>
            </w:r>
          </w:p>
        </w:tc>
        <w:tc>
          <w:tcPr>
            <w:tcW w:w="6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0 %</w:t>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shd w:color="auto" w:fill="9DC3E6" w:val="clear"/>
            <w:vAlign w:val="center"/>
          </w:tcPr>
          <w:p>
            <w:pPr>
              <w:pStyle w:val="Normal"/>
              <w:spacing w:lineRule="auto" w:line="240" w:before="20" w:after="20"/>
              <w:jc w:val="center"/>
              <w:rPr/>
            </w:pPr>
            <w:r>
              <w:rPr/>
            </w:r>
          </w:p>
        </w:tc>
        <w:tc>
          <w:tcPr>
            <w:tcW w:w="452"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r>
      <w:tr>
        <w:trPr/>
        <w:tc>
          <w:tcPr>
            <w:tcW w:w="5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b/>
                <w:bCs/>
                <w:sz w:val="15"/>
                <w:szCs w:val="15"/>
              </w:rPr>
              <w:t>H3</w:t>
            </w:r>
          </w:p>
        </w:tc>
        <w:tc>
          <w:tcPr>
            <w:tcW w:w="31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b/>
                <w:bCs/>
                <w:sz w:val="15"/>
                <w:szCs w:val="15"/>
              </w:rPr>
              <w:t>Hito: alternativa seleccionada</w:t>
            </w:r>
          </w:p>
        </w:tc>
        <w:tc>
          <w:tcPr>
            <w:tcW w:w="6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0</w:t>
            </w:r>
          </w:p>
        </w:tc>
        <w:tc>
          <w:tcPr>
            <w:tcW w:w="8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2.3</w:t>
            </w:r>
          </w:p>
        </w:tc>
        <w:tc>
          <w:tcPr>
            <w:tcW w:w="6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0 %</w:t>
            </w:r>
          </w:p>
        </w:tc>
        <w:tc>
          <w:tcPr>
            <w:tcW w:w="6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0 %</w:t>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b/>
                <w:bCs/>
                <w:color w:val="C00000"/>
                <w:sz w:val="15"/>
                <w:szCs w:val="15"/>
              </w:rPr>
              <w:t>◆</w:t>
            </w:r>
          </w:p>
        </w:tc>
        <w:tc>
          <w:tcPr>
            <w:tcW w:w="452"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r>
      <w:tr>
        <w:trPr/>
        <w:tc>
          <w:tcPr>
            <w:tcW w:w="550" w:type="dxa"/>
            <w:tcBorders>
              <w:top w:val="single" w:sz="4" w:space="0" w:color="808080"/>
              <w:left w:val="single" w:sz="4" w:space="0" w:color="808080"/>
              <w:bottom w:val="single" w:sz="4" w:space="0" w:color="808080"/>
              <w:right w:val="single" w:sz="4" w:space="0" w:color="808080"/>
            </w:tcBorders>
            <w:shd w:color="auto" w:fill="E7E6E6" w:val="clear"/>
            <w:vAlign w:val="center"/>
          </w:tcPr>
          <w:p>
            <w:pPr>
              <w:pStyle w:val="Normal"/>
              <w:spacing w:lineRule="auto" w:line="240" w:before="20" w:after="20"/>
              <w:jc w:val="left"/>
              <w:rPr/>
            </w:pPr>
            <w:r>
              <w:rPr>
                <w:b/>
                <w:bCs/>
                <w:sz w:val="15"/>
                <w:szCs w:val="15"/>
              </w:rPr>
              <w:t>E3</w:t>
            </w:r>
          </w:p>
        </w:tc>
        <w:tc>
          <w:tcPr>
            <w:tcW w:w="13094" w:type="dxa"/>
            <w:gridSpan w:val="21"/>
            <w:tcBorders>
              <w:top w:val="single" w:sz="4" w:space="0" w:color="808080"/>
              <w:left w:val="single" w:sz="4" w:space="0" w:color="808080"/>
              <w:bottom w:val="single" w:sz="4" w:space="0" w:color="808080"/>
              <w:right w:val="single" w:sz="4" w:space="0" w:color="808080"/>
            </w:tcBorders>
            <w:shd w:color="auto" w:fill="E7E6E6" w:val="clear"/>
            <w:vAlign w:val="center"/>
          </w:tcPr>
          <w:p>
            <w:pPr>
              <w:pStyle w:val="Normal"/>
              <w:spacing w:lineRule="auto" w:line="240" w:before="20" w:after="20"/>
              <w:jc w:val="left"/>
              <w:rPr/>
            </w:pPr>
            <w:r>
              <w:rPr>
                <w:b/>
                <w:bCs/>
                <w:sz w:val="15"/>
                <w:szCs w:val="15"/>
              </w:rPr>
              <w:t>Etapa 3: Diseño de la solución (OE3)</w:t>
            </w:r>
          </w:p>
        </w:tc>
      </w:tr>
      <w:tr>
        <w:trPr/>
        <w:tc>
          <w:tcPr>
            <w:tcW w:w="5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5"/>
                <w:szCs w:val="15"/>
              </w:rPr>
              <w:t>3.1</w:t>
            </w:r>
          </w:p>
        </w:tc>
        <w:tc>
          <w:tcPr>
            <w:tcW w:w="31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5"/>
                <w:szCs w:val="15"/>
              </w:rPr>
              <w:t>Modelamiento BPMN TO-BE</w:t>
            </w:r>
          </w:p>
        </w:tc>
        <w:tc>
          <w:tcPr>
            <w:tcW w:w="6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1</w:t>
            </w:r>
          </w:p>
        </w:tc>
        <w:tc>
          <w:tcPr>
            <w:tcW w:w="8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H3</w:t>
            </w:r>
          </w:p>
        </w:tc>
        <w:tc>
          <w:tcPr>
            <w:tcW w:w="6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0 %</w:t>
            </w:r>
          </w:p>
        </w:tc>
        <w:tc>
          <w:tcPr>
            <w:tcW w:w="6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0 %</w:t>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2" w:type="dxa"/>
            <w:tcBorders>
              <w:top w:val="single" w:sz="4" w:space="0" w:color="808080"/>
              <w:left w:val="single" w:sz="4" w:space="0" w:color="808080"/>
              <w:bottom w:val="single" w:sz="4" w:space="0" w:color="808080"/>
              <w:right w:val="single" w:sz="4" w:space="0" w:color="808080"/>
            </w:tcBorders>
            <w:shd w:color="auto" w:fill="9DC3E6" w:val="clear"/>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r>
      <w:tr>
        <w:trPr/>
        <w:tc>
          <w:tcPr>
            <w:tcW w:w="5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5"/>
                <w:szCs w:val="15"/>
              </w:rPr>
              <w:t>3.2</w:t>
            </w:r>
          </w:p>
        </w:tc>
        <w:tc>
          <w:tcPr>
            <w:tcW w:w="31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5"/>
                <w:szCs w:val="15"/>
              </w:rPr>
              <w:t>Definición de procesos, recursos y requerimientos</w:t>
            </w:r>
          </w:p>
        </w:tc>
        <w:tc>
          <w:tcPr>
            <w:tcW w:w="6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2</w:t>
            </w:r>
          </w:p>
        </w:tc>
        <w:tc>
          <w:tcPr>
            <w:tcW w:w="8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3.1 (CC)</w:t>
            </w:r>
          </w:p>
        </w:tc>
        <w:tc>
          <w:tcPr>
            <w:tcW w:w="6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0 %</w:t>
            </w:r>
          </w:p>
        </w:tc>
        <w:tc>
          <w:tcPr>
            <w:tcW w:w="6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0 %</w:t>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2" w:type="dxa"/>
            <w:tcBorders>
              <w:top w:val="single" w:sz="4" w:space="0" w:color="808080"/>
              <w:left w:val="single" w:sz="4" w:space="0" w:color="808080"/>
              <w:bottom w:val="single" w:sz="4" w:space="0" w:color="808080"/>
              <w:right w:val="single" w:sz="4" w:space="0" w:color="808080"/>
            </w:tcBorders>
            <w:shd w:color="auto" w:fill="9DC3E6" w:val="clear"/>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shd w:color="auto" w:fill="9DC3E6" w:val="clear"/>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r>
      <w:tr>
        <w:trPr/>
        <w:tc>
          <w:tcPr>
            <w:tcW w:w="550" w:type="dxa"/>
            <w:tcBorders>
              <w:top w:val="single" w:sz="4" w:space="0" w:color="808080"/>
              <w:left w:val="single" w:sz="4" w:space="0" w:color="808080"/>
              <w:bottom w:val="single" w:sz="4" w:space="0" w:color="808080"/>
              <w:right w:val="single" w:sz="4" w:space="0" w:color="808080"/>
            </w:tcBorders>
            <w:shd w:color="auto" w:fill="E7E6E6" w:val="clear"/>
            <w:vAlign w:val="center"/>
          </w:tcPr>
          <w:p>
            <w:pPr>
              <w:pStyle w:val="Normal"/>
              <w:spacing w:lineRule="auto" w:line="240" w:before="20" w:after="20"/>
              <w:jc w:val="left"/>
              <w:rPr/>
            </w:pPr>
            <w:r>
              <w:rPr>
                <w:b/>
                <w:bCs/>
                <w:sz w:val="15"/>
                <w:szCs w:val="15"/>
              </w:rPr>
              <w:t>E4</w:t>
            </w:r>
          </w:p>
        </w:tc>
        <w:tc>
          <w:tcPr>
            <w:tcW w:w="13094" w:type="dxa"/>
            <w:gridSpan w:val="21"/>
            <w:tcBorders>
              <w:top w:val="single" w:sz="4" w:space="0" w:color="808080"/>
              <w:left w:val="single" w:sz="4" w:space="0" w:color="808080"/>
              <w:bottom w:val="single" w:sz="4" w:space="0" w:color="808080"/>
              <w:right w:val="single" w:sz="4" w:space="0" w:color="808080"/>
            </w:tcBorders>
            <w:shd w:color="auto" w:fill="E7E6E6" w:val="clear"/>
            <w:vAlign w:val="center"/>
          </w:tcPr>
          <w:p>
            <w:pPr>
              <w:pStyle w:val="Normal"/>
              <w:spacing w:lineRule="auto" w:line="240" w:before="20" w:after="20"/>
              <w:jc w:val="left"/>
              <w:rPr/>
            </w:pPr>
            <w:r>
              <w:rPr>
                <w:b/>
                <w:bCs/>
                <w:sz w:val="15"/>
                <w:szCs w:val="15"/>
              </w:rPr>
              <w:t>Etapa 4: Evaluación técnico-económica (OE4)</w:t>
            </w:r>
          </w:p>
        </w:tc>
      </w:tr>
      <w:tr>
        <w:trPr/>
        <w:tc>
          <w:tcPr>
            <w:tcW w:w="5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5"/>
                <w:szCs w:val="15"/>
              </w:rPr>
              <w:t>4.1</w:t>
            </w:r>
          </w:p>
        </w:tc>
        <w:tc>
          <w:tcPr>
            <w:tcW w:w="31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5"/>
                <w:szCs w:val="15"/>
              </w:rPr>
              <w:t>Estimación de inversión, costos y beneficios</w:t>
            </w:r>
          </w:p>
        </w:tc>
        <w:tc>
          <w:tcPr>
            <w:tcW w:w="6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1</w:t>
            </w:r>
          </w:p>
        </w:tc>
        <w:tc>
          <w:tcPr>
            <w:tcW w:w="8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3.2</w:t>
            </w:r>
          </w:p>
        </w:tc>
        <w:tc>
          <w:tcPr>
            <w:tcW w:w="6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0 %</w:t>
            </w:r>
          </w:p>
        </w:tc>
        <w:tc>
          <w:tcPr>
            <w:tcW w:w="6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0 %</w:t>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2"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shd w:color="auto" w:fill="9DC3E6" w:val="clear"/>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r>
      <w:tr>
        <w:trPr/>
        <w:tc>
          <w:tcPr>
            <w:tcW w:w="5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5"/>
                <w:szCs w:val="15"/>
              </w:rPr>
              <w:t>4.2</w:t>
            </w:r>
          </w:p>
        </w:tc>
        <w:tc>
          <w:tcPr>
            <w:tcW w:w="31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5"/>
                <w:szCs w:val="15"/>
              </w:rPr>
              <w:t>Flujo de caja, VAN, TIR y PRI</w:t>
            </w:r>
          </w:p>
        </w:tc>
        <w:tc>
          <w:tcPr>
            <w:tcW w:w="6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2</w:t>
            </w:r>
          </w:p>
        </w:tc>
        <w:tc>
          <w:tcPr>
            <w:tcW w:w="8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4.1 (CC)</w:t>
            </w:r>
          </w:p>
        </w:tc>
        <w:tc>
          <w:tcPr>
            <w:tcW w:w="6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0 %</w:t>
            </w:r>
          </w:p>
        </w:tc>
        <w:tc>
          <w:tcPr>
            <w:tcW w:w="6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0 %</w:t>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2"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shd w:color="auto" w:fill="9DC3E6" w:val="clear"/>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shd w:color="auto" w:fill="9DC3E6" w:val="clear"/>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r>
      <w:tr>
        <w:trPr/>
        <w:tc>
          <w:tcPr>
            <w:tcW w:w="5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5"/>
                <w:szCs w:val="15"/>
              </w:rPr>
              <w:t>4.3</w:t>
            </w:r>
          </w:p>
        </w:tc>
        <w:tc>
          <w:tcPr>
            <w:tcW w:w="31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5"/>
                <w:szCs w:val="15"/>
              </w:rPr>
              <w:t>Análisis de sensibilidad y de riesgos</w:t>
            </w:r>
          </w:p>
        </w:tc>
        <w:tc>
          <w:tcPr>
            <w:tcW w:w="6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1</w:t>
            </w:r>
          </w:p>
        </w:tc>
        <w:tc>
          <w:tcPr>
            <w:tcW w:w="8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4.2</w:t>
            </w:r>
          </w:p>
        </w:tc>
        <w:tc>
          <w:tcPr>
            <w:tcW w:w="6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0 %</w:t>
            </w:r>
          </w:p>
        </w:tc>
        <w:tc>
          <w:tcPr>
            <w:tcW w:w="6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0 %</w:t>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2"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shd w:color="auto" w:fill="9DC3E6" w:val="clear"/>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r>
      <w:tr>
        <w:trPr/>
        <w:tc>
          <w:tcPr>
            <w:tcW w:w="5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b/>
                <w:bCs/>
                <w:sz w:val="15"/>
                <w:szCs w:val="15"/>
              </w:rPr>
              <w:t>H4</w:t>
            </w:r>
          </w:p>
        </w:tc>
        <w:tc>
          <w:tcPr>
            <w:tcW w:w="31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b/>
                <w:bCs/>
                <w:sz w:val="15"/>
                <w:szCs w:val="15"/>
              </w:rPr>
              <w:t>Hito: entrega Cátedra 2</w:t>
            </w:r>
          </w:p>
        </w:tc>
        <w:tc>
          <w:tcPr>
            <w:tcW w:w="6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0</w:t>
            </w:r>
          </w:p>
        </w:tc>
        <w:tc>
          <w:tcPr>
            <w:tcW w:w="8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4.3</w:t>
            </w:r>
          </w:p>
        </w:tc>
        <w:tc>
          <w:tcPr>
            <w:tcW w:w="6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0 %</w:t>
            </w:r>
          </w:p>
        </w:tc>
        <w:tc>
          <w:tcPr>
            <w:tcW w:w="6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0 %</w:t>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2"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b/>
                <w:bCs/>
                <w:color w:val="C00000"/>
                <w:sz w:val="15"/>
                <w:szCs w:val="15"/>
              </w:rPr>
              <w:t>◆</w:t>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r>
      <w:tr>
        <w:trPr/>
        <w:tc>
          <w:tcPr>
            <w:tcW w:w="550" w:type="dxa"/>
            <w:tcBorders>
              <w:top w:val="single" w:sz="4" w:space="0" w:color="808080"/>
              <w:left w:val="single" w:sz="4" w:space="0" w:color="808080"/>
              <w:bottom w:val="single" w:sz="4" w:space="0" w:color="808080"/>
              <w:right w:val="single" w:sz="4" w:space="0" w:color="808080"/>
            </w:tcBorders>
            <w:shd w:color="auto" w:fill="E7E6E6" w:val="clear"/>
            <w:vAlign w:val="center"/>
          </w:tcPr>
          <w:p>
            <w:pPr>
              <w:pStyle w:val="Normal"/>
              <w:spacing w:lineRule="auto" w:line="240" w:before="20" w:after="20"/>
              <w:jc w:val="left"/>
              <w:rPr/>
            </w:pPr>
            <w:r>
              <w:rPr>
                <w:b/>
                <w:bCs/>
                <w:sz w:val="15"/>
                <w:szCs w:val="15"/>
              </w:rPr>
              <w:t>E5</w:t>
            </w:r>
          </w:p>
        </w:tc>
        <w:tc>
          <w:tcPr>
            <w:tcW w:w="13094" w:type="dxa"/>
            <w:gridSpan w:val="21"/>
            <w:tcBorders>
              <w:top w:val="single" w:sz="4" w:space="0" w:color="808080"/>
              <w:left w:val="single" w:sz="4" w:space="0" w:color="808080"/>
              <w:bottom w:val="single" w:sz="4" w:space="0" w:color="808080"/>
              <w:right w:val="single" w:sz="4" w:space="0" w:color="808080"/>
            </w:tcBorders>
            <w:shd w:color="auto" w:fill="E7E6E6" w:val="clear"/>
            <w:vAlign w:val="center"/>
          </w:tcPr>
          <w:p>
            <w:pPr>
              <w:pStyle w:val="Normal"/>
              <w:spacing w:lineRule="auto" w:line="240" w:before="20" w:after="20"/>
              <w:jc w:val="left"/>
              <w:rPr/>
            </w:pPr>
            <w:r>
              <w:rPr>
                <w:b/>
                <w:bCs/>
                <w:sz w:val="15"/>
                <w:szCs w:val="15"/>
              </w:rPr>
              <w:t>Etapa 5: Plan de implementación y control (OE5)</w:t>
            </w:r>
          </w:p>
        </w:tc>
      </w:tr>
      <w:tr>
        <w:trPr/>
        <w:tc>
          <w:tcPr>
            <w:tcW w:w="5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5"/>
                <w:szCs w:val="15"/>
              </w:rPr>
              <w:t>5.1</w:t>
            </w:r>
          </w:p>
        </w:tc>
        <w:tc>
          <w:tcPr>
            <w:tcW w:w="31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5"/>
                <w:szCs w:val="15"/>
              </w:rPr>
              <w:t>Carta Gantt de implementación y matriz RACI</w:t>
            </w:r>
          </w:p>
        </w:tc>
        <w:tc>
          <w:tcPr>
            <w:tcW w:w="6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1</w:t>
            </w:r>
          </w:p>
        </w:tc>
        <w:tc>
          <w:tcPr>
            <w:tcW w:w="8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H4</w:t>
            </w:r>
          </w:p>
        </w:tc>
        <w:tc>
          <w:tcPr>
            <w:tcW w:w="6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0 %</w:t>
            </w:r>
          </w:p>
        </w:tc>
        <w:tc>
          <w:tcPr>
            <w:tcW w:w="6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0 %</w:t>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2"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shd w:color="auto" w:fill="9DC3E6" w:val="clear"/>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r>
      <w:tr>
        <w:trPr/>
        <w:tc>
          <w:tcPr>
            <w:tcW w:w="5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5"/>
                <w:szCs w:val="15"/>
              </w:rPr>
              <w:t>5.2</w:t>
            </w:r>
          </w:p>
        </w:tc>
        <w:tc>
          <w:tcPr>
            <w:tcW w:w="31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5"/>
                <w:szCs w:val="15"/>
              </w:rPr>
              <w:t>Matriz de riesgos y cuadro de mando de indicadores</w:t>
            </w:r>
          </w:p>
        </w:tc>
        <w:tc>
          <w:tcPr>
            <w:tcW w:w="6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2</w:t>
            </w:r>
          </w:p>
        </w:tc>
        <w:tc>
          <w:tcPr>
            <w:tcW w:w="8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5.1 (CC)</w:t>
            </w:r>
          </w:p>
        </w:tc>
        <w:tc>
          <w:tcPr>
            <w:tcW w:w="6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0 %</w:t>
            </w:r>
          </w:p>
        </w:tc>
        <w:tc>
          <w:tcPr>
            <w:tcW w:w="6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0 %</w:t>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2"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shd w:color="auto" w:fill="9DC3E6" w:val="clear"/>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shd w:color="auto" w:fill="9DC3E6" w:val="clear"/>
            <w:vAlign w:val="center"/>
          </w:tcPr>
          <w:p>
            <w:pPr>
              <w:pStyle w:val="Normal"/>
              <w:spacing w:lineRule="auto" w:line="240" w:before="20" w:after="20"/>
              <w:jc w:val="center"/>
              <w:rPr/>
            </w:pPr>
            <w:r>
              <w:rPr/>
            </w:r>
          </w:p>
        </w:tc>
        <w:tc>
          <w:tcPr>
            <w:tcW w:w="4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r>
      <w:tr>
        <w:trPr/>
        <w:tc>
          <w:tcPr>
            <w:tcW w:w="5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5"/>
                <w:szCs w:val="15"/>
              </w:rPr>
              <w:t>5.3</w:t>
            </w:r>
          </w:p>
        </w:tc>
        <w:tc>
          <w:tcPr>
            <w:tcW w:w="31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5"/>
                <w:szCs w:val="15"/>
              </w:rPr>
              <w:t>Redacción del borrador del informe final</w:t>
            </w:r>
          </w:p>
        </w:tc>
        <w:tc>
          <w:tcPr>
            <w:tcW w:w="6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1</w:t>
            </w:r>
          </w:p>
        </w:tc>
        <w:tc>
          <w:tcPr>
            <w:tcW w:w="8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5.2</w:t>
            </w:r>
          </w:p>
        </w:tc>
        <w:tc>
          <w:tcPr>
            <w:tcW w:w="6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0 %</w:t>
            </w:r>
          </w:p>
        </w:tc>
        <w:tc>
          <w:tcPr>
            <w:tcW w:w="6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0 %</w:t>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2"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shd w:color="auto" w:fill="9DC3E6" w:val="clear"/>
            <w:vAlign w:val="center"/>
          </w:tcPr>
          <w:p>
            <w:pPr>
              <w:pStyle w:val="Normal"/>
              <w:spacing w:lineRule="auto" w:line="240" w:before="20" w:after="20"/>
              <w:jc w:val="center"/>
              <w:rPr/>
            </w:pPr>
            <w:r>
              <w:rPr/>
            </w:r>
          </w:p>
        </w:tc>
        <w:tc>
          <w:tcPr>
            <w:tcW w:w="4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r>
      <w:tr>
        <w:trPr/>
        <w:tc>
          <w:tcPr>
            <w:tcW w:w="550" w:type="dxa"/>
            <w:tcBorders>
              <w:top w:val="single" w:sz="4" w:space="0" w:color="808080"/>
              <w:left w:val="single" w:sz="4" w:space="0" w:color="808080"/>
              <w:bottom w:val="single" w:sz="4" w:space="0" w:color="808080"/>
              <w:right w:val="single" w:sz="4" w:space="0" w:color="808080"/>
            </w:tcBorders>
            <w:shd w:color="auto" w:fill="E7E6E6" w:val="clear"/>
            <w:vAlign w:val="center"/>
          </w:tcPr>
          <w:p>
            <w:pPr>
              <w:pStyle w:val="Normal"/>
              <w:spacing w:lineRule="auto" w:line="240" w:before="20" w:after="20"/>
              <w:jc w:val="left"/>
              <w:rPr/>
            </w:pPr>
            <w:r>
              <w:rPr>
                <w:b/>
                <w:bCs/>
                <w:sz w:val="15"/>
                <w:szCs w:val="15"/>
              </w:rPr>
              <w:t>E6</w:t>
            </w:r>
          </w:p>
        </w:tc>
        <w:tc>
          <w:tcPr>
            <w:tcW w:w="13094" w:type="dxa"/>
            <w:gridSpan w:val="21"/>
            <w:tcBorders>
              <w:top w:val="single" w:sz="4" w:space="0" w:color="808080"/>
              <w:left w:val="single" w:sz="4" w:space="0" w:color="808080"/>
              <w:bottom w:val="single" w:sz="4" w:space="0" w:color="808080"/>
              <w:right w:val="single" w:sz="4" w:space="0" w:color="808080"/>
            </w:tcBorders>
            <w:shd w:color="auto" w:fill="E7E6E6" w:val="clear"/>
            <w:vAlign w:val="center"/>
          </w:tcPr>
          <w:p>
            <w:pPr>
              <w:pStyle w:val="Normal"/>
              <w:spacing w:lineRule="auto" w:line="240" w:before="20" w:after="20"/>
              <w:jc w:val="left"/>
              <w:rPr/>
            </w:pPr>
            <w:r>
              <w:rPr>
                <w:b/>
                <w:bCs/>
                <w:sz w:val="15"/>
                <w:szCs w:val="15"/>
              </w:rPr>
              <w:t>Cierre</w:t>
            </w:r>
          </w:p>
        </w:tc>
      </w:tr>
      <w:tr>
        <w:trPr/>
        <w:tc>
          <w:tcPr>
            <w:tcW w:w="5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5"/>
                <w:szCs w:val="15"/>
              </w:rPr>
              <w:t>6.1</w:t>
            </w:r>
          </w:p>
        </w:tc>
        <w:tc>
          <w:tcPr>
            <w:tcW w:w="31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5"/>
                <w:szCs w:val="15"/>
              </w:rPr>
              <w:t>Correcciones finales y ensayo de pre-defensa</w:t>
            </w:r>
          </w:p>
        </w:tc>
        <w:tc>
          <w:tcPr>
            <w:tcW w:w="6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1</w:t>
            </w:r>
          </w:p>
        </w:tc>
        <w:tc>
          <w:tcPr>
            <w:tcW w:w="8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5.3</w:t>
            </w:r>
          </w:p>
        </w:tc>
        <w:tc>
          <w:tcPr>
            <w:tcW w:w="6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0 %</w:t>
            </w:r>
          </w:p>
        </w:tc>
        <w:tc>
          <w:tcPr>
            <w:tcW w:w="6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0 %</w:t>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2"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0" w:type="dxa"/>
            <w:tcBorders>
              <w:top w:val="single" w:sz="4" w:space="0" w:color="808080"/>
              <w:left w:val="single" w:sz="4" w:space="0" w:color="808080"/>
              <w:bottom w:val="single" w:sz="4" w:space="0" w:color="808080"/>
              <w:right w:val="single" w:sz="4" w:space="0" w:color="808080"/>
            </w:tcBorders>
            <w:shd w:color="auto" w:fill="9DC3E6" w:val="clear"/>
            <w:vAlign w:val="center"/>
          </w:tcPr>
          <w:p>
            <w:pPr>
              <w:pStyle w:val="Normal"/>
              <w:spacing w:lineRule="auto" w:line="240" w:before="20" w:after="20"/>
              <w:jc w:val="center"/>
              <w:rPr/>
            </w:pPr>
            <w:r>
              <w:rPr/>
            </w:r>
          </w:p>
        </w:tc>
      </w:tr>
      <w:tr>
        <w:trPr/>
        <w:tc>
          <w:tcPr>
            <w:tcW w:w="5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b/>
                <w:bCs/>
                <w:sz w:val="15"/>
                <w:szCs w:val="15"/>
              </w:rPr>
              <w:t>H5</w:t>
            </w:r>
          </w:p>
        </w:tc>
        <w:tc>
          <w:tcPr>
            <w:tcW w:w="31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b/>
                <w:bCs/>
                <w:sz w:val="15"/>
                <w:szCs w:val="15"/>
              </w:rPr>
              <w:t>Hito: examen de título / defensa</w:t>
            </w:r>
          </w:p>
        </w:tc>
        <w:tc>
          <w:tcPr>
            <w:tcW w:w="6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0</w:t>
            </w:r>
          </w:p>
        </w:tc>
        <w:tc>
          <w:tcPr>
            <w:tcW w:w="8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6.1</w:t>
            </w:r>
          </w:p>
        </w:tc>
        <w:tc>
          <w:tcPr>
            <w:tcW w:w="64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0 %</w:t>
            </w:r>
          </w:p>
        </w:tc>
        <w:tc>
          <w:tcPr>
            <w:tcW w:w="6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5"/>
                <w:szCs w:val="15"/>
              </w:rPr>
              <w:t>0 %</w:t>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2"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c>
          <w:tcPr>
            <w:tcW w:w="45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b/>
                <w:bCs/>
                <w:color w:val="C00000"/>
                <w:sz w:val="15"/>
                <w:szCs w:val="15"/>
              </w:rPr>
              <w:t>◆</w:t>
            </w:r>
          </w:p>
        </w:tc>
      </w:tr>
    </w:tbl>
    <w:p>
      <w:pPr>
        <w:pStyle w:val="Normal"/>
        <w:spacing w:before="80" w:after="160"/>
        <w:jc w:val="both"/>
        <w:rPr/>
      </w:pPr>
      <w:r>
        <w:rPr>
          <w:sz w:val="16"/>
          <w:szCs w:val="16"/>
        </w:rPr>
        <w:t>Simbología: azul oscuro = semanas ya transcurridas al corte; azul claro = semanas por ejecutar; ◆ = hito; columna en naranja = semana de corte (S7). Los porcentajes de avance real destacados en amarillo corresponden a estimaciones que deben ser confirmadas por el grupo.</w:t>
      </w:r>
    </w:p>
    <w:p>
      <w:pPr>
        <w:pStyle w:val="Normal"/>
        <w:spacing w:lineRule="auto" w:line="240" w:before="60" w:after="200"/>
        <w:jc w:val="center"/>
        <w:rPr/>
        <w:sectPr>
          <w:footerReference w:type="even" r:id="rId6"/>
          <w:footerReference w:type="default" r:id="rId7"/>
          <w:footerReference w:type="first" r:id="rId8"/>
          <w:type w:val="nextPage"/>
          <w:pgSz w:orient="landscape" w:w="15840" w:h="12240"/>
          <w:pgMar w:left="1134" w:right="1134" w:gutter="0" w:header="0" w:top="1134" w:footer="708" w:bottom="1134"/>
          <w:pgNumType w:fmt="decimal"/>
          <w:formProt w:val="false"/>
          <w:textDirection w:val="lrTb"/>
          <w:docGrid w:type="default" w:linePitch="360" w:charSpace="4096"/>
        </w:sectPr>
      </w:pPr>
      <w:r>
        <w:rPr>
          <w:i/>
          <w:iCs/>
          <w:sz w:val="18"/>
          <w:szCs w:val="18"/>
        </w:rPr>
        <w:t>Tabla 11. Carta Gantt del proyecto con estado de avance al corte de la semana 7. Fuente: Elaboración propia.</w:t>
      </w:r>
    </w:p>
    <w:p>
      <w:pPr>
        <w:pStyle w:val="Heading2"/>
        <w:rPr/>
      </w:pPr>
      <w:bookmarkStart w:id="47" w:name="__RefHeading___Toc2851_1992497069"/>
      <w:bookmarkEnd w:id="47"/>
      <w:r>
        <w:rPr/>
        <w:t>4.2. Estado de avance al corte de la semana 7</w:t>
      </w:r>
    </w:p>
    <w:p>
      <w:pPr>
        <w:pStyle w:val="Normal"/>
        <w:jc w:val="both"/>
        <w:rPr/>
      </w:pPr>
      <w:r>
        <w:rPr/>
        <w:t>El avance se calcula ponderando el porcentaje de cada actividad por su duración. Al corte de la semana 7, el avance planificado del proyecto es de 51,6 % y el avance real estimado es de 41,9 %, lo que da un índice de desempeño del cronograma (SPI) de 0,81. Para la Etapa 1, el avance planificado es de 100,0 % y el real estimado de 76,9 %.</w:t>
      </w:r>
    </w:p>
    <w:tbl>
      <w:tblPr>
        <w:tblW w:w="9404" w:type="dxa"/>
        <w:jc w:val="left"/>
        <w:tblInd w:w="0" w:type="dxa"/>
        <w:tblLayout w:type="fixed"/>
        <w:tblCellMar>
          <w:top w:w="40" w:type="dxa"/>
          <w:left w:w="80" w:type="dxa"/>
          <w:bottom w:w="40" w:type="dxa"/>
          <w:right w:w="80" w:type="dxa"/>
        </w:tblCellMar>
      </w:tblPr>
      <w:tblGrid>
        <w:gridCol w:w="3003"/>
        <w:gridCol w:w="1601"/>
        <w:gridCol w:w="1599"/>
        <w:gridCol w:w="1200"/>
        <w:gridCol w:w="2001"/>
      </w:tblGrid>
      <w:tr>
        <w:trPr>
          <w:tblHeader w:val="true"/>
        </w:trPr>
        <w:tc>
          <w:tcPr>
            <w:tcW w:w="300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8"/>
                <w:szCs w:val="18"/>
              </w:rPr>
              <w:t>Etapa</w:t>
            </w:r>
          </w:p>
        </w:tc>
        <w:tc>
          <w:tcPr>
            <w:tcW w:w="160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8"/>
                <w:szCs w:val="18"/>
              </w:rPr>
              <w:t>Avance planificado</w:t>
            </w:r>
          </w:p>
        </w:tc>
        <w:tc>
          <w:tcPr>
            <w:tcW w:w="1599"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8"/>
                <w:szCs w:val="18"/>
              </w:rPr>
              <w:t>Avance real</w:t>
            </w:r>
          </w:p>
        </w:tc>
        <w:tc>
          <w:tcPr>
            <w:tcW w:w="1200"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8"/>
                <w:szCs w:val="18"/>
              </w:rPr>
              <w:t>SPI</w:t>
            </w:r>
          </w:p>
        </w:tc>
        <w:tc>
          <w:tcPr>
            <w:tcW w:w="200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8"/>
                <w:szCs w:val="18"/>
              </w:rPr>
              <w:t>Estado</w:t>
            </w:r>
          </w:p>
        </w:tc>
      </w:tr>
      <w:tr>
        <w:trPr/>
        <w:tc>
          <w:tcPr>
            <w:tcW w:w="300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8"/>
                <w:szCs w:val="18"/>
              </w:rPr>
              <w:t>Etapa 0: Formulación</w:t>
            </w:r>
          </w:p>
        </w:tc>
        <w:tc>
          <w:tcPr>
            <w:tcW w:w="16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8"/>
                <w:szCs w:val="18"/>
              </w:rPr>
              <w:t>100 %</w:t>
            </w:r>
          </w:p>
        </w:tc>
        <w:tc>
          <w:tcPr>
            <w:tcW w:w="159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8"/>
                <w:szCs w:val="18"/>
              </w:rPr>
              <w:t>100 %</w:t>
            </w:r>
          </w:p>
        </w:tc>
        <w:tc>
          <w:tcPr>
            <w:tcW w:w="12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8"/>
                <w:szCs w:val="18"/>
              </w:rPr>
              <w:t>1,00</w:t>
            </w:r>
          </w:p>
        </w:tc>
        <w:tc>
          <w:tcPr>
            <w:tcW w:w="20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8"/>
                <w:szCs w:val="18"/>
              </w:rPr>
              <w:t>Terminada</w:t>
            </w:r>
          </w:p>
        </w:tc>
      </w:tr>
      <w:tr>
        <w:trPr/>
        <w:tc>
          <w:tcPr>
            <w:tcW w:w="300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8"/>
                <w:szCs w:val="18"/>
              </w:rPr>
              <w:t>Etapa 1: Diagnóstico</w:t>
            </w:r>
          </w:p>
        </w:tc>
        <w:tc>
          <w:tcPr>
            <w:tcW w:w="16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8"/>
                <w:szCs w:val="18"/>
              </w:rPr>
              <w:t>100,0 %</w:t>
            </w:r>
          </w:p>
        </w:tc>
        <w:tc>
          <w:tcPr>
            <w:tcW w:w="159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8"/>
                <w:szCs w:val="18"/>
                <w:highlight w:val="yellow"/>
              </w:rPr>
              <w:t>76,9 %</w:t>
            </w:r>
          </w:p>
        </w:tc>
        <w:tc>
          <w:tcPr>
            <w:tcW w:w="12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8"/>
                <w:szCs w:val="18"/>
                <w:highlight w:val="yellow"/>
              </w:rPr>
              <w:t>0,77</w:t>
            </w:r>
          </w:p>
        </w:tc>
        <w:tc>
          <w:tcPr>
            <w:tcW w:w="20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8"/>
                <w:szCs w:val="18"/>
                <w:highlight w:val="yellow"/>
              </w:rPr>
              <w:t>En ejecución, con atraso</w:t>
            </w:r>
          </w:p>
        </w:tc>
      </w:tr>
      <w:tr>
        <w:trPr/>
        <w:tc>
          <w:tcPr>
            <w:tcW w:w="300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8"/>
                <w:szCs w:val="18"/>
              </w:rPr>
              <w:t>Etapas 2 a 5 y cierre</w:t>
            </w:r>
          </w:p>
        </w:tc>
        <w:tc>
          <w:tcPr>
            <w:tcW w:w="16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8"/>
                <w:szCs w:val="18"/>
              </w:rPr>
              <w:t>0 %</w:t>
            </w:r>
          </w:p>
        </w:tc>
        <w:tc>
          <w:tcPr>
            <w:tcW w:w="159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8"/>
                <w:szCs w:val="18"/>
              </w:rPr>
              <w:t>0 %</w:t>
            </w:r>
          </w:p>
        </w:tc>
        <w:tc>
          <w:tcPr>
            <w:tcW w:w="12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8"/>
                <w:szCs w:val="18"/>
              </w:rPr>
              <w:t>—</w:t>
            </w:r>
          </w:p>
        </w:tc>
        <w:tc>
          <w:tcPr>
            <w:tcW w:w="20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8"/>
                <w:szCs w:val="18"/>
              </w:rPr>
              <w:t>No iniciadas</w:t>
            </w:r>
          </w:p>
        </w:tc>
      </w:tr>
      <w:tr>
        <w:trPr/>
        <w:tc>
          <w:tcPr>
            <w:tcW w:w="3003"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b/>
                <w:bCs/>
                <w:sz w:val="18"/>
                <w:szCs w:val="18"/>
              </w:rPr>
              <w:t>Total proyecto</w:t>
            </w:r>
          </w:p>
        </w:tc>
        <w:tc>
          <w:tcPr>
            <w:tcW w:w="16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b/>
                <w:bCs/>
                <w:sz w:val="18"/>
                <w:szCs w:val="18"/>
              </w:rPr>
              <w:t>51,6 %</w:t>
            </w:r>
          </w:p>
        </w:tc>
        <w:tc>
          <w:tcPr>
            <w:tcW w:w="159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b/>
                <w:bCs/>
                <w:sz w:val="18"/>
                <w:szCs w:val="18"/>
                <w:highlight w:val="yellow"/>
              </w:rPr>
              <w:t>41,9 %</w:t>
            </w:r>
          </w:p>
        </w:tc>
        <w:tc>
          <w:tcPr>
            <w:tcW w:w="12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b/>
                <w:bCs/>
                <w:sz w:val="18"/>
                <w:szCs w:val="18"/>
                <w:highlight w:val="yellow"/>
              </w:rPr>
              <w:t>0,81</w:t>
            </w:r>
          </w:p>
        </w:tc>
        <w:tc>
          <w:tcPr>
            <w:tcW w:w="20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r>
          </w:p>
        </w:tc>
      </w:tr>
    </w:tbl>
    <w:p>
      <w:pPr>
        <w:pStyle w:val="Normal"/>
        <w:spacing w:lineRule="auto" w:line="240" w:before="60" w:after="200"/>
        <w:jc w:val="center"/>
        <w:rPr/>
      </w:pPr>
      <w:r>
        <w:rPr>
          <w:i/>
          <w:iCs/>
          <w:sz w:val="18"/>
          <w:szCs w:val="18"/>
        </w:rPr>
        <w:t>Tabla 12. Estado de avance por etapa al corte de la semana 7. Fuente: Elaboración propia.</w:t>
      </w:r>
    </w:p>
    <w:p>
      <w:pPr>
        <w:pStyle w:val="Normal"/>
        <w:jc w:val="both"/>
        <w:rPr/>
      </w:pPr>
      <w:r>
        <w:rPr/>
        <w:t>Las actividades con atraso (1.3 a 1.6) corresponden al levantamiento de información y al análisis del diagnóstico, que dependen del acceso a los registros del centro de salud. Para recuperar el atraso sin afectar el inicio de la Etapa 2, se propone completar el cálculo de la línea base y el análisis causal durante la semana 8, en paralelo con la definición de los criterios de evaluación (actividad 2.2), que no requiere los resultados finales del diagnóstico.</w:t>
      </w:r>
    </w:p>
    <w:p>
      <w:pPr>
        <w:pStyle w:val="Heading2"/>
        <w:rPr/>
      </w:pPr>
      <w:bookmarkStart w:id="48" w:name="__RefHeading___Toc2853_1992497069"/>
      <w:bookmarkEnd w:id="48"/>
      <w:r>
        <w:rPr/>
        <w:t>4.3. Mecanismo de seguimiento y control</w:t>
      </w:r>
    </w:p>
    <w:p>
      <w:pPr>
        <w:pStyle w:val="Normal"/>
        <w:jc w:val="both"/>
        <w:rPr/>
      </w:pPr>
      <w:r>
        <w:rPr/>
        <w:t>El avance se controlará semanalmente mediante la actualización de la columna de avance real de la Carta Gantt y el cálculo del SPI. Se aplicarán los siguientes criterios:</w:t>
      </w:r>
    </w:p>
    <w:tbl>
      <w:tblPr>
        <w:tblW w:w="9404" w:type="dxa"/>
        <w:jc w:val="left"/>
        <w:tblInd w:w="0" w:type="dxa"/>
        <w:tblLayout w:type="fixed"/>
        <w:tblCellMar>
          <w:top w:w="40" w:type="dxa"/>
          <w:left w:w="80" w:type="dxa"/>
          <w:bottom w:w="40" w:type="dxa"/>
          <w:right w:w="80" w:type="dxa"/>
        </w:tblCellMar>
      </w:tblPr>
      <w:tblGrid>
        <w:gridCol w:w="1799"/>
        <w:gridCol w:w="2001"/>
        <w:gridCol w:w="5604"/>
      </w:tblGrid>
      <w:tr>
        <w:trPr>
          <w:tblHeader w:val="true"/>
        </w:trPr>
        <w:tc>
          <w:tcPr>
            <w:tcW w:w="1799"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8"/>
                <w:szCs w:val="18"/>
              </w:rPr>
              <w:t>SPI</w:t>
            </w:r>
          </w:p>
        </w:tc>
        <w:tc>
          <w:tcPr>
            <w:tcW w:w="200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8"/>
                <w:szCs w:val="18"/>
              </w:rPr>
              <w:t>Estado</w:t>
            </w:r>
          </w:p>
        </w:tc>
        <w:tc>
          <w:tcPr>
            <w:tcW w:w="5604"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spacing w:lineRule="auto" w:line="240" w:before="20" w:after="20"/>
              <w:jc w:val="center"/>
              <w:rPr/>
            </w:pPr>
            <w:r>
              <w:rPr>
                <w:b/>
                <w:bCs/>
                <w:sz w:val="18"/>
                <w:szCs w:val="18"/>
              </w:rPr>
              <w:t>Acción</w:t>
            </w:r>
          </w:p>
        </w:tc>
      </w:tr>
      <w:tr>
        <w:trPr/>
        <w:tc>
          <w:tcPr>
            <w:tcW w:w="179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8"/>
                <w:szCs w:val="18"/>
              </w:rPr>
              <w:t xml:space="preserve">≥ </w:t>
            </w:r>
            <w:r>
              <w:rPr>
                <w:sz w:val="18"/>
                <w:szCs w:val="18"/>
              </w:rPr>
              <w:t>0,95</w:t>
            </w:r>
          </w:p>
        </w:tc>
        <w:tc>
          <w:tcPr>
            <w:tcW w:w="2001" w:type="dxa"/>
            <w:tcBorders>
              <w:top w:val="single" w:sz="4" w:space="0" w:color="808080"/>
              <w:left w:val="single" w:sz="4" w:space="0" w:color="808080"/>
              <w:bottom w:val="single" w:sz="4" w:space="0" w:color="808080"/>
              <w:right w:val="single" w:sz="4" w:space="0" w:color="808080"/>
            </w:tcBorders>
            <w:shd w:color="auto" w:fill="C6EFCE" w:val="clear"/>
            <w:vAlign w:val="center"/>
          </w:tcPr>
          <w:p>
            <w:pPr>
              <w:pStyle w:val="Normal"/>
              <w:spacing w:lineRule="auto" w:line="240" w:before="20" w:after="20"/>
              <w:jc w:val="left"/>
              <w:rPr/>
            </w:pPr>
            <w:r>
              <w:rPr>
                <w:sz w:val="18"/>
                <w:szCs w:val="18"/>
              </w:rPr>
              <w:t>En plazo</w:t>
            </w:r>
          </w:p>
        </w:tc>
        <w:tc>
          <w:tcPr>
            <w:tcW w:w="560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8"/>
                <w:szCs w:val="18"/>
              </w:rPr>
              <w:t>Continuar según lo planificado.</w:t>
            </w:r>
          </w:p>
        </w:tc>
      </w:tr>
      <w:tr>
        <w:trPr/>
        <w:tc>
          <w:tcPr>
            <w:tcW w:w="179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8"/>
                <w:szCs w:val="18"/>
              </w:rPr>
              <w:t>0,85 a 0,94</w:t>
            </w:r>
          </w:p>
        </w:tc>
        <w:tc>
          <w:tcPr>
            <w:tcW w:w="2001" w:type="dxa"/>
            <w:tcBorders>
              <w:top w:val="single" w:sz="4" w:space="0" w:color="808080"/>
              <w:left w:val="single" w:sz="4" w:space="0" w:color="808080"/>
              <w:bottom w:val="single" w:sz="4" w:space="0" w:color="808080"/>
              <w:right w:val="single" w:sz="4" w:space="0" w:color="808080"/>
            </w:tcBorders>
            <w:shd w:color="auto" w:fill="FFEB9C" w:val="clear"/>
            <w:vAlign w:val="center"/>
          </w:tcPr>
          <w:p>
            <w:pPr>
              <w:pStyle w:val="Normal"/>
              <w:spacing w:lineRule="auto" w:line="240" w:before="20" w:after="20"/>
              <w:jc w:val="left"/>
              <w:rPr/>
            </w:pPr>
            <w:r>
              <w:rPr>
                <w:sz w:val="18"/>
                <w:szCs w:val="18"/>
              </w:rPr>
              <w:t>Atraso leve</w:t>
            </w:r>
          </w:p>
        </w:tc>
        <w:tc>
          <w:tcPr>
            <w:tcW w:w="560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8"/>
                <w:szCs w:val="18"/>
              </w:rPr>
              <w:t>Reasignar tareas dentro del grupo y revisar las actividades de la semana siguiente.</w:t>
            </w:r>
          </w:p>
        </w:tc>
      </w:tr>
      <w:tr>
        <w:trPr/>
        <w:tc>
          <w:tcPr>
            <w:tcW w:w="179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center"/>
              <w:rPr/>
            </w:pPr>
            <w:r>
              <w:rPr>
                <w:sz w:val="18"/>
                <w:szCs w:val="18"/>
              </w:rPr>
              <w:t>&lt; 0,85</w:t>
            </w:r>
          </w:p>
        </w:tc>
        <w:tc>
          <w:tcPr>
            <w:tcW w:w="2001" w:type="dxa"/>
            <w:tcBorders>
              <w:top w:val="single" w:sz="4" w:space="0" w:color="808080"/>
              <w:left w:val="single" w:sz="4" w:space="0" w:color="808080"/>
              <w:bottom w:val="single" w:sz="4" w:space="0" w:color="808080"/>
              <w:right w:val="single" w:sz="4" w:space="0" w:color="808080"/>
            </w:tcBorders>
            <w:shd w:color="auto" w:fill="FFC7CE" w:val="clear"/>
            <w:vAlign w:val="center"/>
          </w:tcPr>
          <w:p>
            <w:pPr>
              <w:pStyle w:val="Normal"/>
              <w:spacing w:lineRule="auto" w:line="240" w:before="20" w:after="20"/>
              <w:jc w:val="left"/>
              <w:rPr/>
            </w:pPr>
            <w:r>
              <w:rPr>
                <w:sz w:val="18"/>
                <w:szCs w:val="18"/>
              </w:rPr>
              <w:t>Atraso crítico</w:t>
            </w:r>
          </w:p>
        </w:tc>
        <w:tc>
          <w:tcPr>
            <w:tcW w:w="560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jc w:val="left"/>
              <w:rPr/>
            </w:pPr>
            <w:r>
              <w:rPr>
                <w:sz w:val="18"/>
                <w:szCs w:val="18"/>
              </w:rPr>
              <w:t>Informar al docente guía y reprogramar las actividades, protegiendo los hitos de entrega.</w:t>
            </w:r>
          </w:p>
        </w:tc>
      </w:tr>
    </w:tbl>
    <w:p>
      <w:pPr>
        <w:pStyle w:val="Normal"/>
        <w:spacing w:lineRule="auto" w:line="240" w:before="60" w:after="200"/>
        <w:jc w:val="center"/>
        <w:rPr/>
      </w:pPr>
      <w:r>
        <w:rPr>
          <w:i/>
          <w:iCs/>
          <w:sz w:val="18"/>
          <w:szCs w:val="18"/>
        </w:rPr>
        <w:t>Tabla 13. Criterios de control del avance del proyecto. Fuente: Elaboración propia.</w:t>
      </w:r>
    </w:p>
    <w:p>
      <w:pPr>
        <w:pStyle w:val="Normal"/>
        <w:jc w:val="both"/>
        <w:rPr/>
      </w:pPr>
      <w:r>
        <w:rPr/>
        <w:t>Adicionalmente, cada hito se considerará cumplido solo cuando su entregable sea enviado en la fecha programada, y las observaciones del docente se incorporarán en la semana siguiente a cada entrega.</w:t>
      </w:r>
    </w:p>
    <w:p>
      <w:pPr>
        <w:pStyle w:val="Normal"/>
        <w:rPr/>
      </w:pPr>
      <w:r>
        <w:rPr/>
      </w:r>
      <w:r>
        <w:br w:type="page"/>
      </w:r>
    </w:p>
    <w:p>
      <w:pPr>
        <w:pStyle w:val="Heading1"/>
        <w:spacing w:before="0" w:after="160"/>
        <w:rPr/>
      </w:pPr>
      <w:bookmarkStart w:id="49" w:name="__RefHeading___Toc2855_1992497069"/>
      <w:bookmarkEnd w:id="49"/>
      <w:r>
        <w:rPr/>
        <w:t>REFERENCIAS BIBLIOGRÁFICAS</w:t>
      </w:r>
    </w:p>
    <w:p>
      <w:pPr>
        <w:pStyle w:val="Normal"/>
        <w:spacing w:lineRule="auto" w:line="276" w:before="0" w:after="120"/>
        <w:ind w:hanging="709" w:left="709"/>
        <w:jc w:val="left"/>
        <w:rPr/>
      </w:pPr>
      <w:r>
        <w:rPr/>
        <w:t xml:space="preserve">Comité Europeo de Normalización. (2017). </w:t>
      </w:r>
      <w:r>
        <w:rPr>
          <w:i/>
          <w:iCs/>
        </w:rPr>
        <w:t>EN 13306:2017 Maintenance — Maintenance terminology</w:t>
      </w:r>
      <w:r>
        <w:rPr/>
        <w:t>. CEN.</w:t>
      </w:r>
    </w:p>
    <w:p>
      <w:pPr>
        <w:pStyle w:val="Normal"/>
        <w:spacing w:lineRule="auto" w:line="276" w:before="0" w:after="120"/>
        <w:ind w:hanging="709" w:left="709"/>
        <w:jc w:val="left"/>
        <w:rPr/>
      </w:pPr>
      <w:r>
        <w:rPr/>
        <w:t xml:space="preserve">Comité Europeo de Normalización. (2019). </w:t>
      </w:r>
      <w:r>
        <w:rPr>
          <w:i/>
          <w:iCs/>
        </w:rPr>
        <w:t>EN 15341:2019 Maintenance — Maintenance key performance indicators</w:t>
      </w:r>
      <w:r>
        <w:rPr/>
        <w:t>. CEN.</w:t>
      </w:r>
    </w:p>
    <w:p>
      <w:pPr>
        <w:pStyle w:val="Normal"/>
        <w:spacing w:lineRule="auto" w:line="276" w:before="0" w:after="120"/>
        <w:ind w:hanging="709" w:left="709"/>
        <w:jc w:val="left"/>
        <w:rPr/>
      </w:pPr>
      <w:r>
        <w:rPr/>
        <w:t xml:space="preserve">Dumas, M., La Rosa, M., Mendling, J., &amp; Reijers, H. A. (2018). </w:t>
      </w:r>
      <w:r>
        <w:rPr>
          <w:i/>
          <w:iCs/>
        </w:rPr>
        <w:t>Fundamentals of business process management</w:t>
      </w:r>
      <w:r>
        <w:rPr/>
        <w:t xml:space="preserve"> (2.ª ed.). Springer.</w:t>
      </w:r>
    </w:p>
    <w:p>
      <w:pPr>
        <w:pStyle w:val="Normal"/>
        <w:spacing w:lineRule="auto" w:line="276" w:before="0" w:after="120"/>
        <w:ind w:hanging="709" w:left="709"/>
        <w:jc w:val="left"/>
        <w:rPr/>
      </w:pPr>
      <w:r>
        <w:rPr/>
        <w:t xml:space="preserve">Dyro, J. F. (Ed.). (2004). </w:t>
      </w:r>
      <w:r>
        <w:rPr>
          <w:i/>
          <w:iCs/>
        </w:rPr>
        <w:t>Clinical engineering handbook</w:t>
      </w:r>
      <w:r>
        <w:rPr/>
        <w:t>. Elsevier Academic Press.</w:t>
      </w:r>
    </w:p>
    <w:p>
      <w:pPr>
        <w:pStyle w:val="Normal"/>
        <w:spacing w:lineRule="auto" w:line="276" w:before="0" w:after="120"/>
        <w:ind w:hanging="709" w:left="709"/>
        <w:jc w:val="left"/>
        <w:rPr/>
      </w:pPr>
      <w:r>
        <w:rPr/>
        <w:t xml:space="preserve">Ebeling, C. E. (2010). </w:t>
      </w:r>
      <w:r>
        <w:rPr>
          <w:i/>
          <w:iCs/>
        </w:rPr>
        <w:t>An introduction to reliability and maintainability engineering</w:t>
      </w:r>
      <w:r>
        <w:rPr/>
        <w:t xml:space="preserve"> (2.ª ed.). Waveland Press.</w:t>
      </w:r>
    </w:p>
    <w:p>
      <w:pPr>
        <w:pStyle w:val="Normal"/>
        <w:spacing w:lineRule="auto" w:line="276" w:before="0" w:after="120"/>
        <w:ind w:hanging="709" w:left="709"/>
        <w:jc w:val="left"/>
        <w:rPr/>
      </w:pPr>
      <w:r>
        <w:rPr/>
        <w:t xml:space="preserve">Fennigkoh, L., &amp; Smith, B. (1989). Clinical equipment management. </w:t>
      </w:r>
      <w:r>
        <w:rPr>
          <w:i/>
          <w:iCs/>
        </w:rPr>
        <w:t>JCAHO Plant, Technology and Safety Management Series</w:t>
      </w:r>
      <w:r>
        <w:rPr/>
        <w:t>, 2, 3–12.</w:t>
      </w:r>
    </w:p>
    <w:p>
      <w:pPr>
        <w:pStyle w:val="Normal"/>
        <w:spacing w:lineRule="auto" w:line="276" w:before="0" w:after="120"/>
        <w:ind w:hanging="709" w:left="709"/>
        <w:jc w:val="left"/>
        <w:rPr/>
      </w:pPr>
      <w:r>
        <w:rPr/>
        <w:t xml:space="preserve">García Garrido, S. (2003). </w:t>
      </w:r>
      <w:r>
        <w:rPr>
          <w:i/>
          <w:iCs/>
        </w:rPr>
        <w:t>Organización y gestión integral de mantenimiento</w:t>
      </w:r>
      <w:r>
        <w:rPr/>
        <w:t>. Díaz de Santos.</w:t>
      </w:r>
    </w:p>
    <w:p>
      <w:pPr>
        <w:pStyle w:val="Normal"/>
        <w:spacing w:lineRule="auto" w:line="276" w:before="0" w:after="120"/>
        <w:ind w:hanging="709" w:left="709"/>
        <w:jc w:val="left"/>
        <w:rPr/>
      </w:pPr>
      <w:r>
        <w:rPr/>
        <w:t xml:space="preserve">Hernández-Sampieri, R., &amp; Mendoza, C. P. (2018). </w:t>
      </w:r>
      <w:r>
        <w:rPr>
          <w:i/>
          <w:iCs/>
        </w:rPr>
        <w:t>Metodología de la investigación: las rutas cuantitativa, cualitativa y mixta</w:t>
      </w:r>
      <w:r>
        <w:rPr/>
        <w:t>. McGraw-Hill Interamericana.</w:t>
      </w:r>
    </w:p>
    <w:p>
      <w:pPr>
        <w:pStyle w:val="Normal"/>
        <w:spacing w:lineRule="auto" w:line="276" w:before="0" w:after="120"/>
        <w:ind w:hanging="709" w:left="709"/>
        <w:jc w:val="left"/>
        <w:rPr/>
      </w:pPr>
      <w:r>
        <w:rPr/>
        <w:t xml:space="preserve">Hounsfield, G. N. (1973). Computerized transverse axial scanning (tomography): Part 1. Description of system. </w:t>
      </w:r>
      <w:r>
        <w:rPr>
          <w:i/>
          <w:iCs/>
        </w:rPr>
        <w:t>British Journal of Radiology, 46</w:t>
      </w:r>
      <w:r>
        <w:rPr/>
        <w:t>(552), 1016–1022.</w:t>
      </w:r>
    </w:p>
    <w:p>
      <w:pPr>
        <w:pStyle w:val="Normal"/>
        <w:spacing w:lineRule="auto" w:line="276" w:before="0" w:after="120"/>
        <w:ind w:hanging="709" w:left="709"/>
        <w:jc w:val="left"/>
        <w:rPr/>
      </w:pPr>
      <w:r>
        <w:rPr/>
        <w:t xml:space="preserve">Iadanza, E. (Ed.). (2020). </w:t>
      </w:r>
      <w:r>
        <w:rPr>
          <w:i/>
          <w:iCs/>
        </w:rPr>
        <w:t>Clinical engineering handbook</w:t>
      </w:r>
      <w:r>
        <w:rPr/>
        <w:t xml:space="preserve"> (2.ª ed.). Academic Press.</w:t>
      </w:r>
    </w:p>
    <w:p>
      <w:pPr>
        <w:pStyle w:val="Normal"/>
        <w:spacing w:lineRule="auto" w:line="276" w:before="0" w:after="120"/>
        <w:ind w:hanging="709" w:left="709"/>
        <w:jc w:val="left"/>
        <w:rPr/>
      </w:pPr>
      <w:r>
        <w:rPr/>
        <w:t xml:space="preserve">International Electrotechnical Commission. (2014). </w:t>
      </w:r>
      <w:r>
        <w:rPr>
          <w:i/>
          <w:iCs/>
        </w:rPr>
        <w:t>IEC 62353:2014 Medical electrical equipment — Recurrent test and test after repair of medical electrical equipment</w:t>
      </w:r>
      <w:r>
        <w:rPr/>
        <w:t>. IEC.</w:t>
      </w:r>
    </w:p>
    <w:p>
      <w:pPr>
        <w:pStyle w:val="Normal"/>
        <w:spacing w:lineRule="auto" w:line="276" w:before="0" w:after="120"/>
        <w:ind w:hanging="709" w:left="709"/>
        <w:jc w:val="left"/>
        <w:rPr/>
      </w:pPr>
      <w:r>
        <w:rPr/>
        <w:t xml:space="preserve">International Organization for Standardization. (2014). </w:t>
      </w:r>
      <w:r>
        <w:rPr>
          <w:i/>
          <w:iCs/>
        </w:rPr>
        <w:t>ISO 55001:2014 Asset management — Management systems — Requirements</w:t>
      </w:r>
      <w:r>
        <w:rPr/>
        <w:t>. ISO.</w:t>
      </w:r>
    </w:p>
    <w:p>
      <w:pPr>
        <w:pStyle w:val="Normal"/>
        <w:spacing w:lineRule="auto" w:line="276" w:before="0" w:after="120"/>
        <w:ind w:hanging="709" w:left="709"/>
        <w:jc w:val="left"/>
        <w:rPr/>
      </w:pPr>
      <w:r>
        <w:rPr/>
        <w:t xml:space="preserve">Ishikawa, K. (1986). </w:t>
      </w:r>
      <w:r>
        <w:rPr>
          <w:i/>
          <w:iCs/>
        </w:rPr>
        <w:t>¿Qué es el control total de calidad? La modalidad japonesa</w:t>
      </w:r>
      <w:r>
        <w:rPr/>
        <w:t>. Norma.</w:t>
      </w:r>
    </w:p>
    <w:p>
      <w:pPr>
        <w:pStyle w:val="Normal"/>
        <w:spacing w:lineRule="auto" w:line="276" w:before="0" w:after="120"/>
        <w:ind w:hanging="709" w:left="709"/>
        <w:jc w:val="left"/>
        <w:rPr/>
      </w:pPr>
      <w:r>
        <w:rPr/>
        <w:t xml:space="preserve">Jamshidi, A., Rahimi, S. A., Ait-kadi, D., &amp; Ruiz, A. (2015). A comprehensive fuzzy risk-based maintenance framework for prioritization of medical devices. </w:t>
      </w:r>
      <w:r>
        <w:rPr>
          <w:i/>
          <w:iCs/>
        </w:rPr>
        <w:t>Applied Soft Computing, 32</w:t>
      </w:r>
      <w:r>
        <w:rPr/>
        <w:t>, 322–334.</w:t>
      </w:r>
    </w:p>
    <w:p>
      <w:pPr>
        <w:pStyle w:val="Normal"/>
        <w:spacing w:lineRule="auto" w:line="276" w:before="0" w:after="120"/>
        <w:ind w:hanging="709" w:left="709"/>
        <w:jc w:val="left"/>
        <w:rPr/>
      </w:pPr>
      <w:r>
        <w:rPr/>
        <w:t xml:space="preserve">Lauterbur, P. C. (1973). Image formation by induced local interactions: Examples employing nuclear magnetic resonance. </w:t>
      </w:r>
      <w:r>
        <w:rPr>
          <w:i/>
          <w:iCs/>
        </w:rPr>
        <w:t>Nature, 242</w:t>
      </w:r>
      <w:r>
        <w:rPr/>
        <w:t>, 190–191.</w:t>
      </w:r>
    </w:p>
    <w:p>
      <w:pPr>
        <w:pStyle w:val="Normal"/>
        <w:spacing w:lineRule="auto" w:line="276" w:before="0" w:after="120"/>
        <w:ind w:hanging="709" w:left="709"/>
        <w:jc w:val="left"/>
        <w:rPr/>
      </w:pPr>
      <w:r>
        <w:rPr/>
        <w:t xml:space="preserve">Lerma, H. (2009). </w:t>
      </w:r>
      <w:r>
        <w:rPr>
          <w:i/>
          <w:iCs/>
        </w:rPr>
        <w:t>Metodología de la investigación: propuesta, anteproyecto y proyecto</w:t>
      </w:r>
      <w:r>
        <w:rPr/>
        <w:t xml:space="preserve"> (4.ª ed.). Ecoe Ediciones.</w:t>
      </w:r>
    </w:p>
    <w:p>
      <w:pPr>
        <w:pStyle w:val="Normal"/>
        <w:spacing w:lineRule="auto" w:line="276" w:before="0" w:after="120"/>
        <w:ind w:hanging="709" w:left="709"/>
        <w:jc w:val="left"/>
        <w:rPr/>
      </w:pPr>
      <w:r>
        <w:rPr/>
        <w:t>Ley N° 19.966. (2004). Establece un régimen de garantías en salud. Ministerio de Salud de Chile.</w:t>
      </w:r>
    </w:p>
    <w:p>
      <w:pPr>
        <w:pStyle w:val="Normal"/>
        <w:spacing w:lineRule="auto" w:line="276" w:before="0" w:after="120"/>
        <w:ind w:hanging="709" w:left="709"/>
        <w:jc w:val="left"/>
        <w:rPr/>
      </w:pPr>
      <w:r>
        <w:rPr/>
        <w:t>Ley N° 20.584. (2012). Regula los derechos y deberes que tienen las personas en relación con acciones vinculadas a su atención en salud. Ministerio de Salud de Chile.</w:t>
      </w:r>
    </w:p>
    <w:p>
      <w:pPr>
        <w:pStyle w:val="Normal"/>
        <w:spacing w:lineRule="auto" w:line="276" w:before="0" w:after="120"/>
        <w:ind w:hanging="709" w:left="709"/>
        <w:jc w:val="left"/>
        <w:rPr/>
      </w:pPr>
      <w:r>
        <w:rPr/>
        <w:t xml:space="preserve">Ministerio de Salud de Chile. (2007). </w:t>
      </w:r>
      <w:r>
        <w:rPr>
          <w:i/>
          <w:iCs/>
        </w:rPr>
        <w:t>Decreto Supremo N° 15: Reglamento del Sistema de Acreditación para los Prestadores Institucionales de Salud</w:t>
      </w:r>
      <w:r>
        <w:rPr/>
        <w:t>.</w:t>
      </w:r>
    </w:p>
    <w:p>
      <w:pPr>
        <w:pStyle w:val="Normal"/>
        <w:spacing w:lineRule="auto" w:line="276" w:before="0" w:after="120"/>
        <w:ind w:hanging="709" w:left="709"/>
        <w:jc w:val="left"/>
        <w:rPr/>
      </w:pPr>
      <w:r>
        <w:rPr/>
        <w:t xml:space="preserve">Mora Gutiérrez, A. (2009). </w:t>
      </w:r>
      <w:r>
        <w:rPr>
          <w:i/>
          <w:iCs/>
        </w:rPr>
        <w:t>Mantenimiento: planeación, ejecución y control</w:t>
      </w:r>
      <w:r>
        <w:rPr/>
        <w:t>. Alfaomega.</w:t>
      </w:r>
    </w:p>
    <w:p>
      <w:pPr>
        <w:pStyle w:val="Normal"/>
        <w:spacing w:lineRule="auto" w:line="276" w:before="0" w:after="120"/>
        <w:ind w:hanging="709" w:left="709"/>
        <w:jc w:val="left"/>
        <w:rPr/>
      </w:pPr>
      <w:r>
        <w:rPr/>
        <w:t xml:space="preserve">Moubray, J. (1997). </w:t>
      </w:r>
      <w:r>
        <w:rPr>
          <w:i/>
          <w:iCs/>
        </w:rPr>
        <w:t>Reliability-centered maintenance</w:t>
      </w:r>
      <w:r>
        <w:rPr/>
        <w:t xml:space="preserve"> (2.ª ed.). Industrial Press.</w:t>
      </w:r>
    </w:p>
    <w:p>
      <w:pPr>
        <w:pStyle w:val="Normal"/>
        <w:spacing w:lineRule="auto" w:line="276" w:before="0" w:after="120"/>
        <w:ind w:hanging="709" w:left="709"/>
        <w:jc w:val="left"/>
        <w:rPr/>
      </w:pPr>
      <w:r>
        <w:rPr/>
        <w:t xml:space="preserve">Nakajima, S. (1988). </w:t>
      </w:r>
      <w:r>
        <w:rPr>
          <w:i/>
          <w:iCs/>
        </w:rPr>
        <w:t>Introduction to TPM: Total productive maintenance</w:t>
      </w:r>
      <w:r>
        <w:rPr/>
        <w:t>. Productivity Press.</w:t>
      </w:r>
    </w:p>
    <w:p>
      <w:pPr>
        <w:pStyle w:val="Normal"/>
        <w:spacing w:lineRule="auto" w:line="276" w:before="0" w:after="120"/>
        <w:ind w:hanging="709" w:left="709"/>
        <w:jc w:val="left"/>
        <w:rPr/>
      </w:pPr>
      <w:r>
        <w:rPr/>
        <w:t xml:space="preserve">Object Management Group. (2011). </w:t>
      </w:r>
      <w:r>
        <w:rPr>
          <w:i/>
          <w:iCs/>
        </w:rPr>
        <w:t>Business Process Model and Notation (BPMN), versión 2.0</w:t>
      </w:r>
      <w:r>
        <w:rPr/>
        <w:t>. OMG.</w:t>
      </w:r>
    </w:p>
    <w:p>
      <w:pPr>
        <w:pStyle w:val="Normal"/>
        <w:spacing w:lineRule="auto" w:line="276" w:before="0" w:after="120"/>
        <w:ind w:hanging="709" w:left="709"/>
        <w:jc w:val="left"/>
        <w:rPr/>
      </w:pPr>
      <w:r>
        <w:rPr/>
        <w:t xml:space="preserve">Organización Mundial de la Salud. (2012a). </w:t>
      </w:r>
      <w:r>
        <w:rPr>
          <w:i/>
          <w:iCs/>
        </w:rPr>
        <w:t>Introducción al programa de mantenimiento de equipos médicos</w:t>
      </w:r>
      <w:r>
        <w:rPr/>
        <w:t xml:space="preserve"> (Serie de documentos técnicos de la OMS sobre dispositivos médicos). OMS.</w:t>
      </w:r>
    </w:p>
    <w:p>
      <w:pPr>
        <w:pStyle w:val="Normal"/>
        <w:spacing w:lineRule="auto" w:line="276" w:before="0" w:after="120"/>
        <w:ind w:hanging="709" w:left="709"/>
        <w:jc w:val="left"/>
        <w:rPr/>
      </w:pPr>
      <w:r>
        <w:rPr/>
        <w:t xml:space="preserve">Organización Mundial de la Salud. (2012b). </w:t>
      </w:r>
      <w:r>
        <w:rPr>
          <w:i/>
          <w:iCs/>
        </w:rPr>
        <w:t>Sistema computarizado de gestión del mantenimiento</w:t>
      </w:r>
      <w:r>
        <w:rPr/>
        <w:t xml:space="preserve"> (Serie de documentos técnicos de la OMS sobre dispositivos médicos). OMS.</w:t>
      </w:r>
    </w:p>
    <w:p>
      <w:pPr>
        <w:pStyle w:val="Normal"/>
        <w:spacing w:lineRule="auto" w:line="276" w:before="0" w:after="120"/>
        <w:ind w:hanging="709" w:left="709"/>
        <w:jc w:val="left"/>
        <w:rPr/>
      </w:pPr>
      <w:r>
        <w:rPr/>
        <w:t xml:space="preserve">Project Management Institute. (2021). </w:t>
      </w:r>
      <w:r>
        <w:rPr>
          <w:i/>
          <w:iCs/>
        </w:rPr>
        <w:t>Guía de los fundamentos para la dirección de proyectos (Guía del PMBOK)</w:t>
      </w:r>
      <w:r>
        <w:rPr/>
        <w:t xml:space="preserve"> (7.ª ed.). PMI.</w:t>
      </w:r>
    </w:p>
    <w:p>
      <w:pPr>
        <w:pStyle w:val="Normal"/>
        <w:spacing w:lineRule="auto" w:line="276" w:before="0" w:after="120"/>
        <w:ind w:hanging="709" w:left="709"/>
        <w:jc w:val="left"/>
        <w:rPr/>
      </w:pPr>
      <w:r>
        <w:rPr/>
        <w:t xml:space="preserve">Ridgeway, M. (2001). Classifying medical devices according to their maintenance sensitivity: A practical, risk-based approach to PM program management. </w:t>
      </w:r>
      <w:r>
        <w:rPr>
          <w:i/>
          <w:iCs/>
        </w:rPr>
        <w:t>Biomedical Instrumentation &amp; Technology, 35</w:t>
      </w:r>
      <w:r>
        <w:rPr/>
        <w:t>(3), 167–176.</w:t>
      </w:r>
    </w:p>
    <w:p>
      <w:pPr>
        <w:pStyle w:val="Normal"/>
        <w:spacing w:lineRule="auto" w:line="276" w:before="0" w:after="120"/>
        <w:ind w:hanging="709" w:left="709"/>
        <w:jc w:val="left"/>
        <w:rPr/>
      </w:pPr>
      <w:r>
        <w:rPr/>
        <w:t xml:space="preserve">Saaty, T. L. (2008). Decision making with the analytic hierarchy process. </w:t>
      </w:r>
      <w:r>
        <w:rPr>
          <w:i/>
          <w:iCs/>
        </w:rPr>
        <w:t>International Journal of Services Sciences, 1</w:t>
      </w:r>
      <w:r>
        <w:rPr/>
        <w:t>(1), 83–98.</w:t>
      </w:r>
    </w:p>
    <w:p>
      <w:pPr>
        <w:pStyle w:val="Normal"/>
        <w:spacing w:lineRule="auto" w:line="276" w:before="0" w:after="120"/>
        <w:ind w:hanging="709" w:left="709"/>
        <w:jc w:val="left"/>
        <w:rPr/>
      </w:pPr>
      <w:r>
        <w:rPr/>
        <w:t xml:space="preserve">Sapag Chain, N., Sapag Chain, R., &amp; Sapag Puelma, J. M. (2014). </w:t>
      </w:r>
      <w:r>
        <w:rPr>
          <w:i/>
          <w:iCs/>
        </w:rPr>
        <w:t>Preparación y evaluación de proyectos</w:t>
      </w:r>
      <w:r>
        <w:rPr/>
        <w:t xml:space="preserve"> (6.ª ed.). McGraw-Hill.</w:t>
      </w:r>
    </w:p>
    <w:p>
      <w:pPr>
        <w:pStyle w:val="Normal"/>
        <w:spacing w:lineRule="auto" w:line="276" w:before="0" w:after="120"/>
        <w:ind w:hanging="709" w:left="709"/>
        <w:jc w:val="left"/>
        <w:rPr/>
      </w:pPr>
      <w:r>
        <w:rPr/>
        <w:t xml:space="preserve">Superintendencia de Salud. (2013). </w:t>
      </w:r>
      <w:r>
        <w:rPr>
          <w:i/>
          <w:iCs/>
        </w:rPr>
        <w:t>Manual del estándar general de acreditación para prestadores institucionales de atención cerrada</w:t>
      </w:r>
      <w:r>
        <w:rPr/>
        <w:t>. Gobierno de Chile.</w:t>
      </w:r>
    </w:p>
    <w:p>
      <w:pPr>
        <w:pStyle w:val="Normal"/>
        <w:spacing w:lineRule="auto" w:line="276" w:before="0" w:after="120"/>
        <w:ind w:hanging="709" w:left="709"/>
        <w:jc w:val="left"/>
        <w:rPr/>
      </w:pPr>
      <w:r>
        <w:rPr/>
        <w:t xml:space="preserve">Taghipour, S., Banjevic, D., &amp; Jardine, A. K. S. (2011). Prioritization of medical equipment for maintenance decisions. </w:t>
      </w:r>
      <w:r>
        <w:rPr>
          <w:i/>
          <w:iCs/>
        </w:rPr>
        <w:t>Journal of the Operational Research Society, 62</w:t>
      </w:r>
      <w:r>
        <w:rPr/>
        <w:t>(9), 1666–1687.</w:t>
      </w:r>
    </w:p>
    <w:p>
      <w:pPr>
        <w:pStyle w:val="Normal"/>
        <w:spacing w:lineRule="auto" w:line="276" w:before="0" w:after="120"/>
        <w:ind w:hanging="709" w:left="709"/>
        <w:jc w:val="left"/>
        <w:rPr/>
      </w:pPr>
      <w:r>
        <w:rPr/>
        <w:t xml:space="preserve">Wang, B., &amp; Levenson, A. (2000). Equipment inclusion criteria: A new interpretation of JCAHO’s medical equipment management standard. </w:t>
      </w:r>
      <w:r>
        <w:rPr>
          <w:i/>
          <w:iCs/>
        </w:rPr>
        <w:t>Journal of Clinical Engineering, 25</w:t>
      </w:r>
      <w:r>
        <w:rPr/>
        <w:t>(1), 26–35.</w:t>
      </w:r>
    </w:p>
    <w:sectPr>
      <w:footerReference w:type="even" r:id="rId9"/>
      <w:footerReference w:type="default" r:id="rId10"/>
      <w:footerReference w:type="first" r:id="rId11"/>
      <w:type w:val="nextPage"/>
      <w:pgSz w:w="12240" w:h="15840"/>
      <w:pgMar w:left="1418" w:right="1418" w:gutter="0" w:header="0" w:top="1418" w:footer="708" w:bottom="1418"/>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right"/>
      <w:rPr/>
    </w:pPr>
    <w:r>
      <w:rPr/>
      <w:fldChar w:fldCharType="begin"/>
    </w:r>
    <w:r>
      <w:rPr/>
      <w:instrText xml:space="preserve"> PAGE </w:instrText>
    </w:r>
    <w:r>
      <w:rPr/>
      <w:fldChar w:fldCharType="separate"/>
    </w:r>
    <w:r>
      <w:rPr/>
      <w:t>26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right"/>
      <w:rPr/>
    </w:pPr>
    <w:r>
      <w:rPr/>
      <w:fldChar w:fldCharType="begin"/>
    </w:r>
    <w:r>
      <w:rPr/>
      <w:instrText xml:space="preserve"> PAGE </w:instrText>
    </w:r>
    <w:r>
      <w:rPr/>
      <w:fldChar w:fldCharType="separate"/>
    </w:r>
    <w:r>
      <w:rPr/>
      <w:t>28</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right"/>
      <w:rPr/>
    </w:pPr>
    <w:r>
      <w:rPr/>
      <w:fldChar w:fldCharType="begin"/>
    </w:r>
    <w:r>
      <w:rPr/>
      <w:instrText xml:space="preserve"> PAGE </w:instrText>
    </w:r>
    <w:r>
      <w:rPr/>
      <w:fldChar w:fldCharType="separate"/>
    </w:r>
    <w:r>
      <w:rPr/>
      <w:t>31</w:t>
    </w:r>
    <w:r>
      <w:rPr/>
      <w:fldChar w:fldCharType="end"/>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09" w:hanging="357"/>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09" w:hanging="357"/>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0"/>
        </w:tabs>
        <w:ind w:left="709" w:hanging="357"/>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709" w:hanging="357"/>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709" w:hanging="357"/>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lvlOverride w:ilvl="0">
      <w:startOverride w:val="1"/>
    </w:lvlOverride>
  </w:num>
  <w:num w:numId="8">
    <w:abstractNumId w:val="2"/>
    <w:lvlOverride w:ilvl="0">
      <w:startOverride w:val="1"/>
    </w:lvlOverride>
  </w:num>
  <w:num w:numId="9">
    <w:abstractNumId w:val="3"/>
    <w:lvlOverride w:ilvl="0">
      <w:startOverride w:val="1"/>
    </w:lvlOverride>
  </w:num>
  <w:num w:numId="10">
    <w:abstractNumId w:val="4"/>
    <w:lvlOverride w:ilvl="0">
      <w:startOverride w:val="1"/>
    </w:lvlOverride>
  </w:num>
  <w:num w:numId="11">
    <w:abstractNumId w:val="5"/>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360" w:before="0" w:after="16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240" w:after="240"/>
      <w:outlineLvl w:val="0"/>
    </w:pPr>
    <w:rPr>
      <w:rFonts w:ascii="Arial" w:hAnsi="Arial" w:eastAsia="Arial" w:cs="Arial"/>
      <w:b/>
      <w:bCs/>
      <w:color w:val="000000"/>
      <w:sz w:val="26"/>
      <w:szCs w:val="26"/>
    </w:rPr>
  </w:style>
  <w:style w:type="paragraph" w:styleId="Heading2">
    <w:name w:val="Heading 2"/>
    <w:basedOn w:val="Heading"/>
    <w:qFormat/>
    <w:pPr>
      <w:spacing w:before="240" w:after="120"/>
      <w:outlineLvl w:val="1"/>
    </w:pPr>
    <w:rPr>
      <w:rFonts w:ascii="Arial" w:hAnsi="Arial" w:eastAsia="Arial" w:cs="Arial"/>
      <w:b/>
      <w:bCs/>
      <w:color w:val="000000"/>
      <w:sz w:val="24"/>
      <w:szCs w:val="24"/>
    </w:rPr>
  </w:style>
  <w:style w:type="paragraph" w:styleId="Heading3">
    <w:name w:val="Heading 3"/>
    <w:basedOn w:val="Heading"/>
    <w:qFormat/>
    <w:pPr>
      <w:spacing w:before="200" w:after="100"/>
      <w:outlineLvl w:val="2"/>
    </w:pPr>
    <w:rPr>
      <w:rFonts w:ascii="Arial" w:hAnsi="Arial" w:eastAsia="Arial" w:cs="Arial"/>
      <w:b/>
      <w:bCs/>
      <w:i/>
      <w:iCs/>
      <w:color w:val="000000"/>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lineRule="auto" w:line="360" w:before="0" w:after="16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lineRule="auto" w:line="360" w:before="0" w:after="16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404" w:leader="dot"/>
      </w:tabs>
      <w:ind w:hanging="0" w:left="0"/>
    </w:pPr>
    <w:rPr/>
  </w:style>
  <w:style w:type="paragraph" w:styleId="TOC2">
    <w:name w:val="TOC 2"/>
    <w:basedOn w:val="Index"/>
    <w:pPr>
      <w:tabs>
        <w:tab w:val="clear" w:pos="720"/>
        <w:tab w:val="right" w:pos="9121" w:leader="dot"/>
      </w:tabs>
      <w:ind w:hanging="0" w:left="283"/>
    </w:pPr>
    <w:rPr/>
  </w:style>
  <w:style w:type="paragraph" w:styleId="TOC3">
    <w:name w:val="TOC 3"/>
    <w:basedOn w:val="Index"/>
    <w:pPr>
      <w:tabs>
        <w:tab w:val="clear" w:pos="720"/>
        <w:tab w:val="right" w:pos="8837" w:leader="dot"/>
      </w:tabs>
      <w:ind w:hanging="0" w:lef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footer" Target="footer4.xml"/><Relationship Id="rId8" Type="http://schemas.openxmlformats.org/officeDocument/2006/relationships/footer" Target="footer5.xml"/><Relationship Id="rId9" Type="http://schemas.openxmlformats.org/officeDocument/2006/relationships/footer" Target="footer6.xml"/><Relationship Id="rId10" Type="http://schemas.openxmlformats.org/officeDocument/2006/relationships/footer" Target="footer7.xml"/><Relationship Id="rId11" Type="http://schemas.openxmlformats.org/officeDocument/2006/relationships/footer" Target="footer8.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2026-10-13T02:06:10Z</dcterms:created>
  <dc:creator>Grupo 7 — NRC 13342</dc:creator>
  <dc:description/>
  <dc:language>en-US</dc:language>
  <cp:lastModifiedBy/>
  <dcterms:modified xsi:type="dcterms:W3CDTF">2026-10-13T02:06:12Z</dcterms:modified>
  <cp:revision>2</cp:revision>
  <dc:subject/>
  <dc:title>Plan de mejora para la gestión del mantenimiento de equipos de imagenología</dc:title>
</cp:coreProperties>
</file>