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sz w:val="40"/>
          <w:szCs w:val="40"/>
        </w:rPr>
        <w:t xml:space="preserve">🍅 🧅 🥔</w:t>
      </w:r>
    </w:p>
    <w:p>
      <w:pPr>
        <w:spacing w:after="60" w:before="120"/>
      </w:pPr>
      <w:r>
        <w:rPr>
          <w:rFonts w:ascii="Cambria" w:cs="Cambria" w:eastAsia="Cambria" w:hAnsi="Cambria"/>
          <w:b/>
          <w:bCs/>
          <w:color w:val="1E5C37"/>
          <w:sz w:val="56"/>
          <w:szCs w:val="56"/>
        </w:rPr>
        <w:t xml:space="preserve">TOP Digital Twin</w:t>
      </w:r>
    </w:p>
    <w:p>
      <w:pPr>
        <w:spacing w:after="300"/>
      </w:pPr>
      <w:r>
        <w:rPr>
          <w:rFonts w:ascii="Cambria" w:cs="Cambria" w:eastAsia="Cambria" w:hAnsi="Cambria"/>
          <w:i/>
          <w:iCs/>
          <w:color w:val="5B6B57"/>
          <w:sz w:val="26"/>
          <w:szCs w:val="26"/>
        </w:rPr>
        <w:t xml:space="preserve">Tomato–Onion–Potato Price Forecasting: Project Progress Report</w:t>
      </w:r>
    </w:p>
    <w:p>
      <w:pPr>
        <w:spacing w:after="40"/>
      </w:pPr>
      <w:r>
        <w:rPr>
          <w:rFonts w:ascii="Calibri" w:cs="Calibri" w:eastAsia="Calibri" w:hAnsi="Calibri"/>
          <w:b/>
          <w:bCs/>
          <w:color w:val="1A2518"/>
          <w:sz w:val="22"/>
          <w:szCs w:val="22"/>
        </w:rPr>
        <w:t xml:space="preserve">Prepared for: </w:t>
      </w:r>
      <w:r>
        <w:rPr>
          <w:rFonts w:ascii="Calibri" w:cs="Calibri" w:eastAsia="Calibri" w:hAnsi="Calibri"/>
          <w:color w:val="1A2518"/>
          <w:sz w:val="22"/>
          <w:szCs w:val="22"/>
        </w:rPr>
        <w:t xml:space="preserve">Prof. Farhat (PI) and the HADP-04 project team</w:t>
      </w:r>
    </w:p>
    <w:p>
      <w:pPr>
        <w:spacing w:after="40"/>
      </w:pPr>
      <w:r>
        <w:rPr>
          <w:rFonts w:ascii="Calibri" w:cs="Calibri" w:eastAsia="Calibri" w:hAnsi="Calibri"/>
          <w:b/>
          <w:bCs/>
          <w:color w:val="1A2518"/>
          <w:sz w:val="22"/>
          <w:szCs w:val="22"/>
        </w:rPr>
        <w:t xml:space="preserve">Prepared by: </w:t>
      </w:r>
      <w:r>
        <w:rPr>
          <w:rFonts w:ascii="Calibri" w:cs="Calibri" w:eastAsia="Calibri" w:hAnsi="Calibri"/>
          <w:color w:val="1A2518"/>
          <w:sz w:val="22"/>
          <w:szCs w:val="22"/>
        </w:rPr>
        <w:t xml:space="preserve">Dr. Masroor, SKUAST-K</w:t>
      </w:r>
    </w:p>
    <w:p>
      <w:pPr>
        <w:spacing w:after="40"/>
      </w:pPr>
      <w:r>
        <w:rPr>
          <w:rFonts w:ascii="Calibri" w:cs="Calibri" w:eastAsia="Calibri" w:hAnsi="Calibri"/>
          <w:b/>
          <w:bCs/>
          <w:color w:val="1A2518"/>
          <w:sz w:val="22"/>
          <w:szCs w:val="22"/>
        </w:rPr>
        <w:t xml:space="preserve">Date: </w:t>
      </w:r>
      <w:r>
        <w:rPr>
          <w:rFonts w:ascii="Calibri" w:cs="Calibri" w:eastAsia="Calibri" w:hAnsi="Calibri"/>
          <w:color w:val="1A2518"/>
          <w:sz w:val="22"/>
          <w:szCs w:val="22"/>
        </w:rPr>
        <w:t xml:space="preserve">30 July 2026 (updated 5 August 2026)</w:t>
      </w:r>
    </w:p>
    <w:p>
      <w:pPr>
        <w:spacing w:after="300"/>
      </w:pPr>
      <w:r>
        <w:rPr>
          <w:rFonts w:ascii="Calibri" w:cs="Calibri" w:eastAsia="Calibri" w:hAnsi="Calibri"/>
          <w:b/>
          <w:bCs/>
          <w:color w:val="1A2518"/>
          <w:sz w:val="22"/>
          <w:szCs w:val="22"/>
        </w:rPr>
        <w:t xml:space="preserve">Repository: </w:t>
      </w:r>
      <w:r>
        <w:rPr>
          <w:rFonts w:ascii="Calibri" w:cs="Calibri" w:eastAsia="Calibri" w:hAnsi="Calibri"/>
          <w:color w:val="1A2518"/>
          <w:sz w:val="22"/>
          <w:szCs w:val="22"/>
        </w:rPr>
        <w:t xml:space="preserve">github.com/masroor01/TOP-Digital-Twin  (public, 80 commits) — with a live, interactive scenario-simulation dashboard</w:t>
      </w:r>
    </w:p>
    <w:tbl>
      <w:tblPr>
        <w:tblW w:type="pct" w:w="100%"/>
        <w:tblBorders>
          <w:top w:val="single" w:color="1E5C37" w:sz="4"/>
          <w:left w:val="single" w:color="1E5C37" w:sz="24"/>
          <w:bottom w:val="single" w:color="1E5C37" w:sz="4"/>
          <w:right w:val="single" w:color="1E5C37" w:sz="4"/>
          <w:insideH w:val="none" w:color="FFFFFF" w:sz="0"/>
          <w:insideV w:val="none" w:color="FFFFFF" w:sz="0"/>
        </w:tblBorders>
      </w:tblPr>
      <w:tblGrid>
        <w:gridCol w:w="100"/>
      </w:tblGrid>
      <w:tr>
        <w:tc>
          <w:tcPr>
            <w:shd w:fill="EFF3E9" w:color="auto" w:val="clear"/>
            <w:tcMar>
              <w:top w:type="dxa" w:w="160"/>
              <w:left w:type="dxa" w:w="220"/>
              <w:bottom w:type="dxa" w:w="160"/>
              <w:right w:type="dxa" w:w="220"/>
            </w:tcMar>
          </w:tcPr>
          <w:p>
            <w:pPr>
              <w:spacing w:after="80"/>
            </w:pPr>
            <w:r>
              <w:rPr>
                <w:rFonts w:ascii="Calibri" w:cs="Calibri" w:eastAsia="Calibri" w:hAnsi="Calibri"/>
                <w:b/>
                <w:bCs/>
                <w:color w:val="1E5C37"/>
                <w:sz w:val="21"/>
                <w:szCs w:val="21"/>
              </w:rPr>
              <w:t xml:space="preserve">In one paragraph</w:t>
            </w:r>
          </w:p>
          <w:p>
            <w:pPr>
              <w:spacing w:after="0" w:line="264"/>
            </w:pPr>
            <w:r>
              <w:rPr>
                <w:rFonts w:ascii="Calibri" w:cs="Calibri" w:eastAsia="Calibri" w:hAnsi="Calibri"/>
                <w:color w:val="1A2518"/>
                <w:sz w:val="22"/>
                <w:szCs w:val="22"/>
              </w:rPr>
              <w:t xml:space="preserve">This report covers the full arc of the TOP Digital Twin project to date: a six-layer, 845-market, ~500-week weekly price panel for tomato, onion, and potato; a validated LightGBM forecasting pipeline (M0–M6) benchmarked against tree ensembles and deep learning; rigorous statistical validation (Diebold-Mariano tests and a Model Confidence Set); real-world crisis backtests against the 2023–24 tomato and onion price shocks; a formal Granger-causality analysis of what actually drives price; a stress-testing module that surfaced a genuine, reportable limitation; and a deployed, public interactive dashboard. Two sections of the manuscript are drafted and verified against the current pipeline. The only outstanding items are the (deliberately deferred) full-capacity Temporal Fusion Transformer run and finishing the manuscript.</w:t>
            </w:r>
          </w:p>
        </w:tc>
      </w:tr>
    </w:tbl>
    <w:p>
      <w:r>
        <w:br w:type="page"/>
      </w:r>
    </w:p>
    <w:p>
      <w:pPr>
        <w:pStyle w:val="Heading1"/>
        <w:pBdr>
          <w:bottom w:val="single" w:color="1E5C37" w:sz="6" w:space="4"/>
        </w:pBdr>
        <w:spacing w:after="160" w:before="360"/>
      </w:pPr>
      <w:r>
        <w:rPr>
          <w:rFonts w:ascii="Cambria" w:cs="Cambria" w:eastAsia="Cambria" w:hAnsi="Cambria"/>
          <w:b/>
          <w:bCs/>
          <w:color w:val="1E5C37"/>
          <w:sz w:val="30"/>
          <w:szCs w:val="30"/>
        </w:rPr>
        <w:t xml:space="preserve">1.  Project Overview</w:t>
      </w:r>
    </w:p>
    <w:p>
      <w:pPr>
        <w:spacing w:after="160" w:line="276"/>
      </w:pPr>
      <w:r>
        <w:rPr>
          <w:rFonts w:ascii="Calibri" w:cs="Calibri" w:eastAsia="Calibri" w:hAnsi="Calibri"/>
          <w:color w:val="1A2518"/>
          <w:sz w:val="22"/>
          <w:szCs w:val="22"/>
        </w:rPr>
        <w:t xml:space="preserve">The TOP Digital Twin is a weekly price-forecasting system for India's three most price-volatile essential vegetables — </w:t>
      </w:r>
      <w:r>
        <w:rPr>
          <w:rFonts w:ascii="Calibri" w:cs="Calibri" w:eastAsia="Calibri" w:hAnsi="Calibri"/>
          <w:b/>
          <w:bCs/>
          <w:color w:val="1A2518"/>
          <w:sz w:val="22"/>
          <w:szCs w:val="22"/>
        </w:rPr>
        <w:t xml:space="preserve">tomato, onion, and potato</w:t>
      </w:r>
      <w:r>
        <w:rPr>
          <w:rFonts w:ascii="Calibri" w:cs="Calibri" w:eastAsia="Calibri" w:hAnsi="Calibri"/>
          <w:color w:val="1A2518"/>
          <w:sz w:val="22"/>
          <w:szCs w:val="22"/>
        </w:rPr>
        <w:t xml:space="preserve"> (“TOP” crops) — built for HADP-04 at SKUAST-K. The system forecasts wholesale APMC prices at four policy-relevant horizons </w:t>
      </w:r>
      <w:r>
        <w:rPr>
          <w:rFonts w:ascii="Calibri" w:cs="Calibri" w:eastAsia="Calibri" w:hAnsi="Calibri"/>
          <w:b/>
          <w:bCs/>
          <w:color w:val="1A2518"/>
          <w:sz w:val="22"/>
          <w:szCs w:val="22"/>
        </w:rPr>
        <w:t xml:space="preserve">(1, 4, 13, and 26 weeks ahead)</w:t>
      </w:r>
      <w:r>
        <w:rPr>
          <w:rFonts w:ascii="Calibri" w:cs="Calibri" w:eastAsia="Calibri" w:hAnsi="Calibri"/>
          <w:color w:val="1A2518"/>
          <w:sz w:val="22"/>
          <w:szCs w:val="22"/>
        </w:rPr>
        <w:t xml:space="preserve">, using a machine-learning pipeline enriched with six independent layers of real data, and is deployed as a public, interactive scenario-simulation dashboard.</w:t>
      </w:r>
    </w:p>
    <w:p>
      <w:pPr>
        <w:spacing w:after="160" w:line="276"/>
      </w:pPr>
      <w:r>
        <w:rPr>
          <w:rFonts w:ascii="Calibri" w:cs="Calibri" w:eastAsia="Calibri" w:hAnsi="Calibri"/>
          <w:color w:val="1A2518"/>
          <w:sz w:val="22"/>
          <w:szCs w:val="22"/>
        </w:rPr>
        <w:t xml:space="preserve">The project's central research questions, all now answered with evidence documented in this report:</w:t>
      </w:r>
    </w:p>
    <w:p>
      <w:pPr>
        <w:pStyle w:val="ListParagraph"/>
        <w:numPr>
          <w:ilvl w:val="0"/>
          <w:numId w:val="2"/>
        </w:numPr>
        <w:spacing w:after="90" w:line="264"/>
      </w:pPr>
      <w:r>
        <w:rPr>
          <w:rFonts w:ascii="Calibri" w:cs="Calibri" w:eastAsia="Calibri" w:hAnsi="Calibri"/>
          <w:color w:val="1A2518"/>
          <w:sz w:val="22"/>
          <w:szCs w:val="22"/>
        </w:rPr>
        <w:t xml:space="preserve">Can we forecast TOP crop prices more accurately than a simple “tomorrow looks like today” baseline — and if not always, where and why?</w:t>
      </w:r>
    </w:p>
    <w:p>
      <w:pPr>
        <w:pStyle w:val="ListParagraph"/>
        <w:numPr>
          <w:ilvl w:val="0"/>
          <w:numId w:val="2"/>
        </w:numPr>
        <w:spacing w:after="90" w:line="264"/>
      </w:pPr>
      <w:r>
        <w:rPr>
          <w:rFonts w:ascii="Calibri" w:cs="Calibri" w:eastAsia="Calibri" w:hAnsi="Calibri"/>
          <w:color w:val="1A2518"/>
          <w:sz w:val="22"/>
          <w:szCs w:val="22"/>
        </w:rPr>
        <w:t xml:space="preserve">Which of the six data layers (price/arrivals, macro-economic, climate, satellite, infrastructure, and government policy) actually improve forecasts, and at which horizons?</w:t>
      </w:r>
    </w:p>
    <w:p>
      <w:pPr>
        <w:pStyle w:val="ListParagraph"/>
        <w:numPr>
          <w:ilvl w:val="0"/>
          <w:numId w:val="2"/>
        </w:numPr>
        <w:spacing w:after="90" w:line="264"/>
      </w:pPr>
      <w:r>
        <w:rPr>
          <w:rFonts w:ascii="Calibri" w:cs="Calibri" w:eastAsia="Calibri" w:hAnsi="Calibri"/>
          <w:color w:val="1A2518"/>
          <w:sz w:val="22"/>
          <w:szCs w:val="22"/>
        </w:rPr>
        <w:t xml:space="preserve">Do these models hold up during real, historically documented price crises — not just in an average sense?</w:t>
      </w:r>
    </w:p>
    <w:p>
      <w:pPr>
        <w:pStyle w:val="ListParagraph"/>
        <w:numPr>
          <w:ilvl w:val="0"/>
          <w:numId w:val="2"/>
        </w:numPr>
        <w:spacing w:after="90" w:line="264"/>
      </w:pPr>
      <w:r>
        <w:rPr>
          <w:rFonts w:ascii="Calibri" w:cs="Calibri" w:eastAsia="Calibri" w:hAnsi="Calibri"/>
          <w:color w:val="1A2518"/>
          <w:sz w:val="22"/>
          <w:szCs w:val="22"/>
        </w:rPr>
        <w:t xml:space="preserve">Do the data layers have genuine causal/predictive content for price, or merely correlate with it?</w:t>
      </w:r>
    </w:p>
    <w:p>
      <w:pPr>
        <w:pStyle w:val="ListParagraph"/>
        <w:numPr>
          <w:ilvl w:val="0"/>
          <w:numId w:val="2"/>
        </w:numPr>
        <w:spacing w:after="90" w:line="264"/>
      </w:pPr>
      <w:r>
        <w:rPr>
          <w:rFonts w:ascii="Calibri" w:cs="Calibri" w:eastAsia="Calibri" w:hAnsi="Calibri"/>
          <w:color w:val="1A2518"/>
          <w:sz w:val="22"/>
          <w:szCs w:val="22"/>
        </w:rPr>
        <w:t xml:space="preserve">Can the models be trusted for policy counterfactual simulation (“what happens if we impose an export ban”), not just forecasting?</w:t>
      </w:r>
    </w:p>
    <w:p>
      <w:pPr>
        <w:pStyle w:val="Heading1"/>
        <w:pBdr>
          <w:bottom w:val="single" w:color="1E5C37" w:sz="6" w:space="4"/>
        </w:pBdr>
        <w:spacing w:after="160" w:before="360"/>
      </w:pPr>
      <w:r>
        <w:rPr>
          <w:rFonts w:ascii="Cambria" w:cs="Cambria" w:eastAsia="Cambria" w:hAnsi="Cambria"/>
          <w:b/>
          <w:bCs/>
          <w:color w:val="1E5C37"/>
          <w:sz w:val="30"/>
          <w:szCs w:val="30"/>
        </w:rPr>
        <w:t xml:space="preserve">2.  Data Infrastructure — Six Independent Data Layers</w:t>
      </w:r>
    </w:p>
    <w:p>
      <w:pPr>
        <w:spacing w:after="160" w:line="276"/>
      </w:pPr>
      <w:r>
        <w:rPr>
          <w:rFonts w:ascii="Calibri" w:cs="Calibri" w:eastAsia="Calibri" w:hAnsi="Calibri"/>
          <w:color w:val="1A2518"/>
          <w:sz w:val="22"/>
          <w:szCs w:val="22"/>
        </w:rPr>
        <w:t xml:space="preserve">The pipeline integrates six layers of real, verified data, spanning </w:t>
      </w:r>
      <w:r>
        <w:rPr>
          <w:rFonts w:ascii="Calibri" w:cs="Calibri" w:eastAsia="Calibri" w:hAnsi="Calibri"/>
          <w:b/>
          <w:bCs/>
          <w:color w:val="1A2518"/>
          <w:sz w:val="22"/>
          <w:szCs w:val="22"/>
        </w:rPr>
        <w:t xml:space="preserve">2 January 2017 to 27 July 2026</w:t>
      </w:r>
      <w:r>
        <w:rPr>
          <w:rFonts w:ascii="Calibri" w:cs="Calibri" w:eastAsia="Calibri" w:hAnsi="Calibri"/>
          <w:color w:val="1A2518"/>
          <w:sz w:val="22"/>
          <w:szCs w:val="22"/>
        </w:rPr>
        <w:t xml:space="preserve"> (approximately 500 weeks):</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2600"/>
        <w:gridCol w:w="4200"/>
        <w:gridCol w:w="2900"/>
      </w:tblGrid>
      <w:tr>
        <w:trPr>
          <w:tblHeader/>
        </w:trPr>
        <w:tc>
          <w:tcPr>
            <w:tcW w:type="dxa" w:w="26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Layer</w:t>
            </w:r>
          </w:p>
        </w:tc>
        <w:tc>
          <w:tcPr>
            <w:tcW w:type="dxa" w:w="42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Content</w:t>
            </w:r>
          </w:p>
        </w:tc>
        <w:tc>
          <w:tcPr>
            <w:tcW w:type="dxa" w:w="29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Primary Source(s)</w:t>
            </w:r>
          </w:p>
        </w:tc>
      </w:tr>
      <w:tr>
        <w:tc>
          <w:tcPr>
            <w:tcW w:type="dxa" w:w="2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L1 — Price &amp; Arrivals</w:t>
            </w:r>
          </w:p>
        </w:tc>
        <w:tc>
          <w:tcPr>
            <w:tcW w:type="dxa" w:w="4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Weekly wholesale modal price and arrivals volume, market-level</w:t>
            </w:r>
          </w:p>
        </w:tc>
        <w:tc>
          <w:tcPr>
            <w:tcW w:type="dxa" w:w="29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Agmarknet (Govt. of India electronic mandi reporting)</w:t>
            </w:r>
          </w:p>
        </w:tc>
      </w:tr>
      <w:tr>
        <w:tc>
          <w:tcPr>
            <w:tcW w:type="dxa" w:w="2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L2/L3 — Satellite &amp; Climate</w:t>
            </w:r>
          </w:p>
        </w:tc>
        <w:tc>
          <w:tcPr>
            <w:tcW w:type="dxa" w:w="4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NDVI/EVI vegetation indices, land-surface temperature, rainfall, heat-stress indices, per agro-climatic zone</w:t>
            </w:r>
          </w:p>
        </w:tc>
        <w:tc>
          <w:tcPr>
            <w:tcW w:type="dxa" w:w="29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Google Earth Engine: Sentinel-2, MODIS, ERA5-Land, CHIRPS</w:t>
            </w:r>
          </w:p>
        </w:tc>
      </w:tr>
      <w:tr>
        <w:tc>
          <w:tcPr>
            <w:tcW w:type="dxa" w:w="2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L4 — Macro-economic</w:t>
            </w:r>
          </w:p>
        </w:tc>
        <w:tc>
          <w:tcPr>
            <w:tcW w:type="dxa" w:w="4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Repo rate, USD/INR, WPI, diesel/LPG prices, agricultural credit, crop-specific wholesale price index</w:t>
            </w:r>
          </w:p>
        </w:tc>
        <w:tc>
          <w:tcPr>
            <w:tcW w:type="dxa" w:w="29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CMIE Prowess/Economic Outlook, RBI DBIE, PPAC</w:t>
            </w:r>
          </w:p>
        </w:tc>
      </w:tr>
      <w:tr>
        <w:tc>
          <w:tcPr>
            <w:tcW w:type="dxa" w:w="2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L5 — Infrastructure &amp; Labour</w:t>
            </w:r>
          </w:p>
        </w:tc>
        <w:tc>
          <w:tcPr>
            <w:tcW w:type="dxa" w:w="4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State-wise agricultural wages, cold-storage capacity, road density</w:t>
            </w:r>
          </w:p>
        </w:tc>
        <w:tc>
          <w:tcPr>
            <w:tcW w:type="dxa" w:w="29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Labour Bureau, government infrastructure records</w:t>
            </w:r>
          </w:p>
        </w:tc>
      </w:tr>
      <w:tr>
        <w:tc>
          <w:tcPr>
            <w:tcW w:type="dxa" w:w="2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L6 — Policy &amp; Trade</w:t>
            </w:r>
          </w:p>
        </w:tc>
        <w:tc>
          <w:tcPr>
            <w:tcW w:type="dxa" w:w="4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Export bans, minimum export price (MEP), export duty, market interventions, Operation Greens activations</w:t>
            </w:r>
          </w:p>
        </w:tc>
        <w:tc>
          <w:tcPr>
            <w:tcW w:type="dxa" w:w="29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Primary-source-verified Govt. of India notification log (PIB, Ministry press releases)</w:t>
            </w:r>
          </w:p>
        </w:tc>
      </w:tr>
    </w:tbl>
    <w:p>
      <w:pPr>
        <w:spacing w:after="60"/>
      </w:pPr>
      <w:r>
        <w:rPr>
          <w:rFonts w:ascii="Calibri" w:cs="Calibri" w:eastAsia="Calibri" w:hAnsi="Calibri"/>
          <w:color w:val="1A2518"/>
          <w:sz w:val="22"/>
          <w:szCs w:val="22"/>
        </w:rPr>
        <w:t xml:space="preserve"/>
      </w:r>
    </w:p>
    <w:p>
      <w:pPr>
        <w:pStyle w:val="Heading3"/>
        <w:spacing w:after="80" w:before="180"/>
      </w:pPr>
      <w:r>
        <w:rPr>
          <w:rFonts w:ascii="Calibri" w:cs="Calibri" w:eastAsia="Calibri" w:hAnsi="Calibri"/>
          <w:b/>
          <w:bCs/>
          <w:i/>
          <w:iCs/>
          <w:color w:val="5B6B57"/>
          <w:sz w:val="22"/>
          <w:szCs w:val="22"/>
        </w:rPr>
        <w:t xml:space="preserve">Market panel: scale and quality</w:t>
      </w:r>
    </w:p>
    <w:p>
      <w:pPr>
        <w:spacing w:after="160" w:line="276"/>
      </w:pPr>
      <w:r>
        <w:rPr>
          <w:rFonts w:ascii="Calibri" w:cs="Calibri" w:eastAsia="Calibri" w:hAnsi="Calibri"/>
          <w:color w:val="1A2518"/>
          <w:sz w:val="22"/>
          <w:szCs w:val="22"/>
        </w:rPr>
        <w:t xml:space="preserve">After filtering to markets with </w:t>
      </w:r>
      <w:r>
        <w:rPr>
          <w:rFonts w:ascii="Calibri" w:cs="Calibri" w:eastAsia="Calibri" w:hAnsi="Calibri"/>
          <w:b/>
          <w:bCs/>
          <w:color w:val="1A2518"/>
          <w:sz w:val="22"/>
          <w:szCs w:val="22"/>
        </w:rPr>
        <w:t xml:space="preserve">≥70% real (non-imputed) weekly coverage</w:t>
      </w:r>
      <w:r>
        <w:rPr>
          <w:rFonts w:ascii="Calibri" w:cs="Calibri" w:eastAsia="Calibri" w:hAnsi="Calibri"/>
          <w:color w:val="1A2518"/>
          <w:sz w:val="22"/>
          <w:szCs w:val="22"/>
        </w:rPr>
        <w:t xml:space="preserve"> over their own reporting history — a threshold set and empirically justified via a market-level statistical robustness check — the analytical panel comprises:</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1600"/>
        <w:gridCol w:w="1400"/>
        <w:gridCol w:w="1400"/>
        <w:gridCol w:w="1700"/>
        <w:gridCol w:w="1900"/>
        <w:gridCol w:w="1700"/>
      </w:tblGrid>
      <w:tr>
        <w:trPr>
          <w:tblHeader/>
        </w:trPr>
        <w:tc>
          <w:tcPr>
            <w:tcW w:type="dxa" w:w="16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Crop</w:t>
            </w:r>
          </w:p>
        </w:tc>
        <w:tc>
          <w:tcPr>
            <w:tcW w:type="dxa" w:w="14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Markets</w:t>
            </w:r>
          </w:p>
        </w:tc>
        <w:tc>
          <w:tcPr>
            <w:tcW w:type="dxa" w:w="14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States</w:t>
            </w:r>
          </w:p>
        </w:tc>
        <w:tc>
          <w:tcPr>
            <w:tcW w:type="dxa" w:w="17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Market-weeks</w:t>
            </w:r>
          </w:p>
        </w:tc>
        <w:tc>
          <w:tcPr>
            <w:tcW w:type="dxa" w:w="19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Median Coverage</w:t>
            </w:r>
          </w:p>
        </w:tc>
        <w:tc>
          <w:tcPr>
            <w:tcW w:type="dxa" w:w="17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Min. Coverage</w:t>
            </w:r>
          </w:p>
        </w:tc>
      </w:tr>
      <w:tr>
        <w:tc>
          <w:tcPr>
            <w:tcW w:type="dxa" w:w="1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Tomato</w:t>
            </w:r>
          </w:p>
        </w:tc>
        <w:tc>
          <w:tcPr>
            <w:tcW w:type="dxa" w:w="1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517</w:t>
            </w:r>
          </w:p>
        </w:tc>
        <w:tc>
          <w:tcPr>
            <w:tcW w:type="dxa" w:w="1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20</w:t>
            </w:r>
          </w:p>
        </w:tc>
        <w:tc>
          <w:tcPr>
            <w:tcW w:type="dxa" w:w="17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258,500</w:t>
            </w:r>
          </w:p>
        </w:tc>
        <w:tc>
          <w:tcPr>
            <w:tcW w:type="dxa" w:w="19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90.2%</w:t>
            </w:r>
          </w:p>
        </w:tc>
        <w:tc>
          <w:tcPr>
            <w:tcW w:type="dxa" w:w="17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70.0%</w:t>
            </w:r>
          </w:p>
        </w:tc>
      </w:tr>
      <w:tr>
        <w:tc>
          <w:tcPr>
            <w:tcW w:type="dxa" w:w="1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Onion</w:t>
            </w:r>
          </w:p>
        </w:tc>
        <w:tc>
          <w:tcPr>
            <w:tcW w:type="dxa" w:w="14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246</w:t>
            </w:r>
          </w:p>
        </w:tc>
        <w:tc>
          <w:tcPr>
            <w:tcW w:type="dxa" w:w="14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15</w:t>
            </w:r>
          </w:p>
        </w:tc>
        <w:tc>
          <w:tcPr>
            <w:tcW w:type="dxa" w:w="17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122,754</w:t>
            </w:r>
          </w:p>
        </w:tc>
        <w:tc>
          <w:tcPr>
            <w:tcW w:type="dxa" w:w="19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90.0%</w:t>
            </w:r>
          </w:p>
        </w:tc>
        <w:tc>
          <w:tcPr>
            <w:tcW w:type="dxa" w:w="17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70.5%</w:t>
            </w:r>
          </w:p>
        </w:tc>
      </w:tr>
      <w:tr>
        <w:tc>
          <w:tcPr>
            <w:tcW w:type="dxa" w:w="1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Potato</w:t>
            </w:r>
          </w:p>
        </w:tc>
        <w:tc>
          <w:tcPr>
            <w:tcW w:type="dxa" w:w="1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82</w:t>
            </w:r>
          </w:p>
        </w:tc>
        <w:tc>
          <w:tcPr>
            <w:tcW w:type="dxa" w:w="1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2</w:t>
            </w:r>
          </w:p>
        </w:tc>
        <w:tc>
          <w:tcPr>
            <w:tcW w:type="dxa" w:w="17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41,000</w:t>
            </w:r>
          </w:p>
        </w:tc>
        <w:tc>
          <w:tcPr>
            <w:tcW w:type="dxa" w:w="19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95.6%</w:t>
            </w:r>
          </w:p>
        </w:tc>
        <w:tc>
          <w:tcPr>
            <w:tcW w:type="dxa" w:w="17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71.6%</w:t>
            </w:r>
          </w:p>
        </w:tc>
      </w:tr>
    </w:tbl>
    <w:p>
      <w:pPr>
        <w:spacing w:after="60"/>
      </w:pPr>
      <w:r>
        <w:rPr>
          <w:rFonts w:ascii="Calibri" w:cs="Calibri" w:eastAsia="Calibri" w:hAnsi="Calibri"/>
          <w:color w:val="1A2518"/>
          <w:sz w:val="22"/>
          <w:szCs w:val="22"/>
        </w:rPr>
        <w:t xml:space="preserve"/>
      </w:r>
    </w:p>
    <w:p>
      <w:pPr>
        <w:spacing w:after="160" w:line="276"/>
      </w:pPr>
      <w:r>
        <w:rPr>
          <w:rFonts w:ascii="Calibri" w:cs="Calibri" w:eastAsia="Calibri" w:hAnsi="Calibri"/>
          <w:color w:val="1A2518"/>
          <w:sz w:val="22"/>
          <w:szCs w:val="22"/>
        </w:rPr>
        <w:t xml:space="preserve">Of 422,254 total market-week rows, </w:t>
      </w:r>
      <w:r>
        <w:rPr>
          <w:rFonts w:ascii="Calibri" w:cs="Calibri" w:eastAsia="Calibri" w:hAnsi="Calibri"/>
          <w:b/>
          <w:bCs/>
          <w:color w:val="1A2518"/>
          <w:sz w:val="22"/>
          <w:szCs w:val="22"/>
        </w:rPr>
        <w:t xml:space="preserve">88.7% are real trade observations</w:t>
      </w:r>
      <w:r>
        <w:rPr>
          <w:rFonts w:ascii="Calibri" w:cs="Calibri" w:eastAsia="Calibri" w:hAnsi="Calibri"/>
          <w:color w:val="1A2518"/>
          <w:sz w:val="22"/>
          <w:szCs w:val="22"/>
        </w:rPr>
        <w:t xml:space="preserve">; the remainder are transparently flagged and imputed (4.1% linear, 1.5% seasonal-median, 5.7% left unfilled where a gap exceeded the imputation policy's tolerance) — every row is labelled real vs. imputed, so downstream analysis can distinguish the two.</w:t>
      </w:r>
    </w:p>
    <w:tbl>
      <w:tblPr>
        <w:tblW w:type="pct" w:w="100%"/>
        <w:tblBorders>
          <w:top w:val="single" w:color="1E5C37" w:sz="4"/>
          <w:left w:val="single" w:color="1E5C37" w:sz="24"/>
          <w:bottom w:val="single" w:color="1E5C37" w:sz="4"/>
          <w:right w:val="single" w:color="1E5C37" w:sz="4"/>
          <w:insideH w:val="none" w:color="FFFFFF" w:sz="0"/>
          <w:insideV w:val="none" w:color="FFFFFF" w:sz="0"/>
        </w:tblBorders>
      </w:tblPr>
      <w:tblGrid>
        <w:gridCol w:w="100"/>
      </w:tblGrid>
      <w:tr>
        <w:tc>
          <w:tcPr>
            <w:shd w:fill="EFF3E9" w:color="auto" w:val="clear"/>
            <w:tcMar>
              <w:top w:type="dxa" w:w="160"/>
              <w:left w:type="dxa" w:w="220"/>
              <w:bottom w:type="dxa" w:w="160"/>
              <w:right w:type="dxa" w:w="220"/>
            </w:tcMar>
          </w:tcPr>
          <w:p>
            <w:pPr>
              <w:spacing w:after="80"/>
            </w:pPr>
            <w:r>
              <w:rPr>
                <w:rFonts w:ascii="Calibri" w:cs="Calibri" w:eastAsia="Calibri" w:hAnsi="Calibri"/>
                <w:b/>
                <w:bCs/>
                <w:color w:val="1E5C37"/>
                <w:sz w:val="21"/>
                <w:szCs w:val="21"/>
              </w:rPr>
              <w:t xml:space="preserve">Notable data-engineering achievement: potato zone relocation</w:t>
            </w:r>
          </w:p>
          <w:p>
            <w:pPr>
              <w:spacing w:after="0" w:line="264"/>
            </w:pPr>
            <w:r>
              <w:rPr>
                <w:rFonts w:ascii="Calibri" w:cs="Calibri" w:eastAsia="Calibri" w:hAnsi="Calibri"/>
                <w:color w:val="1A2518"/>
                <w:sz w:val="22"/>
                <w:szCs w:val="22"/>
              </w:rPr>
              <w:t xml:space="preserve">Midway through the project, potato's three agro-climatic satellite/climate zones (P1–P3) were found to reference districts with no real corresponding satellite coverage. These were relocated to real production districts — </w:t>
            </w:r>
            <w:r>
              <w:rPr>
                <w:rFonts w:ascii="Calibri" w:cs="Calibri" w:eastAsia="Calibri" w:hAnsi="Calibri"/>
                <w:b/>
                <w:bCs/>
                <w:color w:val="1A2518"/>
                <w:sz w:val="22"/>
                <w:szCs w:val="22"/>
              </w:rPr>
              <w:t xml:space="preserve">Darjeeling, Diamond Harbour (West Bengal), and Dehradun (Uttarakhand)</w:t>
            </w:r>
            <w:r>
              <w:rPr>
                <w:rFonts w:ascii="Calibri" w:cs="Calibri" w:eastAsia="Calibri" w:hAnsi="Calibri"/>
                <w:color w:val="1A2518"/>
                <w:sz w:val="22"/>
                <w:szCs w:val="22"/>
              </w:rPr>
              <w:t xml:space="preserve"> — with genuine ERA5/CHIRPS/Sentinel-2/MODIS data re-extracted and re-verified before being wired back into the modeling pipeline (ablation study, SHAP analysis, and production models were all re-run afterward).</w:t>
            </w:r>
          </w:p>
        </w:tc>
      </w:tr>
    </w:tbl>
    <w:p>
      <w:pPr>
        <w:pStyle w:val="Heading1"/>
        <w:pBdr>
          <w:bottom w:val="single" w:color="1E5C37" w:sz="6" w:space="4"/>
        </w:pBdr>
        <w:spacing w:after="160" w:before="360"/>
      </w:pPr>
      <w:r>
        <w:rPr>
          <w:rFonts w:ascii="Cambria" w:cs="Cambria" w:eastAsia="Cambria" w:hAnsi="Cambria"/>
          <w:b/>
          <w:bCs/>
          <w:color w:val="1E5C37"/>
          <w:sz w:val="30"/>
          <w:szCs w:val="30"/>
        </w:rPr>
        <w:t xml:space="preserve">3.  Modeling Pipeline</w:t>
      </w:r>
    </w:p>
    <w:p>
      <w:pPr>
        <w:pStyle w:val="Heading2"/>
        <w:spacing w:after="120" w:before="260"/>
      </w:pPr>
      <w:r>
        <w:rPr>
          <w:rFonts w:ascii="Cambria" w:cs="Cambria" w:eastAsia="Cambria" w:hAnsi="Cambria"/>
          <w:b/>
          <w:bCs/>
          <w:color w:val="1A2518"/>
          <w:sz w:val="24"/>
          <w:szCs w:val="24"/>
        </w:rPr>
        <w:t xml:space="preserve">3.1  Ablation study: M0 → M6</w:t>
      </w:r>
    </w:p>
    <w:p>
      <w:pPr>
        <w:spacing w:after="160" w:line="276"/>
      </w:pPr>
      <w:r>
        <w:rPr>
          <w:rFonts w:ascii="Calibri" w:cs="Calibri" w:eastAsia="Calibri" w:hAnsi="Calibri"/>
          <w:color w:val="1A2518"/>
          <w:sz w:val="22"/>
          <w:szCs w:val="22"/>
        </w:rPr>
        <w:t xml:space="preserve">Seven progressively richer LightGBM model variants were trained, each adding one data layer at a time, evaluated on a </w:t>
      </w:r>
      <w:r>
        <w:rPr>
          <w:rFonts w:ascii="Calibri" w:cs="Calibri" w:eastAsia="Calibri" w:hAnsi="Calibri"/>
          <w:b/>
          <w:bCs/>
          <w:color w:val="1A2518"/>
          <w:sz w:val="22"/>
          <w:szCs w:val="22"/>
        </w:rPr>
        <w:t xml:space="preserve">4-fold rolling-origin cross-validation</w:t>
      </w:r>
      <w:r>
        <w:rPr>
          <w:rFonts w:ascii="Calibri" w:cs="Calibri" w:eastAsia="Calibri" w:hAnsi="Calibri"/>
          <w:color w:val="1A2518"/>
          <w:sz w:val="22"/>
          <w:szCs w:val="22"/>
        </w:rPr>
        <w:t xml:space="preserve"> design (non-overlapping test years 2022–2025) across all 4 horizons and 3 crops — </w:t>
      </w:r>
      <w:r>
        <w:rPr>
          <w:rFonts w:ascii="Calibri" w:cs="Calibri" w:eastAsia="Calibri" w:hAnsi="Calibri"/>
          <w:b/>
          <w:bCs/>
          <w:color w:val="1A2518"/>
          <w:sz w:val="22"/>
          <w:szCs w:val="22"/>
        </w:rPr>
        <w:t xml:space="preserve">336 individual model fits</w:t>
      </w:r>
      <w:r>
        <w:rPr>
          <w:rFonts w:ascii="Calibri" w:cs="Calibri" w:eastAsia="Calibri" w:hAnsi="Calibri"/>
          <w:color w:val="1A2518"/>
          <w:sz w:val="22"/>
          <w:szCs w:val="22"/>
        </w:rPr>
        <w:t xml:space="preserve">:</w:t>
      </w:r>
    </w:p>
    <w:p>
      <w:pPr>
        <w:pStyle w:val="ListParagraph"/>
        <w:numPr>
          <w:ilvl w:val="0"/>
          <w:numId w:val="2"/>
        </w:numPr>
        <w:spacing w:after="90" w:line="264"/>
      </w:pPr>
      <w:r>
        <w:rPr>
          <w:rFonts w:ascii="Calibri" w:cs="Calibri" w:eastAsia="Calibri" w:hAnsi="Calibri"/>
          <w:b/>
          <w:bCs/>
          <w:color w:val="1A2518"/>
          <w:sz w:val="22"/>
          <w:szCs w:val="22"/>
        </w:rPr>
        <w:t xml:space="preserve">M0</w:t>
      </w:r>
      <w:r>
        <w:rPr>
          <w:rFonts w:ascii="Calibri" w:cs="Calibri" w:eastAsia="Calibri" w:hAnsi="Calibri"/>
          <w:color w:val="1A2518"/>
          <w:sz w:val="22"/>
          <w:szCs w:val="22"/>
        </w:rPr>
        <w:t xml:space="preserve"> Price history only (lags, rolling stats, seasonality)</w:t>
      </w:r>
    </w:p>
    <w:p>
      <w:pPr>
        <w:pStyle w:val="ListParagraph"/>
        <w:numPr>
          <w:ilvl w:val="0"/>
          <w:numId w:val="2"/>
        </w:numPr>
        <w:spacing w:after="90" w:line="264"/>
      </w:pPr>
      <w:r>
        <w:rPr>
          <w:rFonts w:ascii="Calibri" w:cs="Calibri" w:eastAsia="Calibri" w:hAnsi="Calibri"/>
          <w:b/>
          <w:bCs/>
          <w:color w:val="1A2518"/>
          <w:sz w:val="22"/>
          <w:szCs w:val="22"/>
        </w:rPr>
        <w:t xml:space="preserve">M1</w:t>
      </w:r>
      <w:r>
        <w:rPr>
          <w:rFonts w:ascii="Calibri" w:cs="Calibri" w:eastAsia="Calibri" w:hAnsi="Calibri"/>
          <w:color w:val="1A2518"/>
          <w:sz w:val="22"/>
          <w:szCs w:val="22"/>
        </w:rPr>
        <w:t xml:space="preserve">  + Arrivals</w:t>
      </w:r>
    </w:p>
    <w:p>
      <w:pPr>
        <w:pStyle w:val="ListParagraph"/>
        <w:numPr>
          <w:ilvl w:val="0"/>
          <w:numId w:val="2"/>
        </w:numPr>
        <w:spacing w:after="90" w:line="264"/>
      </w:pPr>
      <w:r>
        <w:rPr>
          <w:rFonts w:ascii="Calibri" w:cs="Calibri" w:eastAsia="Calibri" w:hAnsi="Calibri"/>
          <w:b/>
          <w:bCs/>
          <w:color w:val="1A2518"/>
          <w:sz w:val="22"/>
          <w:szCs w:val="22"/>
        </w:rPr>
        <w:t xml:space="preserve">M2</w:t>
      </w:r>
      <w:r>
        <w:rPr>
          <w:rFonts w:ascii="Calibri" w:cs="Calibri" w:eastAsia="Calibri" w:hAnsi="Calibri"/>
          <w:color w:val="1A2518"/>
          <w:sz w:val="22"/>
          <w:szCs w:val="22"/>
        </w:rPr>
        <w:t xml:space="preserve">  + Macro-economic &amp; logistics</w:t>
      </w:r>
    </w:p>
    <w:p>
      <w:pPr>
        <w:pStyle w:val="ListParagraph"/>
        <w:numPr>
          <w:ilvl w:val="0"/>
          <w:numId w:val="2"/>
        </w:numPr>
        <w:spacing w:after="90" w:line="264"/>
      </w:pPr>
      <w:r>
        <w:rPr>
          <w:rFonts w:ascii="Calibri" w:cs="Calibri" w:eastAsia="Calibri" w:hAnsi="Calibri"/>
          <w:b/>
          <w:bCs/>
          <w:color w:val="1A2518"/>
          <w:sz w:val="22"/>
          <w:szCs w:val="22"/>
        </w:rPr>
        <w:t xml:space="preserve">M3</w:t>
      </w:r>
      <w:r>
        <w:rPr>
          <w:rFonts w:ascii="Calibri" w:cs="Calibri" w:eastAsia="Calibri" w:hAnsi="Calibri"/>
          <w:color w:val="1A2518"/>
          <w:sz w:val="22"/>
          <w:szCs w:val="22"/>
        </w:rPr>
        <w:t xml:space="preserve">  + Climate stress (ERA5, CHIRPS)</w:t>
      </w:r>
    </w:p>
    <w:p>
      <w:pPr>
        <w:pStyle w:val="ListParagraph"/>
        <w:numPr>
          <w:ilvl w:val="0"/>
          <w:numId w:val="2"/>
        </w:numPr>
        <w:spacing w:after="90" w:line="264"/>
      </w:pPr>
      <w:r>
        <w:rPr>
          <w:rFonts w:ascii="Calibri" w:cs="Calibri" w:eastAsia="Calibri" w:hAnsi="Calibri"/>
          <w:b/>
          <w:bCs/>
          <w:color w:val="1A2518"/>
          <w:sz w:val="22"/>
          <w:szCs w:val="22"/>
        </w:rPr>
        <w:t xml:space="preserve">M4</w:t>
      </w:r>
      <w:r>
        <w:rPr>
          <w:rFonts w:ascii="Calibri" w:cs="Calibri" w:eastAsia="Calibri" w:hAnsi="Calibri"/>
          <w:color w:val="1A2518"/>
          <w:sz w:val="22"/>
          <w:szCs w:val="22"/>
        </w:rPr>
        <w:t xml:space="preserve">  + Satellite vegetation (Sentinel-2, MODIS)</w:t>
      </w:r>
    </w:p>
    <w:p>
      <w:pPr>
        <w:pStyle w:val="ListParagraph"/>
        <w:numPr>
          <w:ilvl w:val="0"/>
          <w:numId w:val="2"/>
        </w:numPr>
        <w:spacing w:after="90" w:line="264"/>
      </w:pPr>
      <w:r>
        <w:rPr>
          <w:rFonts w:ascii="Calibri" w:cs="Calibri" w:eastAsia="Calibri" w:hAnsi="Calibri"/>
          <w:b/>
          <w:bCs/>
          <w:color w:val="1A2518"/>
          <w:sz w:val="22"/>
          <w:szCs w:val="22"/>
        </w:rPr>
        <w:t xml:space="preserve">M5</w:t>
      </w:r>
      <w:r>
        <w:rPr>
          <w:rFonts w:ascii="Calibri" w:cs="Calibri" w:eastAsia="Calibri" w:hAnsi="Calibri"/>
          <w:color w:val="1A2518"/>
          <w:sz w:val="22"/>
          <w:szCs w:val="22"/>
        </w:rPr>
        <w:t xml:space="preserve">  + Infrastructure (wages, cold storage, roads)</w:t>
      </w:r>
    </w:p>
    <w:p>
      <w:pPr>
        <w:pStyle w:val="ListParagraph"/>
        <w:numPr>
          <w:ilvl w:val="0"/>
          <w:numId w:val="2"/>
        </w:numPr>
        <w:spacing w:after="90" w:line="264"/>
      </w:pPr>
      <w:r>
        <w:rPr>
          <w:rFonts w:ascii="Calibri" w:cs="Calibri" w:eastAsia="Calibri" w:hAnsi="Calibri"/>
          <w:b/>
          <w:bCs/>
          <w:color w:val="1A2518"/>
          <w:sz w:val="22"/>
          <w:szCs w:val="22"/>
        </w:rPr>
        <w:t xml:space="preserve">M6</w:t>
      </w:r>
      <w:r>
        <w:rPr>
          <w:rFonts w:ascii="Calibri" w:cs="Calibri" w:eastAsia="Calibri" w:hAnsi="Calibri"/>
          <w:color w:val="1A2518"/>
          <w:sz w:val="22"/>
          <w:szCs w:val="22"/>
        </w:rPr>
        <w:t xml:space="preserve">  + Policy/trade (export bans, MEP, duty, interventions) — the </w:t>
      </w:r>
      <w:r>
        <w:rPr>
          <w:rFonts w:ascii="Calibri" w:cs="Calibri" w:eastAsia="Calibri" w:hAnsi="Calibri"/>
          <w:b/>
          <w:bCs/>
          <w:color w:val="1A2518"/>
          <w:sz w:val="22"/>
          <w:szCs w:val="22"/>
        </w:rPr>
        <w:t xml:space="preserve">full production pipeline</w:t>
      </w:r>
    </w:p>
    <w:p>
      <w:pPr>
        <w:pStyle w:val="Heading2"/>
        <w:spacing w:after="120" w:before="260"/>
      </w:pPr>
      <w:r>
        <w:rPr>
          <w:rFonts w:ascii="Cambria" w:cs="Cambria" w:eastAsia="Cambria" w:hAnsi="Cambria"/>
          <w:b/>
          <w:bCs/>
          <w:color w:val="1A2518"/>
          <w:sz w:val="24"/>
          <w:szCs w:val="24"/>
        </w:rPr>
        <w:t xml:space="preserve">3.2  Model-family comparisons: is LightGBM the right choice?</w:t>
      </w:r>
    </w:p>
    <w:p>
      <w:pPr>
        <w:spacing w:after="160" w:line="276"/>
      </w:pPr>
      <w:r>
        <w:rPr>
          <w:rFonts w:ascii="Calibri" w:cs="Calibri" w:eastAsia="Calibri" w:hAnsi="Calibri"/>
          <w:color w:val="1A2518"/>
          <w:sz w:val="22"/>
          <w:szCs w:val="22"/>
        </w:rPr>
        <w:t xml:space="preserve">LightGBM was benchmarked against three tree-ensemble alternatives and two deep-learning architectures on the identical cross-validation framework, to justify it as the production model:</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3600"/>
        <w:gridCol w:w="3400"/>
        <w:gridCol w:w="2700"/>
      </w:tblGrid>
      <w:tr>
        <w:trPr>
          <w:tblHeader/>
        </w:trPr>
        <w:tc>
          <w:tcPr>
            <w:tcW w:type="dxa" w:w="36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Model</w:t>
            </w:r>
          </w:p>
        </w:tc>
        <w:tc>
          <w:tcPr>
            <w:tcW w:type="dxa" w:w="34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Mean R² (all crops × horizons × folds)</w:t>
            </w:r>
          </w:p>
        </w:tc>
        <w:tc>
          <w:tcPr>
            <w:tcW w:type="dxa" w:w="27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Verdict</w:t>
            </w:r>
          </w:p>
        </w:tc>
      </w:tr>
      <w:tr>
        <w:tc>
          <w:tcPr>
            <w:tcW w:type="dxa" w:w="3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CatBoost</w:t>
            </w:r>
          </w:p>
        </w:tc>
        <w:tc>
          <w:tcPr>
            <w:tcW w:type="dxa" w:w="3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0.341</w:t>
            </w:r>
          </w:p>
        </w:tc>
        <w:tc>
          <w:tcPr>
            <w:tcW w:type="dxa" w:w="27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Competitive, occasionally ahead</w:t>
            </w:r>
          </w:p>
        </w:tc>
      </w:tr>
      <w:tr>
        <w:tc>
          <w:tcPr>
            <w:tcW w:type="dxa" w:w="3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LightGBM (production choice)</w:t>
            </w:r>
          </w:p>
        </w:tc>
        <w:tc>
          <w:tcPr>
            <w:tcW w:type="dxa" w:w="34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0.231</w:t>
            </w:r>
          </w:p>
        </w:tc>
        <w:tc>
          <w:tcPr>
            <w:tcW w:type="dxa" w:w="27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Competitive; fastest; chosen for production</w:t>
            </w:r>
          </w:p>
        </w:tc>
      </w:tr>
      <w:tr>
        <w:tc>
          <w:tcPr>
            <w:tcW w:type="dxa" w:w="3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XGBoost</w:t>
            </w:r>
          </w:p>
        </w:tc>
        <w:tc>
          <w:tcPr>
            <w:tcW w:type="dxa" w:w="3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0.223</w:t>
            </w:r>
          </w:p>
        </w:tc>
        <w:tc>
          <w:tcPr>
            <w:tcW w:type="dxa" w:w="27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Competitive</w:t>
            </w:r>
          </w:p>
        </w:tc>
      </w:tr>
      <w:tr>
        <w:tc>
          <w:tcPr>
            <w:tcW w:type="dxa" w:w="3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RandomForest</w:t>
            </w:r>
          </w:p>
        </w:tc>
        <w:tc>
          <w:tcPr>
            <w:tcW w:type="dxa" w:w="34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−0.332</w:t>
            </w:r>
          </w:p>
        </w:tc>
        <w:tc>
          <w:tcPr>
            <w:tcW w:type="dxa" w:w="27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Clearly worst of the tree ensembles</w:t>
            </w:r>
          </w:p>
        </w:tc>
      </w:tr>
      <w:tr>
        <w:tc>
          <w:tcPr>
            <w:tcW w:type="dxa" w:w="3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LSTM</w:t>
            </w:r>
          </w:p>
        </w:tc>
        <w:tc>
          <w:tcPr>
            <w:tcW w:type="dxa" w:w="3400"/>
            <w:shd w:fill="FFFFFF"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−0.545</w:t>
            </w:r>
          </w:p>
        </w:tc>
        <w:tc>
          <w:tcPr>
            <w:tcW w:type="dxa" w:w="27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Underperforms every tree model</w:t>
            </w:r>
          </w:p>
        </w:tc>
      </w:tr>
      <w:tr>
        <w:tc>
          <w:tcPr>
            <w:tcW w:type="dxa" w:w="3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Transformer</w:t>
            </w:r>
          </w:p>
        </w:tc>
        <w:tc>
          <w:tcPr>
            <w:tcW w:type="dxa" w:w="3400"/>
            <w:shd w:fill="F5F8F3" w:color="auto" w:val="clear"/>
            <w:tcMar>
              <w:top w:type="dxa" w:w="80"/>
              <w:left w:type="dxa" w:w="110"/>
              <w:bottom w:type="dxa" w:w="80"/>
              <w:right w:type="dxa" w:w="110"/>
            </w:tcMar>
          </w:tcPr>
          <w:p>
            <w:pPr>
              <w:jc w:val="center"/>
            </w:pPr>
            <w:r>
              <w:rPr>
                <w:rFonts w:ascii="Calibri" w:cs="Calibri" w:eastAsia="Calibri" w:hAnsi="Calibri"/>
                <w:color w:val="1A2518"/>
                <w:sz w:val="19"/>
                <w:szCs w:val="19"/>
              </w:rPr>
              <w:t xml:space="preserve">−0.826</w:t>
            </w:r>
          </w:p>
        </w:tc>
        <w:tc>
          <w:tcPr>
            <w:tcW w:type="dxa" w:w="27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Weakest model tested</w:t>
            </w:r>
          </w:p>
        </w:tc>
      </w:tr>
    </w:tbl>
    <w:p>
      <w:pPr>
        <w:spacing w:after="60"/>
      </w:pPr>
      <w:r>
        <w:rPr>
          <w:rFonts w:ascii="Calibri" w:cs="Calibri" w:eastAsia="Calibri" w:hAnsi="Calibri"/>
          <w:color w:val="1A2518"/>
          <w:sz w:val="22"/>
          <w:szCs w:val="22"/>
        </w:rPr>
        <w:t xml:space="preserve"/>
      </w:r>
    </w:p>
    <w:p>
      <w:pPr>
        <w:spacing w:after="160" w:line="276"/>
      </w:pPr>
      <w:r>
        <w:rPr>
          <w:rFonts w:ascii="Calibri" w:cs="Calibri" w:eastAsia="Calibri" w:hAnsi="Calibri"/>
          <w:color w:val="1A2518"/>
          <w:sz w:val="22"/>
          <w:szCs w:val="22"/>
        </w:rPr>
        <w:t xml:space="preserve">LightGBM, XGBoost, and CatBoost are statistically competitive with no consistent winner; both deep-learning architectures underperform </w:t>
      </w:r>
      <w:r>
        <w:rPr>
          <w:rFonts w:ascii="Calibri" w:cs="Calibri" w:eastAsia="Calibri" w:hAnsi="Calibri"/>
          <w:i/>
          <w:iCs/>
          <w:color w:val="5B6B57"/>
          <w:sz w:val="22"/>
          <w:szCs w:val="22"/>
        </w:rPr>
        <w:t xml:space="preserve">every</w:t>
      </w:r>
      <w:r>
        <w:rPr>
          <w:rFonts w:ascii="Calibri" w:cs="Calibri" w:eastAsia="Calibri" w:hAnsi="Calibri"/>
          <w:color w:val="1A2518"/>
          <w:sz w:val="22"/>
          <w:szCs w:val="22"/>
        </w:rPr>
        <w:t xml:space="preserve"> tree model — validating LightGBM as the right production choice for this data regime (moderate sample size, tabular, mixed data types) over more complex sequence models.</w:t>
      </w:r>
    </w:p>
    <w:p>
      <w:pPr>
        <w:pStyle w:val="Heading2"/>
        <w:spacing w:after="120" w:before="260"/>
      </w:pPr>
      <w:r>
        <w:rPr>
          <w:rFonts w:ascii="Cambria" w:cs="Cambria" w:eastAsia="Cambria" w:hAnsi="Cambria"/>
          <w:b/>
          <w:bCs/>
          <w:color w:val="1A2518"/>
          <w:sz w:val="24"/>
          <w:szCs w:val="24"/>
        </w:rPr>
        <w:t xml:space="preserve">3.3  Production system</w:t>
      </w:r>
    </w:p>
    <w:p>
      <w:pPr>
        <w:spacing w:after="160" w:line="276"/>
      </w:pPr>
      <w:r>
        <w:rPr>
          <w:rFonts w:ascii="Calibri" w:cs="Calibri" w:eastAsia="Calibri" w:hAnsi="Calibri"/>
          <w:color w:val="1A2518"/>
          <w:sz w:val="22"/>
          <w:szCs w:val="22"/>
        </w:rPr>
        <w:t xml:space="preserve">Twelve final LightGBM models (3 crops × 4 horizons) were trained on the full data history and persisted for reuse, along with per-market reference feature rows, validated uncertainty bounds (RMSE/MAPE), and dashboard metadata — the foundation for both the interactive dashboard and the stress-testing module described in Section 7.</w:t>
      </w:r>
    </w:p>
    <w:p>
      <w:pPr>
        <w:pStyle w:val="Heading1"/>
        <w:pBdr>
          <w:bottom w:val="single" w:color="1E5C37" w:sz="6" w:space="4"/>
        </w:pBdr>
        <w:spacing w:after="160" w:before="360"/>
      </w:pPr>
      <w:r>
        <w:rPr>
          <w:rFonts w:ascii="Cambria" w:cs="Cambria" w:eastAsia="Cambria" w:hAnsi="Cambria"/>
          <w:b/>
          <w:bCs/>
          <w:color w:val="1E5C37"/>
          <w:sz w:val="30"/>
          <w:szCs w:val="30"/>
        </w:rPr>
        <w:t xml:space="preserve">4.  Statistical Validation</w:t>
      </w:r>
    </w:p>
    <w:p>
      <w:pPr>
        <w:spacing w:after="160" w:line="276"/>
      </w:pPr>
      <w:r>
        <w:rPr>
          <w:rFonts w:ascii="Calibri" w:cs="Calibri" w:eastAsia="Calibri" w:hAnsi="Calibri"/>
          <w:color w:val="1A2518"/>
          <w:sz w:val="22"/>
          <w:szCs w:val="22"/>
        </w:rPr>
        <w:t xml:space="preserve">Point-estimate accuracy metrics (R², MAPE) were not treated as sufficient on their own. Three additional layers of formal statistical rigor were applied:</w:t>
      </w:r>
    </w:p>
    <w:p>
      <w:pPr>
        <w:pStyle w:val="ListParagraph"/>
        <w:numPr>
          <w:ilvl w:val="0"/>
          <w:numId w:val="2"/>
        </w:numPr>
        <w:spacing w:after="90" w:line="264"/>
      </w:pPr>
      <w:r>
        <w:rPr>
          <w:rFonts w:ascii="Calibri" w:cs="Calibri" w:eastAsia="Calibri" w:hAnsi="Calibri"/>
          <w:b/>
          <w:bCs/>
          <w:color w:val="1A2518"/>
          <w:sz w:val="22"/>
          <w:szCs w:val="22"/>
        </w:rPr>
        <w:t xml:space="preserve">Diebold-Mariano tests</w:t>
      </w:r>
      <w:r>
        <w:rPr>
          <w:rFonts w:ascii="Calibri" w:cs="Calibri" w:eastAsia="Calibri" w:hAnsi="Calibri"/>
          <w:color w:val="1A2518"/>
          <w:sz w:val="22"/>
          <w:szCs w:val="22"/>
        </w:rPr>
        <w:t xml:space="preserve"> (crop-level and market-level) — pairwise significance tests on forecast-error differentials, with the Harvey-Leybourne-Newbold small-sample correction.</w:t>
      </w:r>
    </w:p>
    <w:p>
      <w:pPr>
        <w:pStyle w:val="ListParagraph"/>
        <w:numPr>
          <w:ilvl w:val="0"/>
          <w:numId w:val="2"/>
        </w:numPr>
        <w:spacing w:after="90" w:line="264"/>
      </w:pPr>
      <w:r>
        <w:rPr>
          <w:rFonts w:ascii="Calibri" w:cs="Calibri" w:eastAsia="Calibri" w:hAnsi="Calibri"/>
          <w:b/>
          <w:bCs/>
          <w:color w:val="1A2518"/>
          <w:sz w:val="22"/>
          <w:szCs w:val="22"/>
        </w:rPr>
        <w:t xml:space="preserve">Model Confidence Set</w:t>
      </w:r>
      <w:r>
        <w:rPr>
          <w:rFonts w:ascii="Calibri" w:cs="Calibri" w:eastAsia="Calibri" w:hAnsi="Calibri"/>
          <w:color w:val="1A2518"/>
          <w:sz w:val="22"/>
          <w:szCs w:val="22"/>
        </w:rPr>
        <w:t xml:space="preserve"> (Hansen, Lunde &amp; Nason, 2011) — a stationary-bootstrap range-statistic test that jointly evaluates all 8 model variants (naive persistence + M0–M6) per crop × horizon, with familywise error control across the whole set rather than one pair at a time.</w:t>
      </w:r>
    </w:p>
    <w:p>
      <w:pPr>
        <w:pStyle w:val="ListParagraph"/>
        <w:numPr>
          <w:ilvl w:val="0"/>
          <w:numId w:val="2"/>
        </w:numPr>
        <w:spacing w:after="90" w:line="264"/>
      </w:pPr>
      <w:r>
        <w:rPr>
          <w:rFonts w:ascii="Calibri" w:cs="Calibri" w:eastAsia="Calibri" w:hAnsi="Calibri"/>
          <w:b/>
          <w:bCs/>
          <w:color w:val="1A2518"/>
          <w:sz w:val="22"/>
          <w:szCs w:val="22"/>
        </w:rPr>
        <w:t xml:space="preserve">MASE / horizon-conditional skill analysis</w:t>
      </w:r>
      <w:r>
        <w:rPr>
          <w:rFonts w:ascii="Calibri" w:cs="Calibri" w:eastAsia="Calibri" w:hAnsi="Calibri"/>
          <w:color w:val="1A2518"/>
          <w:sz w:val="22"/>
          <w:szCs w:val="22"/>
        </w:rPr>
        <w:t xml:space="preserve"> and </w:t>
      </w:r>
      <w:r>
        <w:rPr>
          <w:rFonts w:ascii="Calibri" w:cs="Calibri" w:eastAsia="Calibri" w:hAnsi="Calibri"/>
          <w:b/>
          <w:bCs/>
          <w:color w:val="1A2518"/>
          <w:sz w:val="22"/>
          <w:szCs w:val="22"/>
        </w:rPr>
        <w:t xml:space="preserve">spike-detection AUC</w:t>
      </w:r>
      <w:r>
        <w:rPr>
          <w:rFonts w:ascii="Calibri" w:cs="Calibri" w:eastAsia="Calibri" w:hAnsi="Calibri"/>
          <w:color w:val="1A2518"/>
          <w:sz w:val="22"/>
          <w:szCs w:val="22"/>
        </w:rPr>
        <w:t xml:space="preserve"> (0.92–0.99 across all three crops) — the latter measuring the models' ability to correctly rank weeks by price-spike risk, a distinct and arguably more policy-relevant skill than point-forecast accuracy.</w:t>
      </w:r>
    </w:p>
    <w:p>
      <w:pPr>
        <w:pStyle w:val="Heading1"/>
        <w:pBdr>
          <w:bottom w:val="single" w:color="1E5C37" w:sz="6" w:space="4"/>
        </w:pBdr>
        <w:spacing w:after="160" w:before="360"/>
      </w:pPr>
      <w:r>
        <w:rPr>
          <w:rFonts w:ascii="Cambria" w:cs="Cambria" w:eastAsia="Cambria" w:hAnsi="Cambria"/>
          <w:b/>
          <w:bCs/>
          <w:color w:val="1E5C37"/>
          <w:sz w:val="30"/>
          <w:szCs w:val="30"/>
        </w:rPr>
        <w:t xml:space="preserve">5.  Central Scientific Finding: When Do the Data Layers Actually Earn Their Value?</w:t>
      </w:r>
    </w:p>
    <w:p>
      <w:pPr>
        <w:spacing w:after="160" w:line="276"/>
      </w:pPr>
      <w:r>
        <w:rPr>
          <w:rFonts w:ascii="Calibri" w:cs="Calibri" w:eastAsia="Calibri" w:hAnsi="Calibri"/>
          <w:color w:val="1A2518"/>
          <w:sz w:val="22"/>
          <w:szCs w:val="22"/>
        </w:rPr>
        <w:t xml:space="preserve">The single most important, and most carefully verified, finding of the project: </w:t>
      </w:r>
      <w:r>
        <w:rPr>
          <w:rFonts w:ascii="Calibri" w:cs="Calibri" w:eastAsia="Calibri" w:hAnsi="Calibri"/>
          <w:b/>
          <w:bCs/>
          <w:color w:val="1A2518"/>
          <w:sz w:val="22"/>
          <w:szCs w:val="22"/>
        </w:rPr>
        <w:t xml:space="preserve">naive persistence (“next week's price = this week's price”) is the statistically confirmed best model at the shortest horizon (h=1 week) for all three crops</w:t>
      </w:r>
      <w:r>
        <w:rPr>
          <w:rFonts w:ascii="Calibri" w:cs="Calibri" w:eastAsia="Calibri" w:hAnsi="Calibri"/>
          <w:color w:val="1A2518"/>
          <w:sz w:val="22"/>
          <w:szCs w:val="22"/>
        </w:rPr>
        <w:t xml:space="preserve"> — formally confirmed via the Model Confidence Set, which found naive persistence to be the </w:t>
      </w:r>
      <w:r>
        <w:rPr>
          <w:rFonts w:ascii="Calibri" w:cs="Calibri" w:eastAsia="Calibri" w:hAnsi="Calibri"/>
          <w:i/>
          <w:iCs/>
          <w:color w:val="5B6B57"/>
          <w:sz w:val="22"/>
          <w:szCs w:val="22"/>
        </w:rPr>
        <w:t xml:space="preserve">sole</w:t>
      </w:r>
      <w:r>
        <w:rPr>
          <w:rFonts w:ascii="Calibri" w:cs="Calibri" w:eastAsia="Calibri" w:hAnsi="Calibri"/>
          <w:color w:val="1A2518"/>
          <w:sz w:val="22"/>
          <w:szCs w:val="22"/>
        </w:rPr>
        <w:t xml:space="preserve"> survivor of the 90%-confidence set at h=1w in every case. This reflects a genuine, well-established economic phenomenon (near-random-walk behaviour in short-term commodity prices under efficient short-term price discovery), not a flaw in the modeling pipeline.</w:t>
      </w:r>
    </w:p>
    <w:p>
      <w:pPr>
        <w:spacing w:after="160" w:line="276"/>
      </w:pPr>
      <w:r>
        <w:rPr>
          <w:rFonts w:ascii="Calibri" w:cs="Calibri" w:eastAsia="Calibri" w:hAnsi="Calibri"/>
          <w:color w:val="1A2518"/>
          <w:sz w:val="22"/>
          <w:szCs w:val="22"/>
        </w:rPr>
        <w:t xml:space="preserve">Critically, this reverses at longer horizons — exactly where the added data layers have time to matter and where policy decisions actually need lead time:</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1600"/>
        <w:gridCol w:w="3400"/>
        <w:gridCol w:w="4700"/>
      </w:tblGrid>
      <w:tr>
        <w:trPr>
          <w:tblHeader/>
        </w:trPr>
        <w:tc>
          <w:tcPr>
            <w:tcW w:type="dxa" w:w="16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Crop</w:t>
            </w:r>
          </w:p>
        </w:tc>
        <w:tc>
          <w:tcPr>
            <w:tcW w:type="dxa" w:w="34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Crossover horizon (M6 first beats naive)</w:t>
            </w:r>
          </w:p>
        </w:tc>
        <w:tc>
          <w:tcPr>
            <w:tcW w:type="dxa" w:w="47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Notes</w:t>
            </w:r>
          </w:p>
        </w:tc>
      </w:tr>
      <w:tr>
        <w:tc>
          <w:tcPr>
            <w:tcW w:type="dxa" w:w="1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Tomato</w:t>
            </w:r>
          </w:p>
        </w:tc>
        <w:tc>
          <w:tcPr>
            <w:tcW w:type="dxa" w:w="34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13 weeks</w:t>
            </w:r>
          </w:p>
        </w:tc>
        <w:tc>
          <w:tcPr>
            <w:tcW w:type="dxa" w:w="47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Cleanest crossover; M6 statistically superior from h=13w onward</w:t>
            </w:r>
          </w:p>
        </w:tc>
      </w:tr>
      <w:tr>
        <w:tc>
          <w:tcPr>
            <w:tcW w:type="dxa" w:w="1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Onion</w:t>
            </w:r>
          </w:p>
        </w:tc>
        <w:tc>
          <w:tcPr>
            <w:tcW w:type="dxa" w:w="34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26 weeks</w:t>
            </w:r>
          </w:p>
        </w:tc>
        <w:tc>
          <w:tcPr>
            <w:tcW w:type="dxa" w:w="47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M6 statistically superior at h=26w; naive drops out of the 90% confidence set entirely</w:t>
            </w:r>
          </w:p>
        </w:tc>
      </w:tr>
      <w:tr>
        <w:tc>
          <w:tcPr>
            <w:tcW w:type="dxa" w:w="1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Potato</w:t>
            </w:r>
          </w:p>
        </w:tc>
        <w:tc>
          <w:tcPr>
            <w:tcW w:type="dxa" w:w="34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26 weeks (partial)</w:t>
            </w:r>
          </w:p>
        </w:tc>
        <w:tc>
          <w:tcPr>
            <w:tcW w:type="dxa" w:w="47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At h=26w, neither naive nor the full M6 pipeline survives the 90% confidence set — only the simpler price+arrivals models do; the one genuine limitation among the three crops</w:t>
            </w:r>
          </w:p>
        </w:tc>
      </w:tr>
    </w:tbl>
    <w:p>
      <w:pPr>
        <w:spacing w:after="60"/>
      </w:pPr>
      <w:r>
        <w:rPr>
          <w:rFonts w:ascii="Calibri" w:cs="Calibri" w:eastAsia="Calibri" w:hAnsi="Calibri"/>
          <w:color w:val="1A2518"/>
          <w:sz w:val="22"/>
          <w:szCs w:val="22"/>
        </w:rPr>
        <w:t xml:space="preserve"/>
      </w:r>
    </w:p>
    <w:p>
      <w:pPr>
        <w:spacing w:after="160" w:line="276"/>
      </w:pPr>
      <w:r>
        <w:rPr>
          <w:rFonts w:ascii="Calibri" w:cs="Calibri" w:eastAsia="Calibri" w:hAnsi="Calibri"/>
          <w:color w:val="1A2518"/>
          <w:sz w:val="22"/>
          <w:szCs w:val="22"/>
        </w:rPr>
        <w:t xml:space="preserve">This is independently corroborated by the </w:t>
      </w:r>
      <w:r>
        <w:rPr>
          <w:rFonts w:ascii="Calibri" w:cs="Calibri" w:eastAsia="Calibri" w:hAnsi="Calibri"/>
          <w:b/>
          <w:bCs/>
          <w:color w:val="1A2518"/>
          <w:sz w:val="22"/>
          <w:szCs w:val="22"/>
        </w:rPr>
        <w:t xml:space="preserve">SHAP interpretability analysis</w:t>
      </w:r>
      <w:r>
        <w:rPr>
          <w:rFonts w:ascii="Calibri" w:cs="Calibri" w:eastAsia="Calibri" w:hAnsi="Calibri"/>
          <w:color w:val="1A2518"/>
          <w:sz w:val="22"/>
          <w:szCs w:val="22"/>
        </w:rPr>
        <w:t xml:space="preserve">: price's own share of predictive weight falls from </w:t>
      </w:r>
      <w:r>
        <w:rPr>
          <w:rFonts w:ascii="Calibri" w:cs="Calibri" w:eastAsia="Calibri" w:hAnsi="Calibri"/>
          <w:b/>
          <w:bCs/>
          <w:color w:val="1A2518"/>
          <w:sz w:val="22"/>
          <w:szCs w:val="22"/>
        </w:rPr>
        <w:t xml:space="preserve">~70–76% at h=1w to as low as ~19–48% at h=13/26w</w:t>
      </w:r>
      <w:r>
        <w:rPr>
          <w:rFonts w:ascii="Calibri" w:cs="Calibri" w:eastAsia="Calibri" w:hAnsi="Calibri"/>
          <w:color w:val="1A2518"/>
          <w:sz w:val="22"/>
          <w:szCs w:val="22"/>
        </w:rPr>
        <w:t xml:space="preserve">, with climate, macro, infrastructure, and policy layers correspondingly gaining share — the data layers are not just statistically confirmed to help at long horizons, the model is demonstrably relying on them more as horizon increases.</w:t>
      </w:r>
    </w:p>
    <w:p>
      <w:pPr>
        <w:pStyle w:val="Heading1"/>
        <w:pBdr>
          <w:bottom w:val="single" w:color="1E5C37" w:sz="6" w:space="4"/>
        </w:pBdr>
        <w:spacing w:after="160" w:before="360"/>
      </w:pPr>
      <w:r>
        <w:rPr>
          <w:rFonts w:ascii="Cambria" w:cs="Cambria" w:eastAsia="Cambria" w:hAnsi="Cambria"/>
          <w:b/>
          <w:bCs/>
          <w:color w:val="1E5C37"/>
          <w:sz w:val="30"/>
          <w:szCs w:val="30"/>
        </w:rPr>
        <w:t xml:space="preserve">6.  Real-World Validation: Crisis Backtesting Case Studies</w:t>
      </w:r>
    </w:p>
    <w:p>
      <w:pPr>
        <w:spacing w:after="160" w:line="276"/>
      </w:pPr>
      <w:r>
        <w:rPr>
          <w:rFonts w:ascii="Calibri" w:cs="Calibri" w:eastAsia="Calibri" w:hAnsi="Calibri"/>
          <w:color w:val="1A2518"/>
          <w:sz w:val="22"/>
          <w:szCs w:val="22"/>
        </w:rPr>
        <w:t xml:space="preserve">To test whether the horizon-crossover finding holds not just on average but during the specific price crises that matter most to policymakers, four real, independently verified episodes were backtested using genuinely out-of-sample model predictions (no retraining):</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2200"/>
        <w:gridCol w:w="3900"/>
        <w:gridCol w:w="3600"/>
      </w:tblGrid>
      <w:tr>
        <w:trPr>
          <w:tblHeader/>
        </w:trPr>
        <w:tc>
          <w:tcPr>
            <w:tcW w:type="dxa" w:w="22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Episode</w:t>
            </w:r>
          </w:p>
        </w:tc>
        <w:tc>
          <w:tcPr>
            <w:tcW w:type="dxa" w:w="39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What happened</w:t>
            </w:r>
          </w:p>
        </w:tc>
        <w:tc>
          <w:tcPr>
            <w:tcW w:type="dxa" w:w="36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Result</w:t>
            </w:r>
          </w:p>
        </w:tc>
      </w:tr>
      <w:tr>
        <w:tc>
          <w:tcPr>
            <w:tcW w:type="dxa" w:w="2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Tomato, Jun–Sep 2023</w:t>
            </w:r>
          </w:p>
        </w:tc>
        <w:tc>
          <w:tcPr>
            <w:tcW w:type="dxa" w:w="39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Nationwide spike (+454% over 4 weeks) then crash (−70%); NCCF/NAFED subsidised retail intervention</w:t>
            </w:r>
          </w:p>
        </w:tc>
        <w:tc>
          <w:tcPr>
            <w:tcW w:type="dxa" w:w="3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Naive wins h=1w; M6 wins decisively h=4/13/26w (naive MAPE hits 147–158% at long horizon)</w:t>
            </w:r>
          </w:p>
        </w:tc>
      </w:tr>
      <w:tr>
        <w:tc>
          <w:tcPr>
            <w:tcW w:type="dxa" w:w="2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Onion, Aug 2023–Jan 2024</w:t>
            </w:r>
          </w:p>
        </w:tc>
        <w:tc>
          <w:tcPr>
            <w:tcW w:type="dxa" w:w="39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Export duty → MEP → outright export ban, tracking a +89% spike then a −46% crash post-ban</w:t>
            </w:r>
          </w:p>
        </w:tc>
        <w:tc>
          <w:tcPr>
            <w:tcW w:type="dxa" w:w="3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Naive wins h=1/4w; M6 wins h=13/26w — crossover occurs even earlier than the full-sample average</w:t>
            </w:r>
          </w:p>
        </w:tc>
      </w:tr>
      <w:tr>
        <w:tc>
          <w:tcPr>
            <w:tcW w:type="dxa" w:w="2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Potato, Apr 2024</w:t>
            </w:r>
          </w:p>
        </w:tc>
        <w:tc>
          <w:tcPr>
            <w:tcW w:type="dxa" w:w="39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Nationwide spike (+45%), no matching policy event</w:t>
            </w:r>
          </w:p>
        </w:tc>
        <w:tc>
          <w:tcPr>
            <w:tcW w:type="dxa" w:w="36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Naive wins at every horizon — the one genuine exception, consistent with the MCS finding above</w:t>
            </w:r>
          </w:p>
        </w:tc>
      </w:tr>
      <w:tr>
        <w:tc>
          <w:tcPr>
            <w:tcW w:type="dxa" w:w="2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Potato, Jan 2025</w:t>
            </w:r>
          </w:p>
        </w:tc>
        <w:tc>
          <w:tcPr>
            <w:tcW w:type="dxa" w:w="39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Nationwide crash (−47%), no matching policy event</w:t>
            </w:r>
          </w:p>
        </w:tc>
        <w:tc>
          <w:tcPr>
            <w:tcW w:type="dxa" w:w="36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Naive wins h=1w; M6 wins h=4/13/26w — behaves like tomato/onion despite no policy driver</w:t>
            </w:r>
          </w:p>
        </w:tc>
      </w:tr>
    </w:tbl>
    <w:p>
      <w:pPr>
        <w:spacing w:after="60"/>
      </w:pPr>
      <w:r>
        <w:rPr>
          <w:rFonts w:ascii="Calibri" w:cs="Calibri" w:eastAsia="Calibri" w:hAnsi="Calibri"/>
          <w:color w:val="1A2518"/>
          <w:sz w:val="22"/>
          <w:szCs w:val="22"/>
        </w:rPr>
        <w:t xml:space="preserve"/>
      </w:r>
    </w:p>
    <w:p>
      <w:pPr>
        <w:spacing w:after="160" w:line="276"/>
      </w:pPr>
      <w:r>
        <w:rPr>
          <w:rFonts w:ascii="Calibri" w:cs="Calibri" w:eastAsia="Calibri" w:hAnsi="Calibri"/>
          <w:color w:val="1A2518"/>
          <w:sz w:val="22"/>
          <w:szCs w:val="22"/>
        </w:rPr>
        <w:t xml:space="preserve">These case studies were written up as a full results/discussion section of the manuscript draft (Section 9 below), including the mechanism: naive persistence's long-horizon forecast is mechanically anchored to a pre-crisis price and cannot anticipate a regime change, while the model's climate, arrivals, and — for onion specifically — </w:t>
      </w:r>
      <w:r>
        <w:rPr>
          <w:rFonts w:ascii="Calibri" w:cs="Calibri" w:eastAsia="Calibri" w:hAnsi="Calibri"/>
          <w:b/>
          <w:bCs/>
          <w:color w:val="1A2518"/>
          <w:sz w:val="22"/>
          <w:szCs w:val="22"/>
        </w:rPr>
        <w:t xml:space="preserve">explicit policy-instrument features</w:t>
      </w:r>
      <w:r>
        <w:rPr>
          <w:rFonts w:ascii="Calibri" w:cs="Calibri" w:eastAsia="Calibri" w:hAnsi="Calibri"/>
          <w:color w:val="1A2518"/>
          <w:sz w:val="22"/>
          <w:szCs w:val="22"/>
        </w:rPr>
        <w:t xml:space="preserve"> let it partially anticipate the price response before it has fully unfolded.</w:t>
      </w:r>
    </w:p>
    <w:p>
      <w:pPr>
        <w:pStyle w:val="Heading1"/>
        <w:pBdr>
          <w:bottom w:val="single" w:color="1E5C37" w:sz="6" w:space="4"/>
        </w:pBdr>
        <w:spacing w:after="160" w:before="360"/>
      </w:pPr>
      <w:r>
        <w:rPr>
          <w:rFonts w:ascii="Cambria" w:cs="Cambria" w:eastAsia="Cambria" w:hAnsi="Cambria"/>
          <w:b/>
          <w:bCs/>
          <w:color w:val="1E5C37"/>
          <w:sz w:val="30"/>
          <w:szCs w:val="30"/>
        </w:rPr>
        <w:t xml:space="preserve">7.  Causal Analysis: Granger Causality</w:t>
      </w:r>
    </w:p>
    <w:p>
      <w:pPr>
        <w:spacing w:after="160" w:line="276"/>
      </w:pPr>
      <w:r>
        <w:rPr>
          <w:rFonts w:ascii="Calibri" w:cs="Calibri" w:eastAsia="Calibri" w:hAnsi="Calibri"/>
          <w:color w:val="1A2518"/>
          <w:sz w:val="22"/>
          <w:szCs w:val="22"/>
        </w:rPr>
        <w:t xml:space="preserve">Beyond “does this layer improve forecast accuracy,” a formal econometric test was run for “does this layer have independent predictive content for price at all” — bidirectional Granger causality tests (stationarity-checked, false-discovery-rate corrected within each crop) between price and every data layer, at lags of 1, 4, and 13 weeks:</w:t>
      </w:r>
    </w:p>
    <w:p>
      <w:pPr>
        <w:pStyle w:val="ListParagraph"/>
        <w:numPr>
          <w:ilvl w:val="0"/>
          <w:numId w:val="2"/>
        </w:numPr>
        <w:spacing w:after="90" w:line="264"/>
      </w:pPr>
      <w:r>
        <w:rPr>
          <w:rFonts w:ascii="Calibri" w:cs="Calibri" w:eastAsia="Calibri" w:hAnsi="Calibri"/>
          <w:b/>
          <w:bCs/>
          <w:color w:val="1A2518"/>
          <w:sz w:val="22"/>
          <w:szCs w:val="22"/>
        </w:rPr>
        <w:t xml:space="preserve">Climate Granger-causes price</w:t>
      </w:r>
      <w:r>
        <w:rPr>
          <w:rFonts w:ascii="Calibri" w:cs="Calibri" w:eastAsia="Calibri" w:hAnsi="Calibri"/>
          <w:color w:val="1A2518"/>
          <w:sz w:val="22"/>
          <w:szCs w:val="22"/>
        </w:rPr>
        <w:t xml:space="preserve"> for all three crops, at every lag tested — the cleanest, most consistent result of the analysis.</w:t>
      </w:r>
    </w:p>
    <w:p>
      <w:pPr>
        <w:pStyle w:val="ListParagraph"/>
        <w:numPr>
          <w:ilvl w:val="0"/>
          <w:numId w:val="2"/>
        </w:numPr>
        <w:spacing w:after="90" w:line="264"/>
      </w:pPr>
      <w:r>
        <w:rPr>
          <w:rFonts w:ascii="Calibri" w:cs="Calibri" w:eastAsia="Calibri" w:hAnsi="Calibri"/>
          <w:b/>
          <w:bCs/>
          <w:color w:val="1A2518"/>
          <w:sz w:val="22"/>
          <w:szCs w:val="22"/>
        </w:rPr>
        <w:t xml:space="preserve">Arrivals → price</w:t>
      </w:r>
      <w:r>
        <w:rPr>
          <w:rFonts w:ascii="Calibri" w:cs="Calibri" w:eastAsia="Calibri" w:hAnsi="Calibri"/>
          <w:color w:val="1A2518"/>
          <w:sz w:val="22"/>
          <w:szCs w:val="22"/>
        </w:rPr>
        <w:t xml:space="preserve"> holds for potato and tomato (classic supply effect); for onion, only the reverse direction (price → arrivals) is significant — suggesting onion supply responds to price rather than driving it.</w:t>
      </w:r>
    </w:p>
    <w:p>
      <w:pPr>
        <w:pStyle w:val="ListParagraph"/>
        <w:numPr>
          <w:ilvl w:val="0"/>
          <w:numId w:val="2"/>
        </w:numPr>
        <w:spacing w:after="90" w:line="264"/>
      </w:pPr>
      <w:r>
        <w:rPr>
          <w:rFonts w:ascii="Calibri" w:cs="Calibri" w:eastAsia="Calibri" w:hAnsi="Calibri"/>
          <w:b/>
          <w:bCs/>
          <w:color w:val="1A2518"/>
          <w:sz w:val="22"/>
          <w:szCs w:val="22"/>
        </w:rPr>
        <w:t xml:space="preserve">Price Granger-causes policy intervention</w:t>
      </w:r>
      <w:r>
        <w:rPr>
          <w:rFonts w:ascii="Calibri" w:cs="Calibri" w:eastAsia="Calibri" w:hAnsi="Calibri"/>
          <w:color w:val="1A2518"/>
          <w:sz w:val="22"/>
          <w:szCs w:val="22"/>
        </w:rPr>
        <w:t xml:space="preserve"> (not the reverse) for tomato at every lag — a formal confirmation that Operation Greens / NCCF interventions are </w:t>
      </w:r>
      <w:r>
        <w:rPr>
          <w:rFonts w:ascii="Calibri" w:cs="Calibri" w:eastAsia="Calibri" w:hAnsi="Calibri"/>
          <w:i/>
          <w:iCs/>
          <w:color w:val="5B6B57"/>
          <w:sz w:val="22"/>
          <w:szCs w:val="22"/>
        </w:rPr>
        <w:t xml:space="preserve">reactive</w:t>
      </w:r>
      <w:r>
        <w:rPr>
          <w:rFonts w:ascii="Calibri" w:cs="Calibri" w:eastAsia="Calibri" w:hAnsi="Calibri"/>
          <w:color w:val="1A2518"/>
          <w:sz w:val="22"/>
          <w:szCs w:val="22"/>
        </w:rPr>
        <w:t xml:space="preserve"> to price spikes, not a leading indicator. This directly foreshadows the stress-testing finding in Section 8.</w:t>
      </w:r>
    </w:p>
    <w:p>
      <w:pPr>
        <w:pStyle w:val="ListParagraph"/>
        <w:numPr>
          <w:ilvl w:val="0"/>
          <w:numId w:val="2"/>
        </w:numPr>
        <w:spacing w:after="90" w:line="264"/>
      </w:pPr>
      <w:r>
        <w:rPr>
          <w:rFonts w:ascii="Calibri" w:cs="Calibri" w:eastAsia="Calibri" w:hAnsi="Calibri"/>
          <w:b/>
          <w:bCs/>
          <w:color w:val="1A2518"/>
          <w:sz w:val="22"/>
          <w:szCs w:val="22"/>
        </w:rPr>
        <w:t xml:space="preserve">Market network:</w:t>
      </w:r>
      <w:r>
        <w:rPr>
          <w:rFonts w:ascii="Calibri" w:cs="Calibri" w:eastAsia="Calibri" w:hAnsi="Calibri"/>
          <w:color w:val="1A2518"/>
          <w:sz w:val="22"/>
          <w:szCs w:val="22"/>
        </w:rPr>
        <w:t xml:space="preserve"> a light lead-lag test among each crop's top-5-by-volume markets found most pairs significant in </w:t>
      </w:r>
      <w:r>
        <w:rPr>
          <w:rFonts w:ascii="Calibri" w:cs="Calibri" w:eastAsia="Calibri" w:hAnsi="Calibri"/>
          <w:i/>
          <w:iCs/>
          <w:color w:val="5B6B57"/>
          <w:sz w:val="22"/>
          <w:szCs w:val="22"/>
        </w:rPr>
        <w:t xml:space="preserve">both</w:t>
      </w:r>
      <w:r>
        <w:rPr>
          <w:rFonts w:ascii="Calibri" w:cs="Calibri" w:eastAsia="Calibri" w:hAnsi="Calibri"/>
          <w:color w:val="1A2518"/>
          <w:sz w:val="22"/>
          <w:szCs w:val="22"/>
        </w:rPr>
        <w:t xml:space="preserve"> directions — read as strong national market co-movement rather than one market cleanly leading the others.</w:t>
      </w:r>
    </w:p>
    <w:p>
      <w:pPr>
        <w:pStyle w:val="Heading1"/>
        <w:pBdr>
          <w:bottom w:val="single" w:color="1E5C37" w:sz="6" w:space="4"/>
        </w:pBdr>
        <w:spacing w:after="160" w:before="360"/>
      </w:pPr>
      <w:r>
        <w:rPr>
          <w:rFonts w:ascii="Cambria" w:cs="Cambria" w:eastAsia="Cambria" w:hAnsi="Cambria"/>
          <w:b/>
          <w:bCs/>
          <w:color w:val="1E5C37"/>
          <w:sz w:val="30"/>
          <w:szCs w:val="30"/>
        </w:rPr>
        <w:t xml:space="preserve">8.  Formal Stress-Testing Module — and a Genuine Limitation Discovered</w:t>
      </w:r>
    </w:p>
    <w:p>
      <w:pPr>
        <w:spacing w:after="160" w:line="276"/>
      </w:pPr>
      <w:r>
        <w:rPr>
          <w:rFonts w:ascii="Calibri" w:cs="Calibri" w:eastAsia="Calibri" w:hAnsi="Calibri"/>
          <w:color w:val="1A2518"/>
          <w:sz w:val="22"/>
          <w:szCs w:val="22"/>
        </w:rPr>
        <w:t xml:space="preserve">The dashboard's manual what-if simulator (Section 10) was systematised into a fixed, reproducible battery of stress scenarios, run across every market in the production panel using the saved models (no retraining). Scenarios were calibrated to real data wherever possible — not invented numbers:</w:t>
      </w:r>
    </w:p>
    <w:p>
      <w:pPr>
        <w:pStyle w:val="ListParagraph"/>
        <w:numPr>
          <w:ilvl w:val="0"/>
          <w:numId w:val="2"/>
        </w:numPr>
        <w:spacing w:after="90" w:line="264"/>
      </w:pPr>
      <w:r>
        <w:rPr>
          <w:rFonts w:ascii="Calibri" w:cs="Calibri" w:eastAsia="Calibri" w:hAnsi="Calibri"/>
          <w:color w:val="1A2518"/>
          <w:sz w:val="22"/>
          <w:szCs w:val="22"/>
        </w:rPr>
        <w:t xml:space="preserve">Onion's policy scenarios replay the exact verified 2023–24 event values (40% export duty, USD 800/MT MEP, outright export ban).</w:t>
      </w:r>
    </w:p>
    <w:p>
      <w:pPr>
        <w:pStyle w:val="ListParagraph"/>
        <w:numPr>
          <w:ilvl w:val="0"/>
          <w:numId w:val="2"/>
        </w:numPr>
        <w:spacing w:after="90" w:line="264"/>
      </w:pPr>
      <w:r>
        <w:rPr>
          <w:rFonts w:ascii="Calibri" w:cs="Calibri" w:eastAsia="Calibri" w:hAnsi="Calibri"/>
          <w:color w:val="1A2518"/>
          <w:sz w:val="22"/>
          <w:szCs w:val="22"/>
        </w:rPr>
        <w:t xml:space="preserve">Diesel-price and climate shocks are calibrated to the largest real historical 12-month diesel increase (+29.7%) and each crop's own 95th-percentile climate extreme.</w:t>
      </w:r>
    </w:p>
    <w:tbl>
      <w:tblPr>
        <w:tblW w:type="pct" w:w="100%"/>
        <w:tblBorders>
          <w:top w:val="single" w:color="1E5C37" w:sz="4"/>
          <w:left w:val="single" w:color="1E5C37" w:sz="24"/>
          <w:bottom w:val="single" w:color="1E5C37" w:sz="4"/>
          <w:right w:val="single" w:color="1E5C37" w:sz="4"/>
          <w:insideH w:val="none" w:color="FFFFFF" w:sz="0"/>
          <w:insideV w:val="none" w:color="FFFFFF" w:sz="0"/>
        </w:tblBorders>
      </w:tblPr>
      <w:tblGrid>
        <w:gridCol w:w="100"/>
      </w:tblGrid>
      <w:tr>
        <w:tc>
          <w:tcPr>
            <w:shd w:fill="EFF3E9" w:color="auto" w:val="clear"/>
            <w:tcMar>
              <w:top w:type="dxa" w:w="160"/>
              <w:left w:type="dxa" w:w="220"/>
              <w:bottom w:type="dxa" w:w="160"/>
              <w:right w:type="dxa" w:w="220"/>
            </w:tcMar>
          </w:tcPr>
          <w:p>
            <w:pPr>
              <w:spacing w:after="80"/>
            </w:pPr>
            <w:r>
              <w:rPr>
                <w:rFonts w:ascii="Calibri" w:cs="Calibri" w:eastAsia="Calibri" w:hAnsi="Calibri"/>
                <w:b/>
                <w:bCs/>
                <w:color w:val="1E5C37"/>
                <w:sz w:val="21"/>
                <w:szCs w:val="21"/>
              </w:rPr>
              <w:t xml:space="preserve">Important finding — flagged directly, not hidden</w:t>
            </w:r>
          </w:p>
          <w:p>
            <w:pPr>
              <w:spacing w:after="0" w:line="264"/>
            </w:pPr>
            <w:r>
              <w:rPr>
                <w:rFonts w:ascii="Calibri" w:cs="Calibri" w:eastAsia="Calibri" w:hAnsi="Calibri"/>
                <w:color w:val="1A2518"/>
                <w:sz w:val="22"/>
                <w:szCs w:val="22"/>
              </w:rPr>
              <w:t xml:space="preserve">Most single-driver shocks (diesel, climate, MEP alone, export ban alone) produced a near-zero model response. More significantly, </w:t>
            </w:r>
            <w:r>
              <w:rPr>
                <w:rFonts w:ascii="Calibri" w:cs="Calibri" w:eastAsia="Calibri" w:hAnsi="Calibri"/>
                <w:b/>
                <w:bCs/>
                <w:color w:val="1A2518"/>
                <w:sz w:val="22"/>
                <w:szCs w:val="22"/>
              </w:rPr>
              <w:t xml:space="preserve">onion's export-duty scenario predicted the wrong-signed price response</w:t>
            </w:r>
            <w:r>
              <w:rPr>
                <w:rFonts w:ascii="Calibri" w:cs="Calibri" w:eastAsia="Calibri" w:hAnsi="Calibri"/>
                <w:color w:val="1A2518"/>
                <w:sz w:val="22"/>
                <w:szCs w:val="22"/>
              </w:rPr>
              <w:t xml:space="preserve"> — the model forecast a </w:t>
            </w:r>
            <w:r>
              <w:rPr>
                <w:rFonts w:ascii="Calibri" w:cs="Calibri" w:eastAsia="Calibri" w:hAnsi="Calibri"/>
                <w:b/>
                <w:bCs/>
                <w:color w:val="1A2518"/>
                <w:sz w:val="22"/>
                <w:szCs w:val="22"/>
              </w:rPr>
              <w:t xml:space="preserve">+14.5% price increase</w:t>
            </w:r>
            <w:r>
              <w:rPr>
                <w:rFonts w:ascii="Calibri" w:cs="Calibri" w:eastAsia="Calibri" w:hAnsi="Calibri"/>
                <w:color w:val="1A2518"/>
                <w:sz w:val="22"/>
                <w:szCs w:val="22"/>
              </w:rPr>
              <w:t xml:space="preserve"> at h=26w under a duty shock, while the real Aug 2023–Jan 2024 episode saw prices </w:t>
            </w:r>
            <w:r>
              <w:rPr>
                <w:rFonts w:ascii="Calibri" w:cs="Calibri" w:eastAsia="Calibri" w:hAnsi="Calibri"/>
                <w:b/>
                <w:bCs/>
                <w:color w:val="1A2518"/>
                <w:sz w:val="22"/>
                <w:szCs w:val="22"/>
              </w:rPr>
              <w:t xml:space="preserve">crash −46%</w:t>
            </w:r>
            <w:r>
              <w:rPr>
                <w:rFonts w:ascii="Calibri" w:cs="Calibri" w:eastAsia="Calibri" w:hAnsi="Calibri"/>
                <w:color w:val="1A2518"/>
                <w:sz w:val="22"/>
                <w:szCs w:val="22"/>
              </w:rPr>
              <w:t xml:space="preserve"> under the equivalent real-world restriction sequence (Section 6). This traces directly to the Granger-causality finding above: the model has learned that policy restrictions </w:t>
            </w:r>
            <w:r>
              <w:rPr>
                <w:rFonts w:ascii="Calibri" w:cs="Calibri" w:eastAsia="Calibri" w:hAnsi="Calibri"/>
                <w:i/>
                <w:iCs/>
                <w:color w:val="5B6B57"/>
                <w:sz w:val="22"/>
                <w:szCs w:val="22"/>
              </w:rPr>
              <w:t xml:space="preserve">co-occur</w:t>
            </w:r>
            <w:r>
              <w:rPr>
                <w:rFonts w:ascii="Calibri" w:cs="Calibri" w:eastAsia="Calibri" w:hAnsi="Calibri"/>
                <w:color w:val="1A2518"/>
                <w:sz w:val="22"/>
                <w:szCs w:val="22"/>
              </w:rPr>
              <w:t xml:space="preserve"> with already-elevated prices (because governments impose them </w:t>
            </w:r>
            <w:r>
              <w:rPr>
                <w:rFonts w:ascii="Calibri" w:cs="Calibri" w:eastAsia="Calibri" w:hAnsi="Calibri"/>
                <w:i/>
                <w:iCs/>
                <w:color w:val="5B6B57"/>
                <w:sz w:val="22"/>
                <w:szCs w:val="22"/>
              </w:rPr>
              <w:t xml:space="preserve">reactively</w:t>
            </w:r>
            <w:r>
              <w:rPr>
                <w:rFonts w:ascii="Calibri" w:cs="Calibri" w:eastAsia="Calibri" w:hAnsi="Calibri"/>
                <w:color w:val="1A2518"/>
                <w:sz w:val="22"/>
                <w:szCs w:val="22"/>
              </w:rPr>
              <w:t xml:space="preserve">), not their own price-suppressing causal effect — so artificially flipping the policy switch in isolation surfaces the wrong learned association.</w:t>
            </w:r>
          </w:p>
        </w:tc>
      </w:tr>
    </w:tbl>
    <w:p>
      <w:pPr>
        <w:spacing w:after="100"/>
      </w:pPr>
      <w:r>
        <w:rPr>
          <w:rFonts w:ascii="Calibri" w:cs="Calibri" w:eastAsia="Calibri" w:hAnsi="Calibri"/>
          <w:color w:val="1A2518"/>
          <w:sz w:val="22"/>
          <w:szCs w:val="22"/>
        </w:rPr>
        <w:t xml:space="preserve"/>
      </w:r>
    </w:p>
    <w:p>
      <w:pPr>
        <w:spacing w:after="160" w:line="276"/>
      </w:pPr>
      <w:r>
        <w:rPr>
          <w:rFonts w:ascii="Calibri" w:cs="Calibri" w:eastAsia="Calibri" w:hAnsi="Calibri"/>
          <w:color w:val="1A2518"/>
          <w:sz w:val="22"/>
          <w:szCs w:val="22"/>
        </w:rPr>
        <w:t xml:space="preserve">This is being treated as a genuine, reportable </w:t>
      </w:r>
      <w:r>
        <w:rPr>
          <w:rFonts w:ascii="Calibri" w:cs="Calibri" w:eastAsia="Calibri" w:hAnsi="Calibri"/>
          <w:b/>
          <w:bCs/>
          <w:color w:val="1A2518"/>
          <w:sz w:val="22"/>
          <w:szCs w:val="22"/>
        </w:rPr>
        <w:t xml:space="preserve">methodological finding, not a bug to quietly fix</w:t>
      </w:r>
      <w:r>
        <w:rPr>
          <w:rFonts w:ascii="Calibri" w:cs="Calibri" w:eastAsia="Calibri" w:hAnsi="Calibri"/>
          <w:color w:val="1A2518"/>
          <w:sz w:val="22"/>
          <w:szCs w:val="22"/>
        </w:rPr>
        <w:t xml:space="preserve">: the pipeline is thoroughly validated for </w:t>
      </w:r>
      <w:r>
        <w:rPr>
          <w:rFonts w:ascii="Calibri" w:cs="Calibri" w:eastAsia="Calibri" w:hAnsi="Calibri"/>
          <w:i/>
          <w:iCs/>
          <w:color w:val="5B6B57"/>
          <w:sz w:val="22"/>
          <w:szCs w:val="22"/>
        </w:rPr>
        <w:t xml:space="preserve">forecasting under observed regimes</w:t>
      </w:r>
      <w:r>
        <w:rPr>
          <w:rFonts w:ascii="Calibri" w:cs="Calibri" w:eastAsia="Calibri" w:hAnsi="Calibri"/>
          <w:color w:val="1A2518"/>
          <w:sz w:val="22"/>
          <w:szCs w:val="22"/>
        </w:rPr>
        <w:t xml:space="preserve"> (everything in Sections 4–6), but this stress test demonstrates it should </w:t>
      </w:r>
      <w:r>
        <w:rPr>
          <w:rFonts w:ascii="Calibri" w:cs="Calibri" w:eastAsia="Calibri" w:hAnsi="Calibri"/>
          <w:b/>
          <w:bCs/>
          <w:color w:val="1A2518"/>
          <w:sz w:val="22"/>
          <w:szCs w:val="22"/>
        </w:rPr>
        <w:t xml:space="preserve">not yet be trusted for counterfactual policy simulation</w:t>
      </w:r>
      <w:r>
        <w:rPr>
          <w:rFonts w:ascii="Calibri" w:cs="Calibri" w:eastAsia="Calibri" w:hAnsi="Calibri"/>
          <w:color w:val="1A2518"/>
          <w:sz w:val="22"/>
          <w:szCs w:val="22"/>
        </w:rPr>
        <w:t xml:space="preserve"> (“what happens if we impose a new export ban”) without further work — a distinction few comparable studies actually test for, and a strong, honest point for the manuscript's limitations section.</w:t>
      </w:r>
    </w:p>
    <w:p>
      <w:pPr>
        <w:pStyle w:val="Heading1"/>
        <w:pBdr>
          <w:bottom w:val="single" w:color="1E5C37" w:sz="6" w:space="4"/>
        </w:pBdr>
        <w:spacing w:after="160" w:before="360"/>
      </w:pPr>
      <w:r>
        <w:rPr>
          <w:rFonts w:ascii="Cambria" w:cs="Cambria" w:eastAsia="Cambria" w:hAnsi="Cambria"/>
          <w:b/>
          <w:bCs/>
          <w:color w:val="1E5C37"/>
          <w:sz w:val="30"/>
          <w:szCs w:val="30"/>
        </w:rPr>
        <w:t xml:space="preserve">9.  Deployed Interactive Dashboard</w:t>
      </w:r>
    </w:p>
    <w:p>
      <w:pPr>
        <w:spacing w:after="160" w:line="276"/>
      </w:pPr>
      <w:r>
        <w:rPr>
          <w:rFonts w:ascii="Calibri" w:cs="Calibri" w:eastAsia="Calibri" w:hAnsi="Calibri"/>
          <w:color w:val="1A2518"/>
          <w:sz w:val="22"/>
          <w:szCs w:val="22"/>
        </w:rPr>
        <w:t xml:space="preserve">A public, interactive Streamlit dashboard (auto-redeploys on every push to the GitHub repository) lets any user — farmers, traders, policymakers — explore the model's forecasts directly:</w:t>
      </w:r>
    </w:p>
    <w:p>
      <w:pPr>
        <w:pStyle w:val="ListParagraph"/>
        <w:numPr>
          <w:ilvl w:val="0"/>
          <w:numId w:val="2"/>
        </w:numPr>
        <w:spacing w:after="90" w:line="264"/>
      </w:pPr>
      <w:r>
        <w:rPr>
          <w:rFonts w:ascii="Calibri" w:cs="Calibri" w:eastAsia="Calibri" w:hAnsi="Calibri"/>
          <w:color w:val="1A2518"/>
          <w:sz w:val="22"/>
          <w:szCs w:val="22"/>
        </w:rPr>
        <w:t xml:space="preserve">Crop / State / Market selection across all 845 filtered markets, with a live coverage and data-recency disclosure panel.</w:t>
      </w:r>
    </w:p>
    <w:p>
      <w:pPr>
        <w:pStyle w:val="ListParagraph"/>
        <w:numPr>
          <w:ilvl w:val="0"/>
          <w:numId w:val="2"/>
        </w:numPr>
        <w:spacing w:after="90" w:line="264"/>
      </w:pPr>
      <w:r>
        <w:rPr>
          <w:rFonts w:ascii="Calibri" w:cs="Calibri" w:eastAsia="Calibri" w:hAnsi="Calibri"/>
          <w:color w:val="1A2518"/>
          <w:sz w:val="22"/>
          <w:szCs w:val="22"/>
        </w:rPr>
        <w:t xml:space="preserve">Policy, climate, and macro/logistics “what-if” sliders (export ban, MEP, duty, temperature, rainfall, diesel price, repo rate, USD/INR, etc.), each showing how stale its real-world starting value is.</w:t>
      </w:r>
    </w:p>
    <w:p>
      <w:pPr>
        <w:pStyle w:val="ListParagraph"/>
        <w:numPr>
          <w:ilvl w:val="0"/>
          <w:numId w:val="2"/>
        </w:numPr>
        <w:spacing w:after="90" w:line="264"/>
      </w:pPr>
      <w:r>
        <w:rPr>
          <w:rFonts w:ascii="Calibri" w:cs="Calibri" w:eastAsia="Calibri" w:hAnsi="Calibri"/>
          <w:color w:val="1A2518"/>
          <w:sz w:val="22"/>
          <w:szCs w:val="22"/>
        </w:rPr>
        <w:t xml:space="preserve">A price forecast ticker showing all four trained horizons at once, each tagged with the crop's own agricultural season (kharif / peak-arrival / lean for tomato; rabi-arrival / kharif / lean for onion; harvest / storage / lean for potato).</w:t>
      </w:r>
    </w:p>
    <w:p>
      <w:pPr>
        <w:pStyle w:val="ListParagraph"/>
        <w:numPr>
          <w:ilvl w:val="0"/>
          <w:numId w:val="2"/>
        </w:numPr>
        <w:spacing w:after="90" w:line="264"/>
      </w:pPr>
      <w:r>
        <w:rPr>
          <w:rFonts w:ascii="Calibri" w:cs="Calibri" w:eastAsia="Calibri" w:hAnsi="Calibri"/>
          <w:color w:val="1A2518"/>
          <w:sz w:val="22"/>
          <w:szCs w:val="22"/>
        </w:rPr>
        <w:t xml:space="preserve">A click-to-reveal daily-resolution price view — a smoothed interpolation through the four validated weekly forecast points with an honest, real-historical-residual uncertainty band (not a false-precision single line), including seasonal shading.</w:t>
      </w:r>
    </w:p>
    <w:p>
      <w:pPr>
        <w:pStyle w:val="ListParagraph"/>
        <w:numPr>
          <w:ilvl w:val="0"/>
          <w:numId w:val="2"/>
        </w:numPr>
        <w:spacing w:after="90" w:line="264"/>
      </w:pPr>
      <w:r>
        <w:rPr>
          <w:rFonts w:ascii="Calibri" w:cs="Calibri" w:eastAsia="Calibri" w:hAnsi="Calibri"/>
          <w:color w:val="1A2518"/>
          <w:sz w:val="22"/>
          <w:szCs w:val="22"/>
        </w:rPr>
        <w:t xml:space="preserve">Market-comparison rankings (top markets by price and by arrivals) and an independent multi-market price-trend comparison chart.</w:t>
      </w:r>
    </w:p>
    <w:p>
      <w:pPr>
        <w:pStyle w:val="ListParagraph"/>
        <w:numPr>
          <w:ilvl w:val="0"/>
          <w:numId w:val="2"/>
        </w:numPr>
        <w:spacing w:after="90" w:line="264"/>
      </w:pPr>
      <w:r>
        <w:rPr>
          <w:rFonts w:ascii="Calibri" w:cs="Calibri" w:eastAsia="Calibri" w:hAnsi="Calibri"/>
          <w:color w:val="1A2518"/>
          <w:sz w:val="22"/>
          <w:szCs w:val="22"/>
        </w:rPr>
        <w:t xml:space="preserve">An optional AI-generated policy commentary (Claude API) on whatever scenario the user has built.</w:t>
      </w:r>
    </w:p>
    <w:p>
      <w:pPr>
        <w:pStyle w:val="ListParagraph"/>
        <w:numPr>
          <w:ilvl w:val="0"/>
          <w:numId w:val="2"/>
        </w:numPr>
        <w:spacing w:after="90" w:line="264"/>
      </w:pPr>
      <w:r>
        <w:rPr>
          <w:rFonts w:ascii="Calibri" w:cs="Calibri" w:eastAsia="Calibri" w:hAnsi="Calibri"/>
          <w:color w:val="1A2518"/>
          <w:sz w:val="22"/>
          <w:szCs w:val="22"/>
        </w:rPr>
        <w:t xml:space="preserve">A full visual redesign this session: a cohesive project theme, crop-coded accent colors, and iconography throughout.</w:t>
      </w:r>
    </w:p>
    <w:p>
      <w:pPr>
        <w:pStyle w:val="Heading1"/>
        <w:pBdr>
          <w:bottom w:val="single" w:color="1E5C37" w:sz="6" w:space="4"/>
        </w:pBdr>
        <w:spacing w:after="160" w:before="360"/>
      </w:pPr>
      <w:r>
        <w:rPr>
          <w:rFonts w:ascii="Cambria" w:cs="Cambria" w:eastAsia="Cambria" w:hAnsi="Cambria"/>
          <w:b/>
          <w:bCs/>
          <w:color w:val="1E5C37"/>
          <w:sz w:val="30"/>
          <w:szCs w:val="30"/>
        </w:rPr>
        <w:t xml:space="preserve">10.  Manuscript Progress</w:t>
      </w:r>
    </w:p>
    <w:p>
      <w:pPr>
        <w:spacing w:after="160" w:line="276"/>
      </w:pPr>
      <w:r>
        <w:rPr>
          <w:rFonts w:ascii="Calibri" w:cs="Calibri" w:eastAsia="Calibri" w:hAnsi="Calibri"/>
          <w:color w:val="1A2518"/>
          <w:sz w:val="22"/>
          <w:szCs w:val="22"/>
        </w:rPr>
        <w:t xml:space="preserve">Target journals: </w:t>
      </w:r>
      <w:r>
        <w:rPr>
          <w:rFonts w:ascii="Calibri" w:cs="Calibri" w:eastAsia="Calibri" w:hAnsi="Calibri"/>
          <w:i/>
          <w:iCs/>
          <w:color w:val="5B6B57"/>
          <w:sz w:val="22"/>
          <w:szCs w:val="22"/>
        </w:rPr>
        <w:t xml:space="preserve">Computers and Electronics in Agriculture</w:t>
      </w:r>
      <w:r>
        <w:rPr>
          <w:rFonts w:ascii="Calibri" w:cs="Calibri" w:eastAsia="Calibri" w:hAnsi="Calibri"/>
          <w:color w:val="1A2518"/>
          <w:sz w:val="22"/>
          <w:szCs w:val="22"/>
        </w:rPr>
        <w:t xml:space="preserve"> / </w:t>
      </w:r>
      <w:r>
        <w:rPr>
          <w:rFonts w:ascii="Calibri" w:cs="Calibri" w:eastAsia="Calibri" w:hAnsi="Calibri"/>
          <w:i/>
          <w:iCs/>
          <w:color w:val="5B6B57"/>
          <w:sz w:val="22"/>
          <w:szCs w:val="22"/>
        </w:rPr>
        <w:t xml:space="preserve">Agricultural Systems</w:t>
      </w:r>
      <w:r>
        <w:rPr>
          <w:rFonts w:ascii="Calibri" w:cs="Calibri" w:eastAsia="Calibri" w:hAnsi="Calibri"/>
          <w:color w:val="1A2518"/>
          <w:sz w:val="22"/>
          <w:szCs w:val="22"/>
        </w:rPr>
        <w:t xml:space="preserve">. Two sections are drafted and, importantly, </w:t>
      </w:r>
      <w:r>
        <w:rPr>
          <w:rFonts w:ascii="Calibri" w:cs="Calibri" w:eastAsia="Calibri" w:hAnsi="Calibri"/>
          <w:b/>
          <w:bCs/>
          <w:color w:val="1A2518"/>
          <w:sz w:val="22"/>
          <w:szCs w:val="22"/>
        </w:rPr>
        <w:t xml:space="preserve">verified against the current pipeline</w:t>
      </w:r>
      <w:r>
        <w:rPr>
          <w:rFonts w:ascii="Calibri" w:cs="Calibri" w:eastAsia="Calibri" w:hAnsi="Calibri"/>
          <w:color w:val="1A2518"/>
          <w:sz w:val="22"/>
          <w:szCs w:val="22"/>
        </w:rPr>
        <w:t xml:space="preserve"> rather than left stale from an earlier iteration:</w:t>
      </w:r>
    </w:p>
    <w:p>
      <w:pPr>
        <w:pStyle w:val="ListParagraph"/>
        <w:numPr>
          <w:ilvl w:val="0"/>
          <w:numId w:val="2"/>
        </w:numPr>
        <w:spacing w:after="90" w:line="264"/>
      </w:pPr>
      <w:r>
        <w:rPr>
          <w:rFonts w:ascii="Calibri" w:cs="Calibri" w:eastAsia="Calibri" w:hAnsi="Calibri"/>
          <w:b/>
          <w:bCs/>
          <w:color w:val="1A2518"/>
          <w:sz w:val="22"/>
          <w:szCs w:val="22"/>
        </w:rPr>
        <w:t xml:space="preserve">Methods / Data section</w:t>
      </w:r>
      <w:r>
        <w:rPr>
          <w:rFonts w:ascii="Calibri" w:cs="Calibri" w:eastAsia="Calibri" w:hAnsi="Calibri"/>
          <w:color w:val="1A2518"/>
          <w:sz w:val="22"/>
          <w:szCs w:val="22"/>
        </w:rPr>
        <w:t xml:space="preserve"> — fully rewritten this session to match the current 70%-coverage, 845-market, six-layer pipeline (an earlier draft had drifted to describe a 90%-threshold, 4-layer, 286/123/64-market panel from months ago, including one factual error about imputation that has now been corrected).</w:t>
      </w:r>
    </w:p>
    <w:p>
      <w:pPr>
        <w:pStyle w:val="ListParagraph"/>
        <w:numPr>
          <w:ilvl w:val="0"/>
          <w:numId w:val="2"/>
        </w:numPr>
        <w:spacing w:after="90" w:line="264"/>
      </w:pPr>
      <w:r>
        <w:rPr>
          <w:rFonts w:ascii="Calibri" w:cs="Calibri" w:eastAsia="Calibri" w:hAnsi="Calibri"/>
          <w:b/>
          <w:bCs/>
          <w:color w:val="1A2518"/>
          <w:sz w:val="22"/>
          <w:szCs w:val="22"/>
        </w:rPr>
        <w:t xml:space="preserve">Results section — Crisis Backtesting</w:t>
      </w:r>
      <w:r>
        <w:rPr>
          <w:rFonts w:ascii="Calibri" w:cs="Calibri" w:eastAsia="Calibri" w:hAnsi="Calibri"/>
          <w:color w:val="1A2518"/>
          <w:sz w:val="22"/>
          <w:szCs w:val="22"/>
        </w:rPr>
        <w:t xml:space="preserve"> — a full write-up of the Section 6 case studies, cross-referenced to the specific methods subsections (data panel, satellite/climate layer, infrastructure layer, policy-event log) so a reader moving between the two drafts finds consistent numbers throughout.</w:t>
      </w:r>
    </w:p>
    <w:p>
      <w:pPr>
        <w:pStyle w:val="Heading1"/>
        <w:pBdr>
          <w:bottom w:val="single" w:color="1E5C37" w:sz="6" w:space="4"/>
        </w:pBdr>
        <w:spacing w:after="160" w:before="360"/>
      </w:pPr>
      <w:r>
        <w:rPr>
          <w:rFonts w:ascii="Cambria" w:cs="Cambria" w:eastAsia="Cambria" w:hAnsi="Cambria"/>
          <w:b/>
          <w:bCs/>
          <w:color w:val="1E5C37"/>
          <w:sz w:val="30"/>
          <w:szCs w:val="30"/>
        </w:rPr>
        <w:t xml:space="preserve">11.  Project Statistics</w:t>
      </w:r>
    </w:p>
    <w:tbl>
      <w:tblPr>
        <w:tblW w:type="dxa" w:w="9700"/>
        <w:tblBorders>
          <w:top w:val="single" w:color="D6DED1" w:sz="4"/>
          <w:left w:val="single" w:color="D6DED1" w:sz="4"/>
          <w:bottom w:val="single" w:color="D6DED1" w:sz="4"/>
          <w:right w:val="single" w:color="D6DED1" w:sz="4"/>
          <w:insideH w:val="single" w:color="D6DED1" w:sz="3"/>
          <w:insideV w:val="single" w:color="D6DED1" w:sz="3"/>
        </w:tblBorders>
      </w:tblPr>
      <w:tblGrid>
        <w:gridCol w:w="5200"/>
        <w:gridCol w:w="4500"/>
      </w:tblGrid>
      <w:tr>
        <w:trPr>
          <w:tblHeader/>
        </w:trPr>
        <w:tc>
          <w:tcPr>
            <w:tcW w:type="dxa" w:w="52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Metric</w:t>
            </w:r>
          </w:p>
        </w:tc>
        <w:tc>
          <w:tcPr>
            <w:tcW w:type="dxa" w:w="4500"/>
            <w:shd w:fill="1E5C37" w:color="auto" w:val="clear"/>
            <w:tcMar>
              <w:top w:type="dxa" w:w="90"/>
              <w:left w:type="dxa" w:w="110"/>
              <w:bottom w:type="dxa" w:w="90"/>
              <w:right w:type="dxa" w:w="110"/>
            </w:tcMar>
          </w:tcPr>
          <w:p>
            <w:r>
              <w:rPr>
                <w:rFonts w:ascii="Calibri" w:cs="Calibri" w:eastAsia="Calibri" w:hAnsi="Calibri"/>
                <w:b/>
                <w:bCs/>
                <w:color w:val="FFFFFF"/>
                <w:sz w:val="19"/>
                <w:szCs w:val="19"/>
              </w:rPr>
              <w:t xml:space="preserve">Count</w:t>
            </w:r>
          </w:p>
        </w:tc>
      </w:tr>
      <w:tr>
        <w:tc>
          <w:tcPr>
            <w:tcW w:type="dxa" w:w="5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Numbered pipeline / analysis scripts</w:t>
            </w:r>
          </w:p>
        </w:tc>
        <w:tc>
          <w:tcPr>
            <w:tcW w:type="dxa" w:w="45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39</w:t>
            </w:r>
          </w:p>
        </w:tc>
      </w:tr>
      <w:tr>
        <w:tc>
          <w:tcPr>
            <w:tcW w:type="dxa" w:w="5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Git commits</w:t>
            </w:r>
          </w:p>
        </w:tc>
        <w:tc>
          <w:tcPr>
            <w:tcW w:type="dxa" w:w="45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95</w:t>
            </w:r>
          </w:p>
        </w:tc>
      </w:tr>
      <w:tr>
        <w:tc>
          <w:tcPr>
            <w:tcW w:type="dxa" w:w="5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Markets in the analytical panel</w:t>
            </w:r>
          </w:p>
        </w:tc>
        <w:tc>
          <w:tcPr>
            <w:tcW w:type="dxa" w:w="45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845 (517 tomato + 246 onion + 82 potato)</w:t>
            </w:r>
          </w:p>
        </w:tc>
      </w:tr>
      <w:tr>
        <w:tc>
          <w:tcPr>
            <w:tcW w:type="dxa" w:w="5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Market-week observations</w:t>
            </w:r>
          </w:p>
        </w:tc>
        <w:tc>
          <w:tcPr>
            <w:tcW w:type="dxa" w:w="45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422,254</w:t>
            </w:r>
          </w:p>
        </w:tc>
      </w:tr>
      <w:tr>
        <w:tc>
          <w:tcPr>
            <w:tcW w:type="dxa" w:w="5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Ablation-study model fits</w:t>
            </w:r>
          </w:p>
        </w:tc>
        <w:tc>
          <w:tcPr>
            <w:tcW w:type="dxa" w:w="45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336 (M0–M6 × 4 folds × 4 horizons × 3 crops)</w:t>
            </w:r>
          </w:p>
        </w:tc>
      </w:tr>
      <w:tr>
        <w:tc>
          <w:tcPr>
            <w:tcW w:type="dxa" w:w="5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Model families benchmarked</w:t>
            </w:r>
          </w:p>
        </w:tc>
        <w:tc>
          <w:tcPr>
            <w:tcW w:type="dxa" w:w="45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6 (LightGBM, RandomForest, XGBoost, CatBoost, LSTM, Transformer)</w:t>
            </w:r>
          </w:p>
        </w:tc>
      </w:tr>
      <w:tr>
        <w:tc>
          <w:tcPr>
            <w:tcW w:type="dxa" w:w="5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Production models deployed</w:t>
            </w:r>
          </w:p>
        </w:tc>
        <w:tc>
          <w:tcPr>
            <w:tcW w:type="dxa" w:w="45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12 (3 crops × 4 horizons)</w:t>
            </w:r>
          </w:p>
        </w:tc>
      </w:tr>
      <w:tr>
        <w:tc>
          <w:tcPr>
            <w:tcW w:type="dxa" w:w="52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Verified policy events in the trade-policy log</w:t>
            </w:r>
          </w:p>
        </w:tc>
        <w:tc>
          <w:tcPr>
            <w:tcW w:type="dxa" w:w="4500"/>
            <w:shd w:fill="F5F8F3"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36</w:t>
            </w:r>
          </w:p>
        </w:tc>
      </w:tr>
      <w:tr>
        <w:tc>
          <w:tcPr>
            <w:tcW w:type="dxa" w:w="52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Manuscript sections drafted</w:t>
            </w:r>
          </w:p>
        </w:tc>
        <w:tc>
          <w:tcPr>
            <w:tcW w:type="dxa" w:w="4500"/>
            <w:shd w:fill="FFFFFF" w:color="auto" w:val="clear"/>
            <w:tcMar>
              <w:top w:type="dxa" w:w="80"/>
              <w:left w:type="dxa" w:w="110"/>
              <w:bottom w:type="dxa" w:w="80"/>
              <w:right w:type="dxa" w:w="110"/>
            </w:tcMar>
          </w:tcPr>
          <w:p>
            <w:pPr>
              <w:jc w:val="left"/>
            </w:pPr>
            <w:r>
              <w:rPr>
                <w:rFonts w:ascii="Calibri" w:cs="Calibri" w:eastAsia="Calibri" w:hAnsi="Calibri"/>
                <w:color w:val="1A2518"/>
                <w:sz w:val="19"/>
                <w:szCs w:val="19"/>
              </w:rPr>
              <w:t xml:space="preserve">3 (Methods/Data; Results — Crisis Backtesting; Results — Policy Causal-Effect Investigation)</w:t>
            </w:r>
          </w:p>
        </w:tc>
      </w:tr>
    </w:tbl>
    <w:p>
      <w:pPr>
        <w:pStyle w:val="Heading1"/>
        <w:pBdr>
          <w:bottom w:val="single" w:color="1E5C37" w:sz="6" w:space="4"/>
        </w:pBdr>
        <w:spacing w:after="160" w:before="360"/>
      </w:pPr>
      <w:r>
        <w:rPr>
          <w:rFonts w:ascii="Cambria" w:cs="Cambria" w:eastAsia="Cambria" w:hAnsi="Cambria"/>
          <w:b/>
          <w:bCs/>
          <w:color w:val="1E5C37"/>
          <w:sz w:val="30"/>
          <w:szCs w:val="30"/>
        </w:rPr>
        <w:t xml:space="preserve">12.  Remaining Work</w:t>
      </w:r>
    </w:p>
    <w:p>
      <w:pPr>
        <w:spacing w:after="160" w:line="276"/>
      </w:pPr>
      <w:r>
        <w:rPr>
          <w:rFonts w:ascii="Calibri" w:cs="Calibri" w:eastAsia="Calibri" w:hAnsi="Calibri"/>
          <w:color w:val="1A2518"/>
          <w:sz w:val="22"/>
          <w:szCs w:val="22"/>
        </w:rPr>
        <w:t xml:space="preserve">Only two items remain open:</w:t>
      </w:r>
    </w:p>
    <w:p>
      <w:pPr>
        <w:pStyle w:val="ListParagraph"/>
        <w:numPr>
          <w:ilvl w:val="0"/>
          <w:numId w:val="2"/>
        </w:numPr>
        <w:spacing w:after="90" w:line="264"/>
      </w:pPr>
      <w:r>
        <w:rPr>
          <w:rFonts w:ascii="Calibri" w:cs="Calibri" w:eastAsia="Calibri" w:hAnsi="Calibri"/>
          <w:b/>
          <w:bCs/>
          <w:color w:val="1A2518"/>
          <w:sz w:val="22"/>
          <w:szCs w:val="22"/>
        </w:rPr>
        <w:t xml:space="preserve">Full-capacity Temporal Fusion Transformer (TFT) run</w:t>
      </w:r>
      <w:r>
        <w:rPr>
          <w:rFonts w:ascii="Calibri" w:cs="Calibri" w:eastAsia="Calibri" w:hAnsi="Calibri"/>
          <w:color w:val="1A2518"/>
          <w:sz w:val="22"/>
          <w:szCs w:val="22"/>
        </w:rPr>
        <w:t xml:space="preserve"> — deliberately deferred; a reduced-scope run exists (fewer markets, shorter encoder), but the full run is a substantial compute commitment not yet scheduled. Given the tree-ensemble-vs-deep-learning comparison in Section 3.2, this is a secondary/robustness model rather than a candidate to replace LightGBM in production.</w:t>
      </w:r>
    </w:p>
    <w:p>
      <w:pPr>
        <w:pStyle w:val="ListParagraph"/>
        <w:numPr>
          <w:ilvl w:val="0"/>
          <w:numId w:val="2"/>
        </w:numPr>
        <w:spacing w:after="90" w:line="264"/>
      </w:pPr>
      <w:r>
        <w:rPr>
          <w:rFonts w:ascii="Calibri" w:cs="Calibri" w:eastAsia="Calibri" w:hAnsi="Calibri"/>
          <w:b/>
          <w:bCs/>
          <w:color w:val="1A2518"/>
          <w:sz w:val="22"/>
          <w:szCs w:val="22"/>
        </w:rPr>
        <w:t xml:space="preserve">Manuscript completion</w:t>
      </w:r>
      <w:r>
        <w:rPr>
          <w:rFonts w:ascii="Calibri" w:cs="Calibri" w:eastAsia="Calibri" w:hAnsi="Calibri"/>
          <w:color w:val="1A2518"/>
          <w:sz w:val="22"/>
          <w:szCs w:val="22"/>
        </w:rPr>
        <w:t xml:space="preserve"> — remaining sections (introduction/literature review, the full results section beyond crisis backtesting, discussion, and conclusion) still to be drafted, alongside the three sections already complete and verified.</w:t>
      </w:r>
    </w:p>
    <w:p>
      <w:pPr>
        <w:spacing w:before="300"/>
      </w:pPr>
      <w:r>
        <w:rPr>
          <w:rFonts w:ascii="Calibri" w:cs="Calibri" w:eastAsia="Calibri" w:hAnsi="Calibri"/>
          <w:color w:val="1A2518"/>
          <w:sz w:val="22"/>
          <w:szCs w:val="22"/>
        </w:rPr>
        <w:t xml:space="preserve"/>
      </w:r>
    </w:p>
    <w:p>
      <w:pPr>
        <w:pStyle w:val="Heading1"/>
        <w:pBdr>
          <w:bottom w:val="single" w:color="1E5C37" w:sz="6" w:space="4"/>
        </w:pBdr>
        <w:spacing w:after="160" w:before="360"/>
      </w:pPr>
      <w:r>
        <w:rPr>
          <w:rFonts w:ascii="Cambria" w:cs="Cambria" w:eastAsia="Cambria" w:hAnsi="Cambria"/>
          <w:b/>
          <w:bCs/>
          <w:color w:val="1E5C37"/>
          <w:sz w:val="30"/>
          <w:szCs w:val="30"/>
        </w:rPr>
        <w:t xml:space="preserve">13.  Session Update — 5 August 2026</w:t>
      </w:r>
    </w:p>
    <w:p>
      <w:pPr>
        <w:spacing w:after="160" w:line="276"/>
      </w:pPr>
      <w:r>
        <w:rPr>
          <w:rFonts w:ascii="Calibri" w:cs="Calibri" w:eastAsia="Calibri" w:hAnsi="Calibri"/>
          <w:color w:val="1A2518"/>
          <w:sz w:val="22"/>
          <w:szCs w:val="22"/>
        </w:rPr>
        <w:t xml:space="preserve">A focused follow-on session closed out four threads: a genuine data-leakage bug found and fixed in the satellite feature layer, the exploratory two-phase modelling architecture formally archived as a documented negative result, a further dashboard visual/infrastructure pass, and — the largest piece of new work — a rigorous, dedicated causal-inference investigation into the export-policy question Section 8 first surfaced.</w:t>
      </w:r>
    </w:p>
    <w:p>
      <w:pPr>
        <w:spacing w:after="80" w:before="200"/>
      </w:pPr>
      <w:r>
        <w:rPr>
          <w:rFonts w:ascii="Calibri" w:cs="Calibri" w:eastAsia="Calibri" w:hAnsi="Calibri"/>
          <w:b/>
          <w:bCs/>
          <w:color w:val="1E5C37"/>
          <w:sz w:val="21"/>
          <w:szCs w:val="21"/>
        </w:rPr>
        <w:t xml:space="preserve">Data integrity: a look-ahead leakage fix and full retrain</w:t>
      </w:r>
    </w:p>
    <w:p>
      <w:pPr>
        <w:spacing w:after="160" w:line="276"/>
      </w:pPr>
      <w:r>
        <w:rPr>
          <w:rFonts w:ascii="Calibri" w:cs="Calibri" w:eastAsia="Calibri" w:hAnsi="Calibri"/>
          <w:color w:val="1A2518"/>
          <w:sz w:val="22"/>
          <w:szCs w:val="22"/>
        </w:rPr>
        <w:t xml:space="preserve">The Sentinel-2 NDVI anomaly feature (s2_ndvi_anom) was computed against a full-sample climatology — a given week’s “anomaly” was measured against a mean that included years after that week, a genuine (if subtle) walk-forward violation present in the production model. Fixed to an expanding, prior-years-only climatology; each satellite zone’s first covered year now correctly carries no anomaly value rather than a leaked one. The full downstream cascade was retrained against the corrected feature (ablation, production models, SHAP, Model Confidence Set, crisis backtests, stress tests). Net accuracy impact was small and mostly favourable, as expected for a smooth seasonal term — e.g. onion h=13w MAPE improved from 40.9% to 35.8% — with no ranking or architectural changes; M6 remains production.</w:t>
      </w:r>
    </w:p>
    <w:p>
      <w:pPr>
        <w:spacing w:after="80" w:before="200"/>
      </w:pPr>
      <w:r>
        <w:rPr>
          <w:rFonts w:ascii="Calibri" w:cs="Calibri" w:eastAsia="Calibri" w:hAnsi="Calibri"/>
          <w:b/>
          <w:bCs/>
          <w:color w:val="1E5C37"/>
          <w:sz w:val="21"/>
          <w:szCs w:val="21"/>
        </w:rPr>
        <w:t xml:space="preserve">Repository cleanup: two-phase architecture closed out</w:t>
      </w:r>
    </w:p>
    <w:p>
      <w:pPr>
        <w:spacing w:after="160" w:line="276"/>
      </w:pPr>
      <w:r>
        <w:rPr>
          <w:rFonts w:ascii="Calibri" w:cs="Calibri" w:eastAsia="Calibri" w:hAnsi="Calibri"/>
          <w:color w:val="1A2518"/>
          <w:sz w:val="22"/>
          <w:szCs w:val="22"/>
        </w:rPr>
        <w:t xml:space="preserve">An exploratory two-phase architecture (a long-history baseline model plus a satellite-only residual model, tested across two feature-set variants) was evaluated against production M6 and found to underperform it — and to underperform its own baseline component — at nearly every crop/horizon cell. This had been tested but left uncommitted; it is now committed in full and archived under Model_Output/experiments/two_phase/, separated from production outputs, with its rejected status documented directly in the script’s own header for any future reader.</w:t>
      </w:r>
    </w:p>
    <w:p>
      <w:pPr>
        <w:spacing w:after="80" w:before="200"/>
      </w:pPr>
      <w:r>
        <w:rPr>
          <w:rFonts w:ascii="Calibri" w:cs="Calibri" w:eastAsia="Calibri" w:hAnsi="Calibri"/>
          <w:b/>
          <w:bCs/>
          <w:color w:val="1E5C37"/>
          <w:sz w:val="21"/>
          <w:szCs w:val="21"/>
        </w:rPr>
        <w:t xml:space="preserve">Dashboard: visual redesign and a real infrastructure bug fixed</w:t>
      </w:r>
    </w:p>
    <w:p>
      <w:pPr>
        <w:spacing w:after="160" w:line="276"/>
      </w:pPr>
      <w:r>
        <w:rPr>
          <w:rFonts w:ascii="Calibri" w:cs="Calibri" w:eastAsia="Calibri" w:hAnsi="Calibri"/>
          <w:color w:val="1A2518"/>
          <w:sz w:val="22"/>
          <w:szCs w:val="22"/>
        </w:rPr>
        <w:t xml:space="preserve">A further design pass added a full custom theme (typography, widget borders, rounded corners, a chart colour palette matched to the existing crop branding) and live sparklines on the price-forecast ticker, built from each market’s real trailing 12-week price rather than decoration. While verifying it, found that the dashboard’s launch configuration was starting the Streamlit process from the wrong working directory, which meant the theme file was silently never being read at all — likely true of the original theme from the prior report too, not just this session’s changes. Fixed at the launch-configuration level so theme discovery no longer depends on the caller’s working directory.</w:t>
      </w:r>
    </w:p>
    <w:p>
      <w:pPr>
        <w:spacing w:after="80" w:before="200"/>
      </w:pPr>
      <w:r>
        <w:rPr>
          <w:rFonts w:ascii="Calibri" w:cs="Calibri" w:eastAsia="Calibri" w:hAnsi="Calibri"/>
          <w:b/>
          <w:bCs/>
          <w:color w:val="1E5C37"/>
          <w:sz w:val="21"/>
          <w:szCs w:val="21"/>
        </w:rPr>
        <w:t xml:space="preserve">Causal policy-effect investigation: a rigorous, decisive negative result</w:t>
      </w:r>
    </w:p>
    <w:p>
      <w:pPr>
        <w:spacing w:after="160" w:line="276"/>
      </w:pPr>
      <w:r>
        <w:rPr>
          <w:rFonts w:ascii="Calibri" w:cs="Calibri" w:eastAsia="Calibri" w:hAnsi="Calibri"/>
          <w:color w:val="1A2518"/>
          <w:sz w:val="22"/>
          <w:szCs w:val="22"/>
        </w:rPr>
        <w:t xml:space="preserve">Section 8 attributed the stress-test module’s wrong-signed export-policy prediction to a reverse-direction Granger-causality relationship (price leads policy, not the other way round). This session ran a dedicated four-stage causal-inference investigation, independent of the forecasting pipeline, to test directly whether a genuine causal effect size for onion’s export restrictions can be recovered from the available data at all, using Synthetic Difference-in-Differences (SDID; Arkhangelsky et al., 2021) and its extensions.</w:t>
      </w:r>
    </w:p>
    <w:p>
      <w:pPr>
        <w:pStyle w:val="ListParagraph"/>
        <w:numPr>
          <w:ilvl w:val="0"/>
          <w:numId w:val="2"/>
        </w:numPr>
        <w:spacing w:after="90" w:line="264"/>
      </w:pPr>
      <w:r>
        <w:rPr>
          <w:rFonts w:ascii="Calibri" w:cs="Calibri" w:eastAsia="Calibri" w:hAnsi="Calibri"/>
          <w:b/>
          <w:bCs/>
          <w:color w:val="1A2518"/>
          <w:sz w:val="22"/>
          <w:szCs w:val="22"/>
        </w:rPr>
        <w:t xml:space="preserve">Single-episode SDID (the 2023-24 ban): </w:t>
      </w:r>
      <w:r>
        <w:rPr>
          <w:rFonts w:ascii="Calibri" w:cs="Calibri" w:eastAsia="Calibri" w:hAnsi="Calibri"/>
          <w:color w:val="1A2518"/>
          <w:sz w:val="22"/>
          <w:szCs w:val="22"/>
        </w:rPr>
        <w:t xml:space="preserve">the escalation-phase estimate (+56.2%) passes a cross-crop placebo check, but the postban estimate (+14.5%) is statistically indistinguishable from placebo ATTs computed for tomato and potato in the same window — a shared cross-crop shock, not a ban-specific effect.</w:t>
      </w:r>
    </w:p>
    <w:p>
      <w:pPr>
        <w:pStyle w:val="ListParagraph"/>
        <w:numPr>
          <w:ilvl w:val="0"/>
          <w:numId w:val="2"/>
        </w:numPr>
        <w:spacing w:after="90" w:line="264"/>
      </w:pPr>
      <w:r>
        <w:rPr>
          <w:rFonts w:ascii="Calibri" w:cs="Calibri" w:eastAsia="Calibri" w:hAnsi="Calibri"/>
          <w:b/>
          <w:bCs/>
          <w:color w:val="1A2518"/>
          <w:sz w:val="22"/>
          <w:szCs w:val="22"/>
        </w:rPr>
        <w:t xml:space="preserve">Formal in-space placebo permutation test: </w:t>
      </w:r>
      <w:r>
        <w:rPr>
          <w:rFonts w:ascii="Calibri" w:cs="Calibri" w:eastAsia="Calibri" w:hAnsi="Calibri"/>
          <w:color w:val="1A2518"/>
          <w:sz w:val="22"/>
          <w:szCs w:val="22"/>
        </w:rPr>
        <w:t xml:space="preserve">each of 214 individual tomato/potato donor markets was in turn treated as a placebo-treated unit; the real onion postban effect is matched or exceeded by 28 of 214 placebos (rank-based p = 0.131), failing a 10% significance threshold against a proper null distribution rather than a two-unit comparison.</w:t>
      </w:r>
    </w:p>
    <w:p>
      <w:pPr>
        <w:pStyle w:val="ListParagraph"/>
        <w:numPr>
          <w:ilvl w:val="0"/>
          <w:numId w:val="2"/>
        </w:numPr>
        <w:spacing w:after="90" w:line="264"/>
      </w:pPr>
      <w:r>
        <w:rPr>
          <w:rFonts w:ascii="Calibri" w:cs="Calibri" w:eastAsia="Calibri" w:hAnsi="Calibri"/>
          <w:b/>
          <w:bCs/>
          <w:color w:val="1A2518"/>
          <w:sz w:val="22"/>
          <w:szCs w:val="22"/>
        </w:rPr>
        <w:t xml:space="preserve">Two further onion export bans verified: </w:t>
      </w:r>
      <w:r>
        <w:rPr>
          <w:rFonts w:ascii="Calibri" w:cs="Calibri" w:eastAsia="Calibri" w:hAnsi="Calibri"/>
          <w:color w:val="1A2518"/>
          <w:sz w:val="22"/>
          <w:szCs w:val="22"/>
        </w:rPr>
        <w:t xml:space="preserve">29 September 2019 (DGFT Notification 21/2015-2020) and 14 September 2020 (DGFT Notification 31/2015-2020) were confirmed against primary-source DGFT records, both falling inside the existing panel window — extending the analysis beyond the single 2023-24 episode without new data collection.</w:t>
      </w:r>
    </w:p>
    <w:p>
      <w:pPr>
        <w:pStyle w:val="ListParagraph"/>
        <w:numPr>
          <w:ilvl w:val="0"/>
          <w:numId w:val="2"/>
        </w:numPr>
        <w:spacing w:after="90" w:line="264"/>
      </w:pPr>
      <w:r>
        <w:rPr>
          <w:rFonts w:ascii="Calibri" w:cs="Calibri" w:eastAsia="Calibri" w:hAnsi="Calibri"/>
          <w:b/>
          <w:bCs/>
          <w:color w:val="1A2518"/>
          <w:sz w:val="22"/>
          <w:szCs w:val="22"/>
        </w:rPr>
        <w:t xml:space="preserve">Stacked three-episode event study: </w:t>
      </w:r>
      <w:r>
        <w:rPr>
          <w:rFonts w:ascii="Calibri" w:cs="Calibri" w:eastAsia="Calibri" w:hAnsi="Calibri"/>
          <w:color w:val="1A2518"/>
          <w:sz w:val="22"/>
          <w:szCs w:val="22"/>
        </w:rPr>
        <w:t xml:space="preserve">a consistent cross-episode pattern emerged, but of the wrong sign for a ban effect — onion prices run consistently higher than a synthetic control throughout each post-ban window. The most parsimonious explanation is reverse causality: each ban was announced because onion prices were already escalating faster than tomato or potato at that moment, not on independent timing, so the pattern cannot be separated from the trigger that caused it.</w:t>
      </w:r>
    </w:p>
    <w:p>
      <w:pPr>
        <w:pStyle w:val="ListParagraph"/>
        <w:numPr>
          <w:ilvl w:val="0"/>
          <w:numId w:val="2"/>
        </w:numPr>
        <w:spacing w:after="90" w:line="264"/>
      </w:pPr>
      <w:r>
        <w:rPr>
          <w:rFonts w:ascii="Calibri" w:cs="Calibri" w:eastAsia="Calibri" w:hAnsi="Calibri"/>
          <w:b/>
          <w:bCs/>
          <w:color w:val="1A2518"/>
          <w:sz w:val="22"/>
          <w:szCs w:val="22"/>
        </w:rPr>
        <w:t xml:space="preserve">Generalisation check across all three crops: </w:t>
      </w:r>
      <w:r>
        <w:rPr>
          <w:rFonts w:ascii="Calibri" w:cs="Calibri" w:eastAsia="Calibri" w:hAnsi="Calibri"/>
          <w:color w:val="1A2518"/>
          <w:sz w:val="22"/>
          <w:szCs w:val="22"/>
        </w:rPr>
        <w:t xml:space="preserve">tomato’s July 2023 NAFED/NCCF procurement and potato’s June 2014 minimum export price were each checked directly against the panel’s own price history and found to show the same pattern — tomato rose over 5-fold and potato nearly doubled before their respective interventions. Every documented price-policy action for any of the three crops in this study was preceded by a substantial move in the direction the policy was designed to counteract.</w:t>
      </w:r>
    </w:p>
    <w:p>
      <w:pPr>
        <w:spacing w:after="160" w:line="276"/>
      </w:pPr>
      <w:r>
        <w:rPr>
          <w:rFonts w:ascii="Calibri" w:cs="Calibri" w:eastAsia="Calibri" w:hAnsi="Calibri"/>
          <w:color w:val="1A2518"/>
          <w:sz w:val="22"/>
          <w:szCs w:val="22"/>
        </w:rPr>
        <w:t xml:space="preserve">The conclusion is stronger and more defensible than the original Section 8 framing: the causal effect magnitude is not identifiable from this historical data by any quasi-experimental design attempted, because treatment timing is endogenous to the outcome by construction — not merely that duty, MEP, and the ban moved together in one episode. This has been written up as a full results/discussion section of the manuscript (bringing drafted sections to three), and the dashboard’s policy-scenario caption has been rewritten to state this precisely rather than implying the effect is simply small.</w:t>
      </w:r>
    </w:p>
    <w:p>
      <w:pPr>
        <w:spacing w:after="160" w:line="276"/>
      </w:pPr>
      <w:r>
        <w:rPr>
          <w:rFonts w:ascii="Calibri" w:cs="Calibri" w:eastAsia="Calibri" w:hAnsi="Calibri"/>
          <w:color w:val="1A2518"/>
          <w:sz w:val="22"/>
          <w:szCs w:val="22"/>
        </w:rPr>
        <w:t xml:space="preserve"/>
      </w:r>
    </w:p>
    <w:p>
      <w:pPr>
        <w:pBdr>
          <w:top w:val="single" w:color="D6DED1" w:sz="4" w:space="8"/>
        </w:pBdr>
        <w:spacing w:before="200"/>
      </w:pPr>
      <w:r>
        <w:rPr>
          <w:rFonts w:ascii="Calibri" w:cs="Calibri" w:eastAsia="Calibri" w:hAnsi="Calibri"/>
          <w:i/>
          <w:iCs/>
          <w:color w:val="5B6B57"/>
          <w:sz w:val="20"/>
          <w:szCs w:val="20"/>
        </w:rPr>
        <w:t xml:space="preserve">— End of report —</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57"/>
        <w:sz w:val="16"/>
        <w:szCs w:val="16"/>
      </w:rPr>
      <w:t xml:space="preserve">Page </w:t>
    </w:r>
    <w:r>
      <w:rPr>
        <w:rFonts w:ascii="Calibri" w:cs="Calibri" w:eastAsia="Calibri" w:hAnsi="Calibri"/>
        <w:color w:val="5B6B57"/>
        <w:sz w:val="16"/>
        <w:szCs w:val="16"/>
      </w:rPr>
      <w:fldChar w:fldCharType="begin"/>
      <w:instrText xml:space="preserve">PAGE</w:instrText>
      <w:fldChar w:fldCharType="separate"/>
      <w:fldChar w:fldCharType="end"/>
    </w:r>
    <w:r>
      <w:rPr>
        <w:rFonts w:ascii="Calibri" w:cs="Calibri" w:eastAsia="Calibri" w:hAnsi="Calibri"/>
        <w:color w:val="5B6B57"/>
        <w:sz w:val="16"/>
        <w:szCs w:val="16"/>
      </w:rPr>
      <w:t xml:space="preserve"> of </w:t>
    </w:r>
    <w:r>
      <w:rPr>
        <w:rFonts w:ascii="Calibri" w:cs="Calibri" w:eastAsia="Calibri" w:hAnsi="Calibri"/>
        <w:color w:val="5B6B5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1" w:sz="4" w:space="4"/>
      </w:pBdr>
    </w:pPr>
    <w:r>
      <w:rPr>
        <w:rFonts w:ascii="Calibri" w:cs="Calibri" w:eastAsia="Calibri" w:hAnsi="Calibri"/>
        <w:color w:val="5B6B57"/>
        <w:sz w:val="16"/>
        <w:szCs w:val="16"/>
      </w:rPr>
      <w:t xml:space="preserve">TOP Digital Twin — Project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2026-07-31T05:13:21.634Z</dcterms:created>
  <dcterms:modified xsi:type="dcterms:W3CDTF">2026-07-31T05:13:21.636Z</dcterms:modified>
</cp:coreProperties>
</file>

<file path=docProps/custom.xml><?xml version="1.0" encoding="utf-8"?>
<Properties xmlns="http://schemas.openxmlformats.org/officeDocument/2006/custom-properties" xmlns:vt="http://schemas.openxmlformats.org/officeDocument/2006/docPropsVTypes"/>
</file>