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sz w:val="40"/>
          <w:szCs w:val="40"/>
        </w:rPr>
        <w:t xml:space="preserve">🍅 🧅 🥔</w:t>
      </w:r>
    </w:p>
    <w:p>
      <w:pPr>
        <w:spacing w:after="60" w:before="120"/>
      </w:pPr>
      <w:r>
        <w:rPr>
          <w:rFonts w:ascii="Cambria" w:cs="Cambria" w:eastAsia="Cambria" w:hAnsi="Cambria"/>
          <w:b/>
          <w:bCs/>
          <w:color w:val="1E5C37"/>
          <w:sz w:val="56"/>
          <w:szCs w:val="56"/>
        </w:rPr>
        <w:t xml:space="preserve">TOP Digital Twin</w:t>
      </w:r>
    </w:p>
    <w:p>
      <w:pPr>
        <w:spacing w:after="300"/>
      </w:pPr>
      <w:r>
        <w:rPr>
          <w:rFonts w:ascii="Cambria" w:cs="Cambria" w:eastAsia="Cambria" w:hAnsi="Cambria"/>
          <w:i/>
          <w:iCs/>
          <w:color w:val="5B6B57"/>
          <w:sz w:val="26"/>
          <w:szCs w:val="26"/>
        </w:rPr>
        <w:t xml:space="preserve">Tomato–Onion–Potato Price Forecasting: Project Progress Report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Prof. Farhat (PI) and the HADP-04 project team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Dr. Masroor, SKUAST-K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30 July 2026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Repository: 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github.com/masroor01/TOP-Digital-Twin  (public, 80 commits) — with a live, interactive scenario-simulation dashboard</w:t>
      </w:r>
    </w:p>
    <w:tbl>
      <w:tblPr>
        <w:tblW w:type="pct" w:w="100%"/>
        <w:tblBorders>
          <w:top w:val="single" w:color="1E5C37" w:sz="4"/>
          <w:left w:val="single" w:color="1E5C37" w:sz="24"/>
          <w:bottom w:val="single" w:color="1E5C37" w:sz="4"/>
          <w:right w:val="single" w:color="1E5C37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F3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5C37"/>
                <w:sz w:val="21"/>
                <w:szCs w:val="21"/>
              </w:rPr>
              <w:t xml:space="preserve">In one paragraph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2518"/>
                <w:sz w:val="22"/>
                <w:szCs w:val="22"/>
              </w:rPr>
              <w:t xml:space="preserve">This report covers the full arc of the TOP Digital Twin project to date: a six-layer, 845-market, ~500-week weekly price panel for tomato, onion, and potato; a validated LightGBM forecasting pipeline (M0–M6) benchmarked against tree ensembles and deep learning; rigorous statistical validation (Diebold-Mariano tests and a Model Confidence Set); real-world crisis backtests against the 2023–24 tomato and onion price shocks; a formal Granger-causality analysis of what actually drives price; a stress-testing module that surfaced a genuine, reportable limitation; and a deployed, public interactive dashboard. Two sections of the manuscript are drafted and verified against the current pipeline. The only outstanding items are the (deliberately deferred) full-capacity Temporal Fusion Transformer run and finishing the manuscript.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1.  Project Overview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The TOP Digital Twin is a weekly price-forecasting system for India's three most price-volatile essential vegetables —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tomato, onion, and potato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(“TOP” crops) — built for HADP-04 at SKUAST-K. The system forecasts wholesale APMC prices at four policy-relevant horizons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(1, 4, 13, and 26 weeks ahead)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, using a machine-learning pipeline enriched with six independent layers of real data, and is deployed as a public, interactive scenario-simulation dashboard.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The project's central research questions, all now answered with evidence documented in this report: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Can we forecast TOP crop prices more accurately than a simple “tomorrow looks like today” baseline — and if not always, where and why?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Which of the six data layers (price/arrivals, macro-economic, climate, satellite, infrastructure, and government policy) actually improve forecasts, and at which horizons?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Do these models hold up during real, historically documented price crises — not just in an average sense?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Do the data layers have genuine causal/predictive content for price, or merely correlate with it?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Can the models be trusted for policy counterfactual simulation (“what happens if we impose an export ban”), not just forecasting?</w:t>
      </w:r>
    </w:p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2.  Data Infrastructure — Six Independent Data Layers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The pipeline integrates six layers of real, verified data, spanning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2 January 2017 to 27 July 2026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(approximately 500 weeks):</w:t>
      </w:r>
    </w:p>
    <w:tbl>
      <w:tblPr>
        <w:tblW w:type="dxa" w:w="9700"/>
        <w:tblBorders>
          <w:top w:val="single" w:color="D6DED1" w:sz="4"/>
          <w:left w:val="single" w:color="D6DED1" w:sz="4"/>
          <w:bottom w:val="single" w:color="D6DED1" w:sz="4"/>
          <w:right w:val="single" w:color="D6DED1" w:sz="4"/>
          <w:insideH w:val="single" w:color="D6DED1" w:sz="3"/>
          <w:insideV w:val="single" w:color="D6DED1" w:sz="3"/>
        </w:tblBorders>
      </w:tblPr>
      <w:tblGrid>
        <w:gridCol w:w="2600"/>
        <w:gridCol w:w="4200"/>
        <w:gridCol w:w="2900"/>
      </w:tblGrid>
      <w:tr>
        <w:trPr>
          <w:tblHeader/>
        </w:trPr>
        <w:tc>
          <w:tcPr>
            <w:tcW w:type="dxa" w:w="26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2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9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Source(s)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L1 — Price &amp; Arrivals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Weekly wholesale modal price and arrivals volume, market-level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Agmarknet (Govt. of India electronic mandi reporting)</w:t>
            </w:r>
          </w:p>
        </w:tc>
      </w:tr>
      <w:tr>
        <w:tc>
          <w:tcPr>
            <w:tcW w:type="dxa" w:w="26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L2/L3 — Satellite &amp; Climate</w:t>
            </w:r>
          </w:p>
        </w:tc>
        <w:tc>
          <w:tcPr>
            <w:tcW w:type="dxa" w:w="42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NDVI/EVI vegetation indices, land-surface temperature, rainfall, heat-stress indices, per agro-climatic zone</w:t>
            </w:r>
          </w:p>
        </w:tc>
        <w:tc>
          <w:tcPr>
            <w:tcW w:type="dxa" w:w="29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Google Earth Engine: Sentinel-2, MODIS, ERA5-Land, CHIRPS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L4 — Macro-economic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Repo rate, USD/INR, WPI, diesel/LPG prices, agricultural credit, crop-specific wholesale price index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CMIE Prowess/Economic Outlook, RBI DBIE, PPAC</w:t>
            </w:r>
          </w:p>
        </w:tc>
      </w:tr>
      <w:tr>
        <w:tc>
          <w:tcPr>
            <w:tcW w:type="dxa" w:w="26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L5 — Infrastructure &amp; Labour</w:t>
            </w:r>
          </w:p>
        </w:tc>
        <w:tc>
          <w:tcPr>
            <w:tcW w:type="dxa" w:w="42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State-wise agricultural wages, cold-storage capacity, road density</w:t>
            </w:r>
          </w:p>
        </w:tc>
        <w:tc>
          <w:tcPr>
            <w:tcW w:type="dxa" w:w="29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Labour Bureau, government infrastructure records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L6 — Policy &amp; Trade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Export bans, minimum export price (MEP), export duty, market interventions, Operation Greens activations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Primary-source-verified Govt. of India notification log (PIB, Ministry press releases)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/>
          <w:iCs/>
          <w:color w:val="5B6B57"/>
          <w:sz w:val="22"/>
          <w:szCs w:val="22"/>
        </w:rPr>
        <w:t xml:space="preserve">Market panel: scale and quality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After filtering to markets with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≥70% real (non-imputed) weekly coverage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over their own reporting history — a threshold set and empirically justified via a market-level statistical robustness check — the analytical panel comprises:</w:t>
      </w:r>
    </w:p>
    <w:tbl>
      <w:tblPr>
        <w:tblW w:type="dxa" w:w="9700"/>
        <w:tblBorders>
          <w:top w:val="single" w:color="D6DED1" w:sz="4"/>
          <w:left w:val="single" w:color="D6DED1" w:sz="4"/>
          <w:bottom w:val="single" w:color="D6DED1" w:sz="4"/>
          <w:right w:val="single" w:color="D6DED1" w:sz="4"/>
          <w:insideH w:val="single" w:color="D6DED1" w:sz="3"/>
          <w:insideV w:val="single" w:color="D6DED1" w:sz="3"/>
        </w:tblBorders>
      </w:tblPr>
      <w:tblGrid>
        <w:gridCol w:w="1600"/>
        <w:gridCol w:w="1400"/>
        <w:gridCol w:w="1400"/>
        <w:gridCol w:w="1700"/>
        <w:gridCol w:w="1900"/>
        <w:gridCol w:w="1700"/>
      </w:tblGrid>
      <w:tr>
        <w:trPr>
          <w:tblHeader/>
        </w:trPr>
        <w:tc>
          <w:tcPr>
            <w:tcW w:type="dxa" w:w="16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Crop</w:t>
            </w:r>
          </w:p>
        </w:tc>
        <w:tc>
          <w:tcPr>
            <w:tcW w:type="dxa" w:w="14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Markets</w:t>
            </w:r>
          </w:p>
        </w:tc>
        <w:tc>
          <w:tcPr>
            <w:tcW w:type="dxa" w:w="14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States</w:t>
            </w:r>
          </w:p>
        </w:tc>
        <w:tc>
          <w:tcPr>
            <w:tcW w:type="dxa" w:w="17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Market-weeks</w:t>
            </w:r>
          </w:p>
        </w:tc>
        <w:tc>
          <w:tcPr>
            <w:tcW w:type="dxa" w:w="19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Median Coverage</w:t>
            </w:r>
          </w:p>
        </w:tc>
        <w:tc>
          <w:tcPr>
            <w:tcW w:type="dxa" w:w="17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Min. Coverage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Tomato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517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20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258,500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90.2%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70.0%</w:t>
            </w:r>
          </w:p>
        </w:tc>
      </w:tr>
      <w:tr>
        <w:tc>
          <w:tcPr>
            <w:tcW w:type="dxa" w:w="16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Onion</w:t>
            </w:r>
          </w:p>
        </w:tc>
        <w:tc>
          <w:tcPr>
            <w:tcW w:type="dxa" w:w="14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246</w:t>
            </w:r>
          </w:p>
        </w:tc>
        <w:tc>
          <w:tcPr>
            <w:tcW w:type="dxa" w:w="14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122,754</w:t>
            </w:r>
          </w:p>
        </w:tc>
        <w:tc>
          <w:tcPr>
            <w:tcW w:type="dxa" w:w="19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90.0%</w:t>
            </w:r>
          </w:p>
        </w:tc>
        <w:tc>
          <w:tcPr>
            <w:tcW w:type="dxa" w:w="17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70.5%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Potato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82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41,000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95.6%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71.6%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Of 422,254 total market-week rows,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88.7% are real trade observations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; the remainder are transparently flagged and imputed (4.1% linear, 1.5% seasonal-median, 5.7% left unfilled where a gap exceeded the imputation policy's tolerance) — every row is labelled real vs. imputed, so downstream analysis can distinguish the two.</w:t>
      </w:r>
    </w:p>
    <w:tbl>
      <w:tblPr>
        <w:tblW w:type="pct" w:w="100%"/>
        <w:tblBorders>
          <w:top w:val="single" w:color="1E5C37" w:sz="4"/>
          <w:left w:val="single" w:color="1E5C37" w:sz="24"/>
          <w:bottom w:val="single" w:color="1E5C37" w:sz="4"/>
          <w:right w:val="single" w:color="1E5C37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F3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5C37"/>
                <w:sz w:val="21"/>
                <w:szCs w:val="21"/>
              </w:rPr>
              <w:t xml:space="preserve">Notable data-engineering achievement: potato zone relocation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2518"/>
                <w:sz w:val="22"/>
                <w:szCs w:val="22"/>
              </w:rPr>
              <w:t xml:space="preserve">Midway through the project, potato's three agro-climatic satellite/climate zones (P1–P3) were found to reference districts with no real corresponding satellite coverage. These were relocated to real production districts — </w:t>
            </w:r>
            <w:r>
              <w:rPr>
                <w:rFonts w:ascii="Calibri" w:cs="Calibri" w:eastAsia="Calibri" w:hAnsi="Calibri"/>
                <w:b/>
                <w:bCs/>
                <w:color w:val="1A2518"/>
                <w:sz w:val="22"/>
                <w:szCs w:val="22"/>
              </w:rPr>
              <w:t xml:space="preserve">Darjeeling, Diamond Harbour (West Bengal), and Dehradun (Uttarakhand)</w:t>
            </w:r>
            <w:r>
              <w:rPr>
                <w:rFonts w:ascii="Calibri" w:cs="Calibri" w:eastAsia="Calibri" w:hAnsi="Calibri"/>
                <w:color w:val="1A2518"/>
                <w:sz w:val="22"/>
                <w:szCs w:val="22"/>
              </w:rPr>
              <w:t xml:space="preserve"> — with genuine ERA5/CHIRPS/Sentinel-2/MODIS data re-extracted and re-verified before being wired back into the modeling pipeline (ablation study, SHAP analysis, and production models were all re-run afterward).</w:t>
            </w:r>
          </w:p>
        </w:tc>
      </w:tr>
    </w:tbl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3.  Modeling Pipeline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A2518"/>
          <w:sz w:val="24"/>
          <w:szCs w:val="24"/>
        </w:rPr>
        <w:t xml:space="preserve">3.1  Ablation study: M0 → M6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Seven progressively richer LightGBM model variants were trained, each adding one data layer at a time, evaluated on a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4-fold rolling-origin cross-validation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design (non-overlapping test years 2022–2025) across all 4 horizons and 3 crops —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336 individual model fits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M0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Price history only (lags, rolling stats, seasonality)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M1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 + Arrivals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M2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 + Macro-economic &amp; logistics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M3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 + Climate stress (ERA5, CHIRPS)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M4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 + Satellite vegetation (Sentinel-2, MODIS)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M5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 + Infrastructure (wages, cold storage, roads)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M6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 + Policy/trade (export bans, MEP, duty, interventions) — the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full production pipeline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A2518"/>
          <w:sz w:val="24"/>
          <w:szCs w:val="24"/>
        </w:rPr>
        <w:t xml:space="preserve">3.2  Model-family comparisons: is LightGBM the right choice?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LightGBM was benchmarked against three tree-ensemble alternatives and two deep-learning architectures on the identical cross-validation framework, to justify it as the production model:</w:t>
      </w:r>
    </w:p>
    <w:tbl>
      <w:tblPr>
        <w:tblW w:type="dxa" w:w="9700"/>
        <w:tblBorders>
          <w:top w:val="single" w:color="D6DED1" w:sz="4"/>
          <w:left w:val="single" w:color="D6DED1" w:sz="4"/>
          <w:bottom w:val="single" w:color="D6DED1" w:sz="4"/>
          <w:right w:val="single" w:color="D6DED1" w:sz="4"/>
          <w:insideH w:val="single" w:color="D6DED1" w:sz="3"/>
          <w:insideV w:val="single" w:color="D6DED1" w:sz="3"/>
        </w:tblBorders>
      </w:tblPr>
      <w:tblGrid>
        <w:gridCol w:w="3600"/>
        <w:gridCol w:w="3400"/>
        <w:gridCol w:w="2700"/>
      </w:tblGrid>
      <w:tr>
        <w:trPr>
          <w:tblHeader/>
        </w:trPr>
        <w:tc>
          <w:tcPr>
            <w:tcW w:type="dxa" w:w="36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4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 R² (all crops × horizons × folds)</w:t>
            </w:r>
          </w:p>
        </w:tc>
        <w:tc>
          <w:tcPr>
            <w:tcW w:type="dxa" w:w="27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CatBoost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0.341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Competitive, occasionally ahead</w:t>
            </w:r>
          </w:p>
        </w:tc>
      </w:tr>
      <w:tr>
        <w:tc>
          <w:tcPr>
            <w:tcW w:type="dxa" w:w="36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LightGBM (production choice)</w:t>
            </w:r>
          </w:p>
        </w:tc>
        <w:tc>
          <w:tcPr>
            <w:tcW w:type="dxa" w:w="34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0.231</w:t>
            </w:r>
          </w:p>
        </w:tc>
        <w:tc>
          <w:tcPr>
            <w:tcW w:type="dxa" w:w="27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Competitive; fastest; chosen for production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XGBoost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0.223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Competitive</w:t>
            </w:r>
          </w:p>
        </w:tc>
      </w:tr>
      <w:tr>
        <w:tc>
          <w:tcPr>
            <w:tcW w:type="dxa" w:w="36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RandomForest</w:t>
            </w:r>
          </w:p>
        </w:tc>
        <w:tc>
          <w:tcPr>
            <w:tcW w:type="dxa" w:w="34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−0.332</w:t>
            </w:r>
          </w:p>
        </w:tc>
        <w:tc>
          <w:tcPr>
            <w:tcW w:type="dxa" w:w="27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Clearly worst of the tree ensembles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LSTM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−0.545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Underperforms every tree model</w:t>
            </w:r>
          </w:p>
        </w:tc>
      </w:tr>
      <w:tr>
        <w:tc>
          <w:tcPr>
            <w:tcW w:type="dxa" w:w="36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Transformer</w:t>
            </w:r>
          </w:p>
        </w:tc>
        <w:tc>
          <w:tcPr>
            <w:tcW w:type="dxa" w:w="34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−0.826</w:t>
            </w:r>
          </w:p>
        </w:tc>
        <w:tc>
          <w:tcPr>
            <w:tcW w:type="dxa" w:w="27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Weakest model tested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LightGBM, XGBoost, and CatBoost are statistically competitive with no consistent winner; both deep-learning architectures underperform </w:t>
      </w:r>
      <w:r>
        <w:rPr>
          <w:rFonts w:ascii="Calibri" w:cs="Calibri" w:eastAsia="Calibri" w:hAnsi="Calibri"/>
          <w:i/>
          <w:iCs/>
          <w:color w:val="5B6B57"/>
          <w:sz w:val="22"/>
          <w:szCs w:val="22"/>
        </w:rPr>
        <w:t xml:space="preserve">every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tree model — validating LightGBM as the right production choice for this data regime (moderate sample size, tabular, mixed data types) over more complex sequence models.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A2518"/>
          <w:sz w:val="24"/>
          <w:szCs w:val="24"/>
        </w:rPr>
        <w:t xml:space="preserve">3.3  Production system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Twelve final LightGBM models (3 crops × 4 horizons) were trained on the full data history and persisted for reuse, along with per-market reference feature rows, validated uncertainty bounds (RMSE/MAPE), and dashboard metadata — the foundation for both the interactive dashboard and the stress-testing module described in Section 7.</w:t>
      </w:r>
    </w:p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4.  Statistical Validation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Point-estimate accuracy metrics (R², MAPE) were not treated as sufficient on their own. Three additional layers of formal statistical rigor were applied: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Diebold-Mariano tests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(crop-level and market-level) — pairwise significance tests on forecast-error differentials, with the Harvey-Leybourne-Newbold small-sample correction.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Model Confidence Set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(Hansen, Lunde &amp; Nason, 2011) — a stationary-bootstrap range-statistic test that jointly evaluates all 8 model variants (naive persistence + M0–M6) per crop × horizon, with familywise error control across the whole set rather than one pair at a time.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MASE / horizon-conditional skill analysis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spike-detection AUC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(0.92–0.99 across all three crops) — the latter measuring the models' ability to correctly rank weeks by price-spike risk, a distinct and arguably more policy-relevant skill than point-forecast accuracy.</w:t>
      </w:r>
    </w:p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5.  Central Scientific Finding: When Do the Data Layers Actually Earn Their Value?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The single most important, and most carefully verified, finding of the project: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naive persistence (“next week's price = this week's price”) is the statistically confirmed best model at the shortest horizon (h=1 week) for all three crops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— formally confirmed via the Model Confidence Set, which found naive persistence to be the </w:t>
      </w:r>
      <w:r>
        <w:rPr>
          <w:rFonts w:ascii="Calibri" w:cs="Calibri" w:eastAsia="Calibri" w:hAnsi="Calibri"/>
          <w:i/>
          <w:iCs/>
          <w:color w:val="5B6B57"/>
          <w:sz w:val="22"/>
          <w:szCs w:val="22"/>
        </w:rPr>
        <w:t xml:space="preserve">sole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survivor of the 90%-confidence set at h=1w in every case. This reflects a genuine, well-established economic phenomenon (near-random-walk behaviour in short-term commodity prices under efficient short-term price discovery), not a flaw in the modeling pipeline.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Critically, this reverses at longer horizons — exactly where the added data layers have time to matter and where policy decisions actually need lead time:</w:t>
      </w:r>
    </w:p>
    <w:tbl>
      <w:tblPr>
        <w:tblW w:type="dxa" w:w="9700"/>
        <w:tblBorders>
          <w:top w:val="single" w:color="D6DED1" w:sz="4"/>
          <w:left w:val="single" w:color="D6DED1" w:sz="4"/>
          <w:bottom w:val="single" w:color="D6DED1" w:sz="4"/>
          <w:right w:val="single" w:color="D6DED1" w:sz="4"/>
          <w:insideH w:val="single" w:color="D6DED1" w:sz="3"/>
          <w:insideV w:val="single" w:color="D6DED1" w:sz="3"/>
        </w:tblBorders>
      </w:tblPr>
      <w:tblGrid>
        <w:gridCol w:w="1600"/>
        <w:gridCol w:w="3400"/>
        <w:gridCol w:w="4700"/>
      </w:tblGrid>
      <w:tr>
        <w:trPr>
          <w:tblHeader/>
        </w:trPr>
        <w:tc>
          <w:tcPr>
            <w:tcW w:type="dxa" w:w="16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Crop</w:t>
            </w:r>
          </w:p>
        </w:tc>
        <w:tc>
          <w:tcPr>
            <w:tcW w:type="dxa" w:w="34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Crossover horizon (M6 first beats naive)</w:t>
            </w:r>
          </w:p>
        </w:tc>
        <w:tc>
          <w:tcPr>
            <w:tcW w:type="dxa" w:w="47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Tomato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13 weeks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Cleanest crossover; M6 statistically superior from h=13w onward</w:t>
            </w:r>
          </w:p>
        </w:tc>
      </w:tr>
      <w:tr>
        <w:tc>
          <w:tcPr>
            <w:tcW w:type="dxa" w:w="16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Onion</w:t>
            </w:r>
          </w:p>
        </w:tc>
        <w:tc>
          <w:tcPr>
            <w:tcW w:type="dxa" w:w="34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26 weeks</w:t>
            </w:r>
          </w:p>
        </w:tc>
        <w:tc>
          <w:tcPr>
            <w:tcW w:type="dxa" w:w="47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M6 statistically superior at h=26w; naive drops out of the 90% confidence set entirely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Potato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26 weeks (partial)</w:t>
            </w:r>
          </w:p>
        </w:tc>
        <w:tc>
          <w:tcPr>
            <w:tcW w:type="dxa" w:w="47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At h=26w, neither naive nor the full M6 pipeline survives the 90% confidence set — only the simpler price+arrivals models do; the one genuine limitation among the three crops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This is independently corroborated by the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SHAP interpretability analysis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: price's own share of predictive weight falls from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~70–76% at h=1w to as low as ~19–48% at h=13/26w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, with climate, macro, infrastructure, and policy layers correspondingly gaining share — the data layers are not just statistically confirmed to help at long horizons, the model is demonstrably relying on them more as horizon increases.</w:t>
      </w:r>
    </w:p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6.  Real-World Validation: Crisis Backtesting Case Studies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To test whether the horizon-crossover finding holds not just on average but during the specific price crises that matter most to policymakers, four real, independently verified episodes were backtested using genuinely out-of-sample model predictions (no retraining):</w:t>
      </w:r>
    </w:p>
    <w:tbl>
      <w:tblPr>
        <w:tblW w:type="dxa" w:w="9700"/>
        <w:tblBorders>
          <w:top w:val="single" w:color="D6DED1" w:sz="4"/>
          <w:left w:val="single" w:color="D6DED1" w:sz="4"/>
          <w:bottom w:val="single" w:color="D6DED1" w:sz="4"/>
          <w:right w:val="single" w:color="D6DED1" w:sz="4"/>
          <w:insideH w:val="single" w:color="D6DED1" w:sz="3"/>
          <w:insideV w:val="single" w:color="D6DED1" w:sz="3"/>
        </w:tblBorders>
      </w:tblPr>
      <w:tblGrid>
        <w:gridCol w:w="2200"/>
        <w:gridCol w:w="3900"/>
        <w:gridCol w:w="3600"/>
      </w:tblGrid>
      <w:tr>
        <w:trPr>
          <w:tblHeader/>
        </w:trPr>
        <w:tc>
          <w:tcPr>
            <w:tcW w:type="dxa" w:w="22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Episode</w:t>
            </w:r>
          </w:p>
        </w:tc>
        <w:tc>
          <w:tcPr>
            <w:tcW w:type="dxa" w:w="39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  <w:tc>
          <w:tcPr>
            <w:tcW w:type="dxa" w:w="36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Tomato, Jun–Sep 2023</w:t>
            </w:r>
          </w:p>
        </w:tc>
        <w:tc>
          <w:tcPr>
            <w:tcW w:type="dxa" w:w="3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Nationwide spike (+454% over 4 weeks) then crash (−70%); NCCF/NAFED subsidised retail intervention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Naive wins h=1w; M6 wins decisively h=4/13/26w (naive MAPE hits 147–158% at long horizon)</w:t>
            </w:r>
          </w:p>
        </w:tc>
      </w:tr>
      <w:tr>
        <w:tc>
          <w:tcPr>
            <w:tcW w:type="dxa" w:w="22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Onion, Aug 2023–Jan 2024</w:t>
            </w:r>
          </w:p>
        </w:tc>
        <w:tc>
          <w:tcPr>
            <w:tcW w:type="dxa" w:w="39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Export duty → MEP → outright export ban, tracking a +89% spike then a −46% crash post-ban</w:t>
            </w:r>
          </w:p>
        </w:tc>
        <w:tc>
          <w:tcPr>
            <w:tcW w:type="dxa" w:w="36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Naive wins h=1/4w; M6 wins h=13/26w — crossover occurs even earlier than the full-sample average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Potato, Apr 2024</w:t>
            </w:r>
          </w:p>
        </w:tc>
        <w:tc>
          <w:tcPr>
            <w:tcW w:type="dxa" w:w="39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Nationwide spike (+45%), no matching policy event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Naive wins at every horizon — the one genuine exception, consistent with the MCS finding above</w:t>
            </w:r>
          </w:p>
        </w:tc>
      </w:tr>
      <w:tr>
        <w:tc>
          <w:tcPr>
            <w:tcW w:type="dxa" w:w="22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Potato, Jan 2025</w:t>
            </w:r>
          </w:p>
        </w:tc>
        <w:tc>
          <w:tcPr>
            <w:tcW w:type="dxa" w:w="39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Nationwide crash (−47%), no matching policy event</w:t>
            </w:r>
          </w:p>
        </w:tc>
        <w:tc>
          <w:tcPr>
            <w:tcW w:type="dxa" w:w="36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Naive wins h=1w; M6 wins h=4/13/26w — behaves like tomato/onion despite no policy driver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These case studies were written up as a full results/discussion section of the manuscript draft (Section 9 below), including the mechanism: naive persistence's long-horizon forecast is mechanically anchored to a pre-crisis price and cannot anticipate a regime change, while the model's climate, arrivals, and — for onion specifically —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explicit policy-instrument features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let it partially anticipate the price response before it has fully unfolded.</w:t>
      </w:r>
    </w:p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7.  Causal Analysis: Granger Causality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Beyond “does this layer improve forecast accuracy,” a formal econometric test was run for “does this layer have independent predictive content for price at all” — bidirectional Granger causality tests (stationarity-checked, false-discovery-rate corrected within each crop) between price and every data layer, at lags of 1, 4, and 13 weeks: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Climate Granger-causes price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for all three crops, at every lag tested — the cleanest, most consistent result of the analysis.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Arrivals → price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holds for potato and tomato (classic supply effect); for onion, only the reverse direction (price → arrivals) is significant — suggesting onion supply responds to price rather than driving it.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Price Granger-causes policy intervention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(not the reverse) for tomato at every lag — a formal confirmation that Operation Greens / NCCF interventions are </w:t>
      </w:r>
      <w:r>
        <w:rPr>
          <w:rFonts w:ascii="Calibri" w:cs="Calibri" w:eastAsia="Calibri" w:hAnsi="Calibri"/>
          <w:i/>
          <w:iCs/>
          <w:color w:val="5B6B57"/>
          <w:sz w:val="22"/>
          <w:szCs w:val="22"/>
        </w:rPr>
        <w:t xml:space="preserve">reactive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to price spikes, not a leading indicator. This directly foreshadows the stress-testing finding in Section 8.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Market network: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a light lead-lag test among each crop's top-5-by-volume markets found most pairs significant in </w:t>
      </w:r>
      <w:r>
        <w:rPr>
          <w:rFonts w:ascii="Calibri" w:cs="Calibri" w:eastAsia="Calibri" w:hAnsi="Calibri"/>
          <w:i/>
          <w:iCs/>
          <w:color w:val="5B6B57"/>
          <w:sz w:val="22"/>
          <w:szCs w:val="22"/>
        </w:rPr>
        <w:t xml:space="preserve">both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directions — read as strong national market co-movement rather than one market cleanly leading the others.</w:t>
      </w:r>
    </w:p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8.  Formal Stress-Testing Module — and a Genuine Limitation Discovered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The dashboard's manual what-if simulator (Section 10) was systematised into a fixed, reproducible battery of stress scenarios, run across every market in the production panel using the saved models (no retraining). Scenarios were calibrated to real data wherever possible — not invented numbers: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Onion's policy scenarios replay the exact verified 2023–24 event values (40% export duty, USD 800/MT MEP, outright export ban).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Diesel-price and climate shocks are calibrated to the largest real historical 12-month diesel increase (+29.7%) and each crop's own 95th-percentile climate extreme.</w:t>
      </w:r>
    </w:p>
    <w:tbl>
      <w:tblPr>
        <w:tblW w:type="pct" w:w="100%"/>
        <w:tblBorders>
          <w:top w:val="single" w:color="1E5C37" w:sz="4"/>
          <w:left w:val="single" w:color="1E5C37" w:sz="24"/>
          <w:bottom w:val="single" w:color="1E5C37" w:sz="4"/>
          <w:right w:val="single" w:color="1E5C37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F3E9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E5C37"/>
                <w:sz w:val="21"/>
                <w:szCs w:val="21"/>
              </w:rPr>
              <w:t xml:space="preserve">Important finding — flagged directly, not hidden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A2518"/>
                <w:sz w:val="22"/>
                <w:szCs w:val="22"/>
              </w:rPr>
              <w:t xml:space="preserve">Most single-driver shocks (diesel, climate, MEP alone, export ban alone) produced a near-zero model response. More significantly, </w:t>
            </w:r>
            <w:r>
              <w:rPr>
                <w:rFonts w:ascii="Calibri" w:cs="Calibri" w:eastAsia="Calibri" w:hAnsi="Calibri"/>
                <w:b/>
                <w:bCs/>
                <w:color w:val="1A2518"/>
                <w:sz w:val="22"/>
                <w:szCs w:val="22"/>
              </w:rPr>
              <w:t xml:space="preserve">onion's export-duty scenario predicted the wrong-signed price response</w:t>
            </w:r>
            <w:r>
              <w:rPr>
                <w:rFonts w:ascii="Calibri" w:cs="Calibri" w:eastAsia="Calibri" w:hAnsi="Calibri"/>
                <w:color w:val="1A2518"/>
                <w:sz w:val="22"/>
                <w:szCs w:val="22"/>
              </w:rPr>
              <w:t xml:space="preserve"> — the model forecast a </w:t>
            </w:r>
            <w:r>
              <w:rPr>
                <w:rFonts w:ascii="Calibri" w:cs="Calibri" w:eastAsia="Calibri" w:hAnsi="Calibri"/>
                <w:b/>
                <w:bCs/>
                <w:color w:val="1A2518"/>
                <w:sz w:val="22"/>
                <w:szCs w:val="22"/>
              </w:rPr>
              <w:t xml:space="preserve">+14.5% price increase</w:t>
            </w:r>
            <w:r>
              <w:rPr>
                <w:rFonts w:ascii="Calibri" w:cs="Calibri" w:eastAsia="Calibri" w:hAnsi="Calibri"/>
                <w:color w:val="1A2518"/>
                <w:sz w:val="22"/>
                <w:szCs w:val="22"/>
              </w:rPr>
              <w:t xml:space="preserve"> at h=26w under a duty shock, while the real Aug 2023–Jan 2024 episode saw prices </w:t>
            </w:r>
            <w:r>
              <w:rPr>
                <w:rFonts w:ascii="Calibri" w:cs="Calibri" w:eastAsia="Calibri" w:hAnsi="Calibri"/>
                <w:b/>
                <w:bCs/>
                <w:color w:val="1A2518"/>
                <w:sz w:val="22"/>
                <w:szCs w:val="22"/>
              </w:rPr>
              <w:t xml:space="preserve">crash −46%</w:t>
            </w:r>
            <w:r>
              <w:rPr>
                <w:rFonts w:ascii="Calibri" w:cs="Calibri" w:eastAsia="Calibri" w:hAnsi="Calibri"/>
                <w:color w:val="1A2518"/>
                <w:sz w:val="22"/>
                <w:szCs w:val="22"/>
              </w:rPr>
              <w:t xml:space="preserve"> under the equivalent real-world restriction sequence (Section 6). This traces directly to the Granger-causality finding above: the model has learned that policy restrictions </w:t>
            </w:r>
            <w:r>
              <w:rPr>
                <w:rFonts w:ascii="Calibri" w:cs="Calibri" w:eastAsia="Calibri" w:hAnsi="Calibri"/>
                <w:i/>
                <w:iCs/>
                <w:color w:val="5B6B57"/>
                <w:sz w:val="22"/>
                <w:szCs w:val="22"/>
              </w:rPr>
              <w:t xml:space="preserve">co-occur</w:t>
            </w:r>
            <w:r>
              <w:rPr>
                <w:rFonts w:ascii="Calibri" w:cs="Calibri" w:eastAsia="Calibri" w:hAnsi="Calibri"/>
                <w:color w:val="1A2518"/>
                <w:sz w:val="22"/>
                <w:szCs w:val="22"/>
              </w:rPr>
              <w:t xml:space="preserve"> with already-elevated prices (because governments impose them </w:t>
            </w:r>
            <w:r>
              <w:rPr>
                <w:rFonts w:ascii="Calibri" w:cs="Calibri" w:eastAsia="Calibri" w:hAnsi="Calibri"/>
                <w:i/>
                <w:iCs/>
                <w:color w:val="5B6B57"/>
                <w:sz w:val="22"/>
                <w:szCs w:val="22"/>
              </w:rPr>
              <w:t xml:space="preserve">reactively</w:t>
            </w:r>
            <w:r>
              <w:rPr>
                <w:rFonts w:ascii="Calibri" w:cs="Calibri" w:eastAsia="Calibri" w:hAnsi="Calibri"/>
                <w:color w:val="1A2518"/>
                <w:sz w:val="22"/>
                <w:szCs w:val="22"/>
              </w:rPr>
              <w:t xml:space="preserve">), not their own price-suppressing causal effect — so artificially flipping the policy switch in isolation surfaces the wrong learned association.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This is being treated as a genuine, reportable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methodological finding, not a bug to quietly fix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: the pipeline is thoroughly validated for </w:t>
      </w:r>
      <w:r>
        <w:rPr>
          <w:rFonts w:ascii="Calibri" w:cs="Calibri" w:eastAsia="Calibri" w:hAnsi="Calibri"/>
          <w:i/>
          <w:iCs/>
          <w:color w:val="5B6B57"/>
          <w:sz w:val="22"/>
          <w:szCs w:val="22"/>
        </w:rPr>
        <w:t xml:space="preserve">forecasting under observed regimes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(everything in Sections 4–6), but this stress test demonstrates it should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not yet be trusted for counterfactual policy simulation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(“what happens if we impose a new export ban”) without further work — a distinction few comparable studies actually test for, and a strong, honest point for the manuscript's limitations section.</w:t>
      </w:r>
    </w:p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9.  Deployed Interactive Dashboard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A public, interactive Streamlit dashboard (auto-redeploys on every push to the GitHub repository) lets any user — farmers, traders, policymakers — explore the model's forecasts directly: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Crop / State / Market selection across all 845 filtered markets, with a live coverage and data-recency disclosure panel.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Policy, climate, and macro/logistics “what-if” sliders (export ban, MEP, duty, temperature, rainfall, diesel price, repo rate, USD/INR, etc.), each showing how stale its real-world starting value is.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A price forecast ticker showing all four trained horizons at once, each tagged with the crop's own agricultural season (kharif / peak-arrival / lean for tomato; rabi-arrival / kharif / lean for onion; harvest / storage / lean for potato).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A click-to-reveal daily-resolution price view — a smoothed interpolation through the four validated weekly forecast points with an honest, real-historical-residual uncertainty band (not a false-precision single line), including seasonal shading.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Market-comparison rankings (top markets by price and by arrivals) and an independent multi-market price-trend comparison chart.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An optional AI-generated policy commentary (Claude API) on whatever scenario the user has built.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A full visual redesign this session: a cohesive project theme, crop-coded accent colors, and iconography throughout.</w:t>
      </w:r>
    </w:p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10.  Manuscript Progress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Target journals: </w:t>
      </w:r>
      <w:r>
        <w:rPr>
          <w:rFonts w:ascii="Calibri" w:cs="Calibri" w:eastAsia="Calibri" w:hAnsi="Calibri"/>
          <w:i/>
          <w:iCs/>
          <w:color w:val="5B6B57"/>
          <w:sz w:val="22"/>
          <w:szCs w:val="22"/>
        </w:rPr>
        <w:t xml:space="preserve">Computers and Electronics in Agriculture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/ </w:t>
      </w:r>
      <w:r>
        <w:rPr>
          <w:rFonts w:ascii="Calibri" w:cs="Calibri" w:eastAsia="Calibri" w:hAnsi="Calibri"/>
          <w:i/>
          <w:iCs/>
          <w:color w:val="5B6B57"/>
          <w:sz w:val="22"/>
          <w:szCs w:val="22"/>
        </w:rPr>
        <w:t xml:space="preserve">Agricultural Systems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. Two sections are drafted and, importantly, </w:t>
      </w: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verified against the current pipeline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rather than left stale from an earlier iteration: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Methods / Data section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— fully rewritten this session to match the current 70%-coverage, 845-market, six-layer pipeline (an earlier draft had drifted to describe a 90%-threshold, 4-layer, 286/123/64-market panel from months ago, including one factual error about imputation that has now been corrected).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Results section — Crisis Backtesting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— a full write-up of the Section 6 case studies, cross-referenced to the specific methods subsections (data panel, satellite/climate layer, infrastructure layer, policy-event log) so a reader moving between the two drafts finds consistent numbers throughout.</w:t>
      </w:r>
    </w:p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11.  Project Statistics</w:t>
      </w:r>
    </w:p>
    <w:tbl>
      <w:tblPr>
        <w:tblW w:type="dxa" w:w="9700"/>
        <w:tblBorders>
          <w:top w:val="single" w:color="D6DED1" w:sz="4"/>
          <w:left w:val="single" w:color="D6DED1" w:sz="4"/>
          <w:bottom w:val="single" w:color="D6DED1" w:sz="4"/>
          <w:right w:val="single" w:color="D6DED1" w:sz="4"/>
          <w:insideH w:val="single" w:color="D6DED1" w:sz="3"/>
          <w:insideV w:val="single" w:color="D6DED1" w:sz="3"/>
        </w:tblBorders>
      </w:tblPr>
      <w:tblGrid>
        <w:gridCol w:w="5200"/>
        <w:gridCol w:w="4500"/>
      </w:tblGrid>
      <w:tr>
        <w:trPr>
          <w:tblHeader/>
        </w:trPr>
        <w:tc>
          <w:tcPr>
            <w:tcW w:type="dxa" w:w="52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00"/>
            <w:shd w:fill="1E5C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Numbered pipeline / analysis scripts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2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Git commits</w:t>
            </w:r>
          </w:p>
        </w:tc>
        <w:tc>
          <w:tcPr>
            <w:tcW w:type="dxa" w:w="45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Markets in the analytical panel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845 (517 tomato + 246 onion + 82 potato)</w:t>
            </w:r>
          </w:p>
        </w:tc>
      </w:tr>
      <w:tr>
        <w:tc>
          <w:tcPr>
            <w:tcW w:type="dxa" w:w="52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Market-week observations</w:t>
            </w:r>
          </w:p>
        </w:tc>
        <w:tc>
          <w:tcPr>
            <w:tcW w:type="dxa" w:w="45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422,254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Ablation-study model fits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336 (M0–M6 × 4 folds × 4 horizons × 3 crops)</w:t>
            </w:r>
          </w:p>
        </w:tc>
      </w:tr>
      <w:tr>
        <w:tc>
          <w:tcPr>
            <w:tcW w:type="dxa" w:w="52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Model families benchmarked</w:t>
            </w:r>
          </w:p>
        </w:tc>
        <w:tc>
          <w:tcPr>
            <w:tcW w:type="dxa" w:w="45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6 (LightGBM, RandomForest, XGBoost, CatBoost, LSTM, Transformer)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Production models deployed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12 (3 crops × 4 horizons)</w:t>
            </w:r>
          </w:p>
        </w:tc>
      </w:tr>
      <w:tr>
        <w:tc>
          <w:tcPr>
            <w:tcW w:type="dxa" w:w="52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Verified policy events in the trade-policy log</w:t>
            </w:r>
          </w:p>
        </w:tc>
        <w:tc>
          <w:tcPr>
            <w:tcW w:type="dxa" w:w="4500"/>
            <w:shd w:fill="F5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Manuscript sections drafted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2518"/>
                <w:sz w:val="19"/>
                <w:szCs w:val="19"/>
              </w:rPr>
              <w:t xml:space="preserve">2 (Methods/Data; Results — Crisis Backtesting)</w:t>
            </w:r>
          </w:p>
        </w:tc>
      </w:tr>
    </w:tbl>
    <w:p>
      <w:pPr>
        <w:pStyle w:val="Heading1"/>
        <w:pBdr>
          <w:bottom w:val="single" w:color="1E5C37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37"/>
          <w:sz w:val="30"/>
          <w:szCs w:val="30"/>
        </w:rPr>
        <w:t xml:space="preserve">12.  Remaining Work</w:t>
      </w:r>
    </w:p>
    <w:p>
      <w:pPr>
        <w:spacing w:after="160" w:line="276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>Only two items remain open: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Full-capacity Temporal Fusion Transformer (TFT) run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— deliberately deferred; a reduced-scope run exists (fewer markets, shorter encoder), but the full run is a substantial compute commitment not yet scheduled. Given the tree-ensemble-vs-deep-learning comparison in Section 3.2, this is a secondary/robustness model rather than a candidate to replace LightGBM in production.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1A2518"/>
          <w:sz w:val="22"/>
          <w:szCs w:val="22"/>
        </w:rPr>
        <w:t xml:space="preserve">Manuscript completion</w:t>
      </w:r>
      <w:r>
        <w:rPr>
          <w:rFonts w:ascii="Calibri" w:cs="Calibri" w:eastAsia="Calibri" w:hAnsi="Calibri"/>
          <w:color w:val="1A2518"/>
          <w:sz w:val="22"/>
          <w:szCs w:val="22"/>
        </w:rPr>
        <w:t xml:space="preserve"> — remaining sections (introduction/literature review, the full results section beyond crisis backtesting, discussion, and conclusion) still to be drafted, alongside the two sections already complete and verified.</w:t>
      </w:r>
    </w:p>
    <w:p>
      <w:pPr>
        <w:spacing w:before="300"/>
      </w:pPr>
      <w:r>
        <w:rPr>
          <w:rFonts w:ascii="Calibri" w:cs="Calibri" w:eastAsia="Calibri" w:hAnsi="Calibri"/>
          <w:color w:val="1A2518"/>
          <w:sz w:val="22"/>
          <w:szCs w:val="22"/>
        </w:rPr>
        <w:t xml:space="preserve"/>
      </w:r>
    </w:p>
    <w:p>
      <w:pPr>
        <w:pBdr>
          <w:top w:val="single" w:color="D6DED1" w:sz="4" w:space="8"/>
        </w:pBdr>
        <w:spacing w:before="200"/>
      </w:pPr>
      <w:r>
        <w:rPr>
          <w:rFonts w:ascii="Calibri" w:cs="Calibri" w:eastAsia="Calibri" w:hAnsi="Calibri"/>
          <w:i/>
          <w:iCs/>
          <w:color w:val="5B6B57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57"/>
        <w:sz w:val="16"/>
        <w:szCs w:val="16"/>
      </w:rPr>
      <w:t xml:space="preserve">Page </w:t>
    </w:r>
    <w:r>
      <w:rPr>
        <w:rFonts w:ascii="Calibri" w:cs="Calibri" w:eastAsia="Calibri" w:hAnsi="Calibri"/>
        <w:color w:val="5B6B5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57"/>
        <w:sz w:val="16"/>
        <w:szCs w:val="16"/>
      </w:rPr>
      <w:t xml:space="preserve"> of </w:t>
    </w:r>
    <w:r>
      <w:rPr>
        <w:rFonts w:ascii="Calibri" w:cs="Calibri" w:eastAsia="Calibri" w:hAnsi="Calibri"/>
        <w:color w:val="5B6B5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1" w:sz="4" w:space="4"/>
      </w:pBdr>
    </w:pPr>
    <w:r>
      <w:rPr>
        <w:rFonts w:ascii="Calibri" w:cs="Calibri" w:eastAsia="Calibri" w:hAnsi="Calibri"/>
        <w:color w:val="5B6B57"/>
        <w:sz w:val="16"/>
        <w:szCs w:val="16"/>
      </w:rPr>
      <w:t xml:space="preserve">TOP Digital Twin — Project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2026-07-31T05:13:21.634Z</dcterms:created>
  <dcterms:modified xsi:type="dcterms:W3CDTF">2026-07-31T05:13:21.636Z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