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35F0" w:rsidRDefault="00BC3CC6">
      <w:pPr>
        <w:spacing w:before="1440" w:after="240"/>
        <w:jc w:val="center"/>
      </w:pPr>
      <w:r>
        <w:rPr>
          <w:b/>
          <w:bCs/>
          <w:color w:val="2E75B6"/>
          <w:sz w:val="56"/>
          <w:szCs w:val="56"/>
        </w:rPr>
        <w:t>FHIR INTEGRATION PROSPECTS</w:t>
      </w:r>
    </w:p>
    <w:p w:rsidR="00C035F0" w:rsidRDefault="00BC3CC6">
      <w:pPr>
        <w:spacing w:after="120"/>
        <w:jc w:val="center"/>
      </w:pPr>
      <w:r>
        <w:rPr>
          <w:color w:val="1F5C8B"/>
          <w:sz w:val="30"/>
          <w:szCs w:val="30"/>
        </w:rPr>
        <w:t xml:space="preserve">Utilizing HL7 FHIR R4 Standards in the </w:t>
      </w:r>
      <w:proofErr w:type="spellStart"/>
      <w:r>
        <w:rPr>
          <w:color w:val="1F5C8B"/>
          <w:sz w:val="30"/>
          <w:szCs w:val="30"/>
        </w:rPr>
        <w:t>Smartband</w:t>
      </w:r>
      <w:proofErr w:type="spellEnd"/>
      <w:r>
        <w:rPr>
          <w:color w:val="1F5C8B"/>
          <w:sz w:val="30"/>
          <w:szCs w:val="30"/>
        </w:rPr>
        <w:t xml:space="preserve"> V001 Project</w:t>
      </w:r>
    </w:p>
    <w:p w:rsidR="00C035F0" w:rsidRDefault="00C035F0">
      <w:pPr>
        <w:pBdr>
          <w:bottom w:val="single" w:sz="6" w:space="1" w:color="2E75B6"/>
        </w:pBdr>
        <w:spacing w:before="120" w:after="120"/>
      </w:pPr>
    </w:p>
    <w:p w:rsidR="00C035F0" w:rsidRDefault="00BC3CC6">
      <w:pPr>
        <w:spacing w:before="240" w:after="120"/>
        <w:jc w:val="center"/>
      </w:pPr>
      <w:r>
        <w:rPr>
          <w:b/>
          <w:bCs/>
          <w:color w:val="444444"/>
          <w:sz w:val="26"/>
          <w:szCs w:val="26"/>
        </w:rPr>
        <w:t>A Roadmap for Health Data Interoperability</w:t>
      </w:r>
    </w:p>
    <w:p w:rsidR="00C035F0" w:rsidRPr="00BC3CC6" w:rsidRDefault="00BC3CC6">
      <w:pPr>
        <w:spacing w:before="60" w:after="60"/>
        <w:jc w:val="center"/>
        <w:rPr>
          <w:lang w:val="de-DE"/>
        </w:rPr>
      </w:pPr>
      <w:r w:rsidRPr="00BC3CC6">
        <w:rPr>
          <w:color w:val="666666"/>
          <w:sz w:val="24"/>
          <w:szCs w:val="24"/>
          <w:lang w:val="de-DE"/>
        </w:rPr>
        <w:t>Hochschule Hamm-Lippstadt (HSHL)</w:t>
      </w:r>
    </w:p>
    <w:p w:rsidR="00C035F0" w:rsidRPr="00BC3CC6" w:rsidRDefault="00BC3CC6">
      <w:pPr>
        <w:spacing w:before="60" w:after="60"/>
        <w:jc w:val="center"/>
        <w:rPr>
          <w:lang w:val="de-DE"/>
        </w:rPr>
      </w:pPr>
      <w:r w:rsidRPr="00BC3CC6">
        <w:rPr>
          <w:color w:val="666666"/>
          <w:sz w:val="24"/>
          <w:szCs w:val="24"/>
          <w:lang w:val="de-DE"/>
        </w:rPr>
        <w:t>Student: Masrur Jamil Prochchhod</w:t>
      </w:r>
    </w:p>
    <w:p w:rsidR="00C035F0" w:rsidRDefault="00BC3CC6">
      <w:pPr>
        <w:spacing w:before="60" w:after="60"/>
        <w:jc w:val="center"/>
      </w:pPr>
      <w:r>
        <w:rPr>
          <w:color w:val="666666"/>
          <w:sz w:val="24"/>
          <w:szCs w:val="24"/>
        </w:rPr>
        <w:t xml:space="preserve">Submitted to: </w:t>
      </w:r>
      <w:proofErr w:type="spellStart"/>
      <w:r>
        <w:rPr>
          <w:color w:val="666666"/>
          <w:sz w:val="24"/>
          <w:szCs w:val="24"/>
        </w:rPr>
        <w:t>Prof.</w:t>
      </w:r>
      <w:proofErr w:type="spellEnd"/>
      <w:r>
        <w:rPr>
          <w:color w:val="666666"/>
          <w:sz w:val="24"/>
          <w:szCs w:val="24"/>
        </w:rPr>
        <w:t xml:space="preserve"> </w:t>
      </w:r>
      <w:proofErr w:type="spellStart"/>
      <w:r>
        <w:rPr>
          <w:color w:val="666666"/>
          <w:sz w:val="24"/>
          <w:szCs w:val="24"/>
        </w:rPr>
        <w:t>Dr.</w:t>
      </w:r>
      <w:proofErr w:type="spellEnd"/>
      <w:r>
        <w:rPr>
          <w:color w:val="666666"/>
          <w:sz w:val="24"/>
          <w:szCs w:val="24"/>
        </w:rPr>
        <w:t xml:space="preserve"> </w:t>
      </w:r>
      <w:proofErr w:type="spellStart"/>
      <w:r>
        <w:rPr>
          <w:color w:val="666666"/>
          <w:sz w:val="24"/>
          <w:szCs w:val="24"/>
        </w:rPr>
        <w:t>Javidi</w:t>
      </w:r>
      <w:proofErr w:type="spellEnd"/>
      <w:r>
        <w:rPr>
          <w:color w:val="666666"/>
          <w:sz w:val="24"/>
          <w:szCs w:val="24"/>
        </w:rPr>
        <w:t xml:space="preserve"> da Costa, Joao Paulo</w:t>
      </w:r>
    </w:p>
    <w:p w:rsidR="00C035F0" w:rsidRDefault="00BC3CC6">
      <w:pPr>
        <w:spacing w:before="60" w:after="60"/>
        <w:jc w:val="center"/>
      </w:pPr>
      <w:r>
        <w:rPr>
          <w:color w:val="666666"/>
          <w:sz w:val="24"/>
          <w:szCs w:val="24"/>
        </w:rPr>
        <w:t>Date: 2nd June 2026</w:t>
      </w:r>
    </w:p>
    <w:p w:rsidR="00C035F0" w:rsidRDefault="00BC3CC6">
      <w:r>
        <w:br w:type="page"/>
      </w:r>
    </w:p>
    <w:p w:rsidR="00C035F0" w:rsidRPr="00F8529A" w:rsidRDefault="00BC3CC6" w:rsidP="00F8529A">
      <w:pPr>
        <w:pStyle w:val="Heading1"/>
        <w:jc w:val="both"/>
        <w:rPr>
          <w:rFonts w:asciiTheme="minorHAnsi" w:hAnsiTheme="minorHAnsi" w:cstheme="minorHAnsi"/>
          <w:sz w:val="24"/>
          <w:szCs w:val="24"/>
        </w:rPr>
      </w:pPr>
      <w:r w:rsidRPr="00F8529A">
        <w:rPr>
          <w:rFonts w:asciiTheme="minorHAnsi" w:hAnsiTheme="minorHAnsi" w:cstheme="minorHAnsi"/>
          <w:sz w:val="24"/>
          <w:szCs w:val="24"/>
        </w:rPr>
        <w:lastRenderedPageBreak/>
        <w:t>1. Introduction</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The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 project, developed at </w:t>
      </w:r>
      <w:proofErr w:type="spellStart"/>
      <w:r w:rsidRPr="00F8529A">
        <w:rPr>
          <w:rFonts w:asciiTheme="minorHAnsi" w:hAnsiTheme="minorHAnsi" w:cstheme="minorHAnsi"/>
          <w:sz w:val="24"/>
          <w:szCs w:val="24"/>
        </w:rPr>
        <w:t>Hochschule</w:t>
      </w:r>
      <w:proofErr w:type="spellEnd"/>
      <w:r w:rsidRPr="00F8529A">
        <w:rPr>
          <w:rFonts w:asciiTheme="minorHAnsi" w:hAnsiTheme="minorHAnsi" w:cstheme="minorHAnsi"/>
          <w:sz w:val="24"/>
          <w:szCs w:val="24"/>
        </w:rPr>
        <w:t xml:space="preserve"> Hamm-Lippstadt (HSHL), aims to produce a wearable health monitoring device capable of collecting, transmitting, and displaying physiological data. As the project matures toward clinical and research applicability, the integration of internationally recognized health data standards becomes not only desirable but essential [1].</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This document outlines the prospects and planned roadmap for integrating HL7 FHIR R4 (Fast Healthcare Interoperability Resources) standards into the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 ecosystem. It describes the motivation, applicable FHIR resource types, sensor requirements, planned system architecture, and the phased implementation plan that will guide future development [2].</w:t>
      </w:r>
    </w:p>
    <w:p w:rsidR="00C035F0" w:rsidRPr="00F8529A" w:rsidRDefault="00BC3CC6" w:rsidP="00F8529A">
      <w:pPr>
        <w:pStyle w:val="Heading1"/>
        <w:jc w:val="both"/>
        <w:rPr>
          <w:rFonts w:asciiTheme="minorHAnsi" w:hAnsiTheme="minorHAnsi" w:cstheme="minorHAnsi"/>
          <w:sz w:val="24"/>
          <w:szCs w:val="24"/>
        </w:rPr>
      </w:pPr>
      <w:r w:rsidRPr="00F8529A">
        <w:rPr>
          <w:rFonts w:asciiTheme="minorHAnsi" w:hAnsiTheme="minorHAnsi" w:cstheme="minorHAnsi"/>
          <w:sz w:val="24"/>
          <w:szCs w:val="24"/>
        </w:rPr>
        <w:t>2. What is HL7 FHIR?</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HL7 FHIR (Fast Healthcare Interoperability Resources) is an international standard published by Health Level Seven International (HL7) for exchanging electronic health records [3]. FHIR defines a set of modular components called Resources — structured data objects that represent clinical concepts such as patients, observations, medications, and diagnoses.</w:t>
      </w:r>
    </w:p>
    <w:p w:rsidR="00C035F0"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FHIR R4 (Release 4) is the current stable version and is widely adopted by hospitals, health apps, insurance systems, and government health platforms globally [4]. Its REST-based API design makes it particularly well-suited for integration with </w:t>
      </w:r>
      <w:proofErr w:type="spellStart"/>
      <w:r w:rsidRPr="00F8529A">
        <w:rPr>
          <w:rFonts w:asciiTheme="minorHAnsi" w:hAnsiTheme="minorHAnsi" w:cstheme="minorHAnsi"/>
          <w:sz w:val="24"/>
          <w:szCs w:val="24"/>
        </w:rPr>
        <w:t>IoT</w:t>
      </w:r>
      <w:proofErr w:type="spellEnd"/>
      <w:r w:rsidRPr="00F8529A">
        <w:rPr>
          <w:rFonts w:asciiTheme="minorHAnsi" w:hAnsiTheme="minorHAnsi" w:cstheme="minorHAnsi"/>
          <w:sz w:val="24"/>
          <w:szCs w:val="24"/>
        </w:rPr>
        <w:t xml:space="preserve"> devices such as wearables [5].</w:t>
      </w:r>
    </w:p>
    <w:p w:rsidR="00F8529A" w:rsidRDefault="00F8529A" w:rsidP="00F8529A">
      <w:pPr>
        <w:spacing w:before="60" w:after="60"/>
        <w:jc w:val="both"/>
        <w:rPr>
          <w:rFonts w:asciiTheme="minorHAnsi" w:hAnsiTheme="minorHAnsi" w:cstheme="minorHAnsi"/>
          <w:sz w:val="24"/>
          <w:szCs w:val="24"/>
        </w:rPr>
      </w:pPr>
    </w:p>
    <w:p w:rsidR="00F8529A" w:rsidRPr="00F8529A" w:rsidRDefault="00F8529A" w:rsidP="00F8529A">
      <w:pPr>
        <w:spacing w:before="60" w:after="60"/>
        <w:jc w:val="center"/>
        <w:rPr>
          <w:rFonts w:asciiTheme="minorHAnsi" w:hAnsiTheme="minorHAnsi" w:cstheme="minorHAnsi"/>
          <w:sz w:val="24"/>
          <w:szCs w:val="24"/>
        </w:rPr>
      </w:pPr>
      <w:r>
        <w:rPr>
          <w:rFonts w:asciiTheme="minorHAnsi" w:hAnsiTheme="minorHAnsi" w:cstheme="minorHAnsi"/>
          <w:noProof/>
          <w:sz w:val="24"/>
          <w:szCs w:val="24"/>
        </w:rPr>
        <w:drawing>
          <wp:inline distT="0" distB="0" distL="0" distR="0">
            <wp:extent cx="2952750" cy="2124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hir.jpeg"/>
                    <pic:cNvPicPr/>
                  </pic:nvPicPr>
                  <pic:blipFill>
                    <a:blip r:embed="rId7">
                      <a:extLst>
                        <a:ext uri="{28A0092B-C50C-407E-A947-70E740481C1C}">
                          <a14:useLocalDpi xmlns:a14="http://schemas.microsoft.com/office/drawing/2010/main" val="0"/>
                        </a:ext>
                      </a:extLst>
                    </a:blip>
                    <a:stretch>
                      <a:fillRect/>
                    </a:stretch>
                  </pic:blipFill>
                  <pic:spPr>
                    <a:xfrm>
                      <a:off x="0" y="0"/>
                      <a:ext cx="2964937" cy="2132842"/>
                    </a:xfrm>
                    <a:prstGeom prst="rect">
                      <a:avLst/>
                    </a:prstGeom>
                  </pic:spPr>
                </pic:pic>
              </a:graphicData>
            </a:graphic>
          </wp:inline>
        </w:drawing>
      </w:r>
    </w:p>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2"/>
        <w:jc w:val="both"/>
        <w:rPr>
          <w:rFonts w:asciiTheme="minorHAnsi" w:hAnsiTheme="minorHAnsi" w:cstheme="minorHAnsi"/>
          <w:sz w:val="24"/>
          <w:szCs w:val="24"/>
        </w:rPr>
      </w:pPr>
      <w:r w:rsidRPr="00F8529A">
        <w:rPr>
          <w:rFonts w:asciiTheme="minorHAnsi" w:hAnsiTheme="minorHAnsi" w:cstheme="minorHAnsi"/>
          <w:sz w:val="24"/>
          <w:szCs w:val="24"/>
        </w:rPr>
        <w:t>2.1 Key FHIR Concepts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026"/>
      </w:tblGrid>
      <w:tr w:rsidR="00C035F0" w:rsidRPr="00F8529A">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Concept</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Description</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 xml:space="preserve">Relevance to </w:t>
            </w:r>
            <w:proofErr w:type="spellStart"/>
            <w:r w:rsidRPr="00F8529A">
              <w:rPr>
                <w:rFonts w:asciiTheme="minorHAnsi" w:hAnsiTheme="minorHAnsi" w:cstheme="minorHAnsi"/>
                <w:b/>
                <w:bCs/>
                <w:color w:val="FFFFFF"/>
                <w:sz w:val="24"/>
                <w:szCs w:val="24"/>
              </w:rPr>
              <w:t>Smartband</w:t>
            </w:r>
            <w:proofErr w:type="spellEnd"/>
            <w:r w:rsidRPr="00F8529A">
              <w:rPr>
                <w:rFonts w:asciiTheme="minorHAnsi" w:hAnsiTheme="minorHAnsi" w:cstheme="minorHAnsi"/>
                <w:b/>
                <w:bCs/>
                <w:color w:val="FFFFFF"/>
                <w:sz w:val="24"/>
                <w:szCs w:val="24"/>
              </w:rPr>
              <w:t xml:space="preserve"> V001</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Resource</w:t>
            </w:r>
          </w:p>
        </w:tc>
        <w:tc>
          <w:tcPr>
            <w:tcW w:w="3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 modular data object representing a clinical concept</w:t>
            </w:r>
          </w:p>
        </w:tc>
        <w:tc>
          <w:tcPr>
            <w:tcW w:w="4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Each sensor reading becomes an Observation resource</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Bundle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 container grouping multiple resources together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All vitals sent as one Bundle per reading cycle</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Patient</w:t>
            </w:r>
          </w:p>
        </w:tc>
        <w:tc>
          <w:tcPr>
            <w:tcW w:w="3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Represents the person wearing the device</w:t>
            </w:r>
          </w:p>
        </w:tc>
        <w:tc>
          <w:tcPr>
            <w:tcW w:w="4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 xml:space="preserve">Each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user has a FHIR Patient resource</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lastRenderedPageBreak/>
              <w:t>Observation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Represents a single measured value (HR, Temp, etc.)</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 xml:space="preserve">Core resource for all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sensor data</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LOINC</w:t>
            </w:r>
          </w:p>
        </w:tc>
        <w:tc>
          <w:tcPr>
            <w:tcW w:w="3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Logical Observation Identifiers Names and Codes — coding system</w:t>
            </w:r>
          </w:p>
        </w:tc>
        <w:tc>
          <w:tcPr>
            <w:tcW w:w="4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Used to code each sensor measurement internationally</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UCUM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Unified Code for Units of Measure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 xml:space="preserve">Standardizes units (bpm, </w:t>
            </w:r>
            <w:proofErr w:type="spellStart"/>
            <w:r w:rsidRPr="00F8529A">
              <w:rPr>
                <w:rFonts w:asciiTheme="minorHAnsi" w:hAnsiTheme="minorHAnsi" w:cstheme="minorHAnsi"/>
                <w:sz w:val="24"/>
                <w:szCs w:val="24"/>
              </w:rPr>
              <w:t>Cel</w:t>
            </w:r>
            <w:proofErr w:type="spellEnd"/>
            <w:r w:rsidRPr="00F8529A">
              <w:rPr>
                <w:rFonts w:asciiTheme="minorHAnsi" w:hAnsiTheme="minorHAnsi" w:cstheme="minorHAnsi"/>
                <w:sz w:val="24"/>
                <w:szCs w:val="24"/>
              </w:rPr>
              <w:t>, [g], kcal)</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REST API</w:t>
            </w:r>
          </w:p>
        </w:tc>
        <w:tc>
          <w:tcPr>
            <w:tcW w:w="3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HTTP-based interface for accessing FHIR resources</w:t>
            </w:r>
          </w:p>
        </w:tc>
        <w:tc>
          <w:tcPr>
            <w:tcW w:w="4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server exposes /</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 endpoints</w:t>
            </w:r>
          </w:p>
        </w:tc>
      </w:tr>
    </w:tbl>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1"/>
        <w:jc w:val="both"/>
        <w:rPr>
          <w:rFonts w:asciiTheme="minorHAnsi" w:hAnsiTheme="minorHAnsi" w:cstheme="minorHAnsi"/>
          <w:sz w:val="24"/>
          <w:szCs w:val="24"/>
        </w:rPr>
      </w:pPr>
      <w:r w:rsidRPr="00F8529A">
        <w:rPr>
          <w:rFonts w:asciiTheme="minorHAnsi" w:hAnsiTheme="minorHAnsi" w:cstheme="minorHAnsi"/>
          <w:sz w:val="24"/>
          <w:szCs w:val="24"/>
        </w:rPr>
        <w:t xml:space="preserve">3. Why FHIR for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Wearable health devices generate continuous streams of physiological data. Without a standard format, this data remains </w:t>
      </w:r>
      <w:proofErr w:type="spellStart"/>
      <w:r w:rsidRPr="00F8529A">
        <w:rPr>
          <w:rFonts w:asciiTheme="minorHAnsi" w:hAnsiTheme="minorHAnsi" w:cstheme="minorHAnsi"/>
          <w:sz w:val="24"/>
          <w:szCs w:val="24"/>
        </w:rPr>
        <w:t>siloed</w:t>
      </w:r>
      <w:proofErr w:type="spellEnd"/>
      <w:r w:rsidRPr="00F8529A">
        <w:rPr>
          <w:rFonts w:asciiTheme="minorHAnsi" w:hAnsiTheme="minorHAnsi" w:cstheme="minorHAnsi"/>
          <w:sz w:val="24"/>
          <w:szCs w:val="24"/>
        </w:rPr>
        <w:t xml:space="preserve"> — it cannot be consumed by hospital systems, shared between healthcare providers, or compared across different devices [6]. FHIR solves this by providing a universal language for health data.</w:t>
      </w:r>
    </w:p>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2"/>
        <w:jc w:val="both"/>
        <w:rPr>
          <w:rFonts w:asciiTheme="minorHAnsi" w:hAnsiTheme="minorHAnsi" w:cstheme="minorHAnsi"/>
          <w:sz w:val="24"/>
          <w:szCs w:val="24"/>
        </w:rPr>
      </w:pPr>
      <w:r w:rsidRPr="00F8529A">
        <w:rPr>
          <w:rFonts w:asciiTheme="minorHAnsi" w:hAnsiTheme="minorHAnsi" w:cstheme="minorHAnsi"/>
          <w:sz w:val="24"/>
          <w:szCs w:val="24"/>
        </w:rPr>
        <w:t>3.1 Core Motivations</w:t>
      </w:r>
    </w:p>
    <w:p w:rsidR="00C035F0" w:rsidRPr="00F8529A" w:rsidRDefault="00BC3CC6" w:rsidP="00F8529A">
      <w:pPr>
        <w:pStyle w:val="ListParagraph"/>
        <w:numPr>
          <w:ilvl w:val="0"/>
          <w:numId w:val="2"/>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Interoperability — FHIR-compliant data can be consumed by any EHR system, hospital platform, or health app that supports the standard, without custom integration work [3].</w:t>
      </w:r>
    </w:p>
    <w:p w:rsidR="00C035F0" w:rsidRPr="00F8529A" w:rsidRDefault="00BC3CC6" w:rsidP="00F8529A">
      <w:pPr>
        <w:pStyle w:val="ListParagraph"/>
        <w:numPr>
          <w:ilvl w:val="0"/>
          <w:numId w:val="2"/>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Clinical Validity — Using LOINC codes and UCUM units ensures that sensor readings are interpreted correctly by clinicians and automated systems alike [7].</w:t>
      </w:r>
    </w:p>
    <w:p w:rsidR="00C035F0" w:rsidRPr="00F8529A" w:rsidRDefault="00BC3CC6" w:rsidP="00F8529A">
      <w:pPr>
        <w:pStyle w:val="ListParagraph"/>
        <w:numPr>
          <w:ilvl w:val="0"/>
          <w:numId w:val="2"/>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Research Applicability — FHIR-formatted data can be directly imported into clinical research platforms and data analysis tools [8].</w:t>
      </w:r>
    </w:p>
    <w:p w:rsidR="00C035F0" w:rsidRPr="00F8529A" w:rsidRDefault="00BC3CC6" w:rsidP="00F8529A">
      <w:pPr>
        <w:pStyle w:val="ListParagraph"/>
        <w:numPr>
          <w:ilvl w:val="0"/>
          <w:numId w:val="2"/>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Regulatory Alignment — Many healthcare regulations and certification frameworks (MDR in Europe, FDA in the US) increasingly require or encourage FHIR compliance for medical devices [9].</w:t>
      </w:r>
    </w:p>
    <w:p w:rsidR="00C035F0" w:rsidRPr="00F8529A" w:rsidRDefault="00BC3CC6" w:rsidP="00F8529A">
      <w:pPr>
        <w:pStyle w:val="ListParagraph"/>
        <w:numPr>
          <w:ilvl w:val="0"/>
          <w:numId w:val="2"/>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Scalability — A FHIR-based architecture scales naturally from a single patient to a hospital-wide deployment of thousands of devices [4].</w:t>
      </w:r>
    </w:p>
    <w:p w:rsidR="00C035F0" w:rsidRPr="00F8529A" w:rsidRDefault="00BC3CC6" w:rsidP="00F8529A">
      <w:pPr>
        <w:pStyle w:val="ListParagraph"/>
        <w:numPr>
          <w:ilvl w:val="0"/>
          <w:numId w:val="2"/>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Doctor-Patient Workflow — FHIR enables structured clinical workflows where doctors can view, annotate, and act on patient data through standardized interfaces [5].</w:t>
      </w:r>
    </w:p>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1"/>
        <w:jc w:val="both"/>
        <w:rPr>
          <w:rFonts w:asciiTheme="minorHAnsi" w:hAnsiTheme="minorHAnsi" w:cstheme="minorHAnsi"/>
          <w:sz w:val="24"/>
          <w:szCs w:val="24"/>
        </w:rPr>
      </w:pPr>
      <w:r w:rsidRPr="00F8529A">
        <w:rPr>
          <w:rFonts w:asciiTheme="minorHAnsi" w:hAnsiTheme="minorHAnsi" w:cstheme="minorHAnsi"/>
          <w:sz w:val="24"/>
          <w:szCs w:val="24"/>
        </w:rPr>
        <w:t>4. Sensor Requirements and FHIR Resource Mapping</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The following table maps each planned sensor on the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 to its corresponding FHIR Observation resource, LOINC code, and UCUM unit [7]. This mapping defines the data contract that the device will expose via its FHIR API.</w:t>
      </w:r>
    </w:p>
    <w:p w:rsidR="00C035F0" w:rsidRPr="00F8529A" w:rsidRDefault="00C035F0" w:rsidP="00F8529A">
      <w:pPr>
        <w:spacing w:before="80" w:after="80"/>
        <w:jc w:val="both"/>
        <w:rPr>
          <w:rFonts w:asciiTheme="minorHAnsi" w:hAnsiTheme="minorHAnsi" w:cs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1673"/>
        <w:gridCol w:w="1405"/>
        <w:gridCol w:w="1104"/>
        <w:gridCol w:w="1066"/>
        <w:gridCol w:w="1534"/>
      </w:tblGrid>
      <w:tr w:rsidR="00C035F0" w:rsidRPr="00F8529A">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lastRenderedPageBreak/>
              <w:t>Sensor</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Measurement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Hardware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LOINC Code</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UCUM Unit</w:t>
            </w:r>
          </w:p>
        </w:tc>
        <w:tc>
          <w:tcPr>
            <w:tcW w:w="1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Status</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Optical HR Sensor</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Heart Rate</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MAX30102</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8867-4</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/min</w:t>
            </w:r>
          </w:p>
        </w:tc>
        <w:tc>
          <w:tcPr>
            <w:tcW w:w="1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Planned — on PCB</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Optical HR Sensor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SpO2 (Blood Oxygen)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MAX30102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2708-6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Planned — on PCB</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Temperature Sensor</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Body Temperature</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MLX90632</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8310-5</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proofErr w:type="spellStart"/>
            <w:r w:rsidRPr="00F8529A">
              <w:rPr>
                <w:rFonts w:asciiTheme="minorHAnsi" w:hAnsiTheme="minorHAnsi" w:cstheme="minorHAnsi"/>
                <w:sz w:val="24"/>
                <w:szCs w:val="24"/>
              </w:rPr>
              <w:t>Cel</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Planned — on PCB</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Accelerometer/Gyro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Acceleration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MPU-6050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80493-0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Planned — on PCB</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Accelerometer/Gyro</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Step Count</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MPU-6050</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55423-8</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steps</w:t>
            </w:r>
          </w:p>
        </w:tc>
        <w:tc>
          <w:tcPr>
            <w:tcW w:w="1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Calculated</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Accelerometer/Gyro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Activity Level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MPU-6050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77592-7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score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Calculated</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HR + Steps</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Calories Burned</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Calculated</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41981-2</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kcal</w:t>
            </w:r>
          </w:p>
        </w:tc>
        <w:tc>
          <w:tcPr>
            <w:tcW w:w="1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Calculated</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HR + Demographics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Heart Rate Variability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MAX30102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80404-7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proofErr w:type="spellStart"/>
            <w:r w:rsidRPr="00F8529A">
              <w:rPr>
                <w:rFonts w:asciiTheme="minorHAnsi" w:hAnsiTheme="minorHAnsi" w:cstheme="minorHAnsi"/>
                <w:sz w:val="24"/>
                <w:szCs w:val="24"/>
              </w:rPr>
              <w:t>ms</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Future</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Future — GSR Sensor</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Stress Level</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GSR/EDA</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74767-6</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score</w:t>
            </w:r>
          </w:p>
        </w:tc>
        <w:tc>
          <w:tcPr>
            <w:tcW w:w="1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Future hardware</w:t>
            </w:r>
          </w:p>
        </w:tc>
      </w:tr>
      <w:tr w:rsidR="00C035F0" w:rsidRPr="00F8529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Future — BP Sensor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Blood Pressure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Cuff/PPG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55284-4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mm[Hg]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Future hardware</w:t>
            </w:r>
          </w:p>
        </w:tc>
      </w:tr>
    </w:tbl>
    <w:p w:rsidR="00C035F0" w:rsidRPr="00F8529A" w:rsidRDefault="00BC3CC6" w:rsidP="00F8529A">
      <w:pPr>
        <w:pStyle w:val="Heading2"/>
        <w:jc w:val="both"/>
        <w:rPr>
          <w:rFonts w:asciiTheme="minorHAnsi" w:hAnsiTheme="minorHAnsi" w:cstheme="minorHAnsi"/>
          <w:sz w:val="24"/>
          <w:szCs w:val="24"/>
        </w:rPr>
      </w:pPr>
      <w:r w:rsidRPr="00F8529A">
        <w:rPr>
          <w:rFonts w:asciiTheme="minorHAnsi" w:hAnsiTheme="minorHAnsi" w:cstheme="minorHAnsi"/>
          <w:sz w:val="24"/>
          <w:szCs w:val="24"/>
        </w:rPr>
        <w:t>4.1 Future Sensor Additions</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The following sensors are not currently on the PCB but are planned for future hardware revisions. Each sensor expands the FHIR Observation coverage and clinical value of the device [13].</w:t>
      </w:r>
    </w:p>
    <w:p w:rsidR="00C035F0" w:rsidRPr="00F8529A" w:rsidRDefault="00C035F0" w:rsidP="00F8529A">
      <w:pPr>
        <w:spacing w:before="80" w:after="80"/>
        <w:jc w:val="both"/>
        <w:rPr>
          <w:rFonts w:asciiTheme="minorHAnsi" w:hAnsiTheme="minorHAnsi" w:cs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1500"/>
        <w:gridCol w:w="3026"/>
      </w:tblGrid>
      <w:tr w:rsidR="00C035F0" w:rsidRPr="00F8529A">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Sensor</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Measurement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LOINC Code</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Clinical Value</w:t>
            </w:r>
          </w:p>
        </w:tc>
      </w:tr>
      <w:tr w:rsidR="00C035F0" w:rsidRPr="00F8529A">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GSR / EDA Sensor</w:t>
            </w:r>
          </w:p>
        </w:tc>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Galvanic Skin Response (Stress)</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74767-6</w:t>
            </w:r>
          </w:p>
        </w:tc>
        <w:tc>
          <w:tcPr>
            <w:tcW w:w="3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Mental health and stress monitoring</w:t>
            </w:r>
          </w:p>
        </w:tc>
      </w:tr>
      <w:tr w:rsidR="00C035F0" w:rsidRPr="00F8529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Blood Pressure Module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Systolic / Diastolic BP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55284-4</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Cardiovascular health monitoring</w:t>
            </w:r>
          </w:p>
        </w:tc>
      </w:tr>
      <w:tr w:rsidR="00C035F0" w:rsidRPr="00F8529A">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ECG Module</w:t>
            </w:r>
          </w:p>
        </w:tc>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Electrocardiogram</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11524-6</w:t>
            </w:r>
          </w:p>
        </w:tc>
        <w:tc>
          <w:tcPr>
            <w:tcW w:w="3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Cardiac arrhythmia detection</w:t>
            </w:r>
          </w:p>
        </w:tc>
      </w:tr>
      <w:tr w:rsidR="00C035F0" w:rsidRPr="00F8529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Blood Glucose Sensor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Blood Glucose Level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15074-8</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Diabetes management</w:t>
            </w:r>
          </w:p>
        </w:tc>
      </w:tr>
      <w:tr w:rsidR="00C035F0" w:rsidRPr="00F8529A">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Respiratory Rate Sensor</w:t>
            </w:r>
          </w:p>
        </w:tc>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Breathing Rate</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9279-1</w:t>
            </w:r>
          </w:p>
        </w:tc>
        <w:tc>
          <w:tcPr>
            <w:tcW w:w="3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Respiratory health monitoring</w:t>
            </w:r>
          </w:p>
        </w:tc>
      </w:tr>
    </w:tbl>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spacing w:before="180" w:after="60"/>
        <w:jc w:val="both"/>
        <w:rPr>
          <w:rFonts w:asciiTheme="minorHAnsi" w:hAnsiTheme="minorHAnsi" w:cstheme="minorHAnsi"/>
          <w:sz w:val="24"/>
          <w:szCs w:val="24"/>
        </w:rPr>
      </w:pPr>
      <w:r w:rsidRPr="00F8529A">
        <w:rPr>
          <w:rFonts w:asciiTheme="minorHAnsi" w:hAnsiTheme="minorHAnsi" w:cstheme="minorHAnsi"/>
          <w:b/>
          <w:bCs/>
          <w:color w:val="2E75B6"/>
          <w:sz w:val="24"/>
          <w:szCs w:val="24"/>
        </w:rPr>
        <w:t>GSR / EDA Sensor — Galvanic Skin Response</w:t>
      </w:r>
    </w:p>
    <w:p w:rsidR="00C035F0" w:rsidRPr="00F8529A" w:rsidRDefault="00F8529A" w:rsidP="00F8529A">
      <w:pPr>
        <w:spacing w:before="80" w:after="80"/>
        <w:jc w:val="both"/>
        <w:rPr>
          <w:rFonts w:asciiTheme="minorHAnsi" w:hAnsiTheme="minorHAnsi" w:cstheme="minorHAnsi"/>
          <w:sz w:val="24"/>
          <w:szCs w:val="24"/>
        </w:rPr>
      </w:pPr>
      <w:r w:rsidRPr="00F8529A">
        <w:rPr>
          <w:rFonts w:asciiTheme="minorHAnsi" w:hAnsiTheme="minorHAnsi" w:cstheme="minorHAnsi"/>
          <w:sz w:val="24"/>
          <w:szCs w:val="24"/>
        </w:rPr>
        <w:t xml:space="preserve">A Galvanic Skin Response (GSR) or </w:t>
      </w:r>
      <w:proofErr w:type="spellStart"/>
      <w:r w:rsidRPr="00F8529A">
        <w:rPr>
          <w:rFonts w:asciiTheme="minorHAnsi" w:hAnsiTheme="minorHAnsi" w:cstheme="minorHAnsi"/>
          <w:sz w:val="24"/>
          <w:szCs w:val="24"/>
        </w:rPr>
        <w:t>Electrodermal</w:t>
      </w:r>
      <w:proofErr w:type="spellEnd"/>
      <w:r w:rsidRPr="00F8529A">
        <w:rPr>
          <w:rFonts w:asciiTheme="minorHAnsi" w:hAnsiTheme="minorHAnsi" w:cstheme="minorHAnsi"/>
          <w:sz w:val="24"/>
          <w:szCs w:val="24"/>
        </w:rPr>
        <w:t xml:space="preserve"> Activity (EDA) sensor measures changes in skin conductance caused by sweat gland activity, which correlates with emotional arousal and stress [14]. Recommended module: Grove GSR Sensor v1.2 (</w:t>
      </w:r>
      <w:proofErr w:type="spellStart"/>
      <w:r w:rsidRPr="00F8529A">
        <w:rPr>
          <w:rFonts w:asciiTheme="minorHAnsi" w:hAnsiTheme="minorHAnsi" w:cstheme="minorHAnsi"/>
          <w:sz w:val="24"/>
          <w:szCs w:val="24"/>
        </w:rPr>
        <w:t>Seeed</w:t>
      </w:r>
      <w:proofErr w:type="spellEnd"/>
      <w:r w:rsidRPr="00F8529A">
        <w:rPr>
          <w:rFonts w:asciiTheme="minorHAnsi" w:hAnsiTheme="minorHAnsi" w:cstheme="minorHAnsi"/>
          <w:sz w:val="24"/>
          <w:szCs w:val="24"/>
        </w:rPr>
        <w:t xml:space="preserve"> Studio SKU 101020052) or AD8232-based EDA breakout. Interface: Analog ADC. Supply: 3.3V. Requires two skin contact electrodes on the wrist. Would provide FHIR Observation for Stress Level (LOINC 74767-6).</w:t>
      </w:r>
    </w:p>
    <w:p w:rsidR="00F8529A" w:rsidRPr="00F8529A" w:rsidRDefault="00F8529A" w:rsidP="00F8529A">
      <w:pPr>
        <w:spacing w:before="80" w:after="80"/>
        <w:jc w:val="center"/>
        <w:rPr>
          <w:rFonts w:asciiTheme="minorHAnsi" w:hAnsiTheme="minorHAnsi" w:cstheme="minorHAnsi"/>
          <w:sz w:val="24"/>
          <w:szCs w:val="24"/>
        </w:rPr>
      </w:pPr>
      <w:r w:rsidRPr="00F8529A">
        <w:rPr>
          <w:rFonts w:asciiTheme="minorHAnsi" w:hAnsiTheme="minorHAnsi" w:cstheme="minorHAnsi"/>
          <w:noProof/>
          <w:sz w:val="24"/>
          <w:szCs w:val="24"/>
        </w:rPr>
        <w:drawing>
          <wp:inline distT="0" distB="0" distL="0" distR="0">
            <wp:extent cx="1081973" cy="120015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r skin.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6788" cy="1227675"/>
                    </a:xfrm>
                    <a:prstGeom prst="rect">
                      <a:avLst/>
                    </a:prstGeom>
                  </pic:spPr>
                </pic:pic>
              </a:graphicData>
            </a:graphic>
          </wp:inline>
        </w:drawing>
      </w:r>
    </w:p>
    <w:p w:rsidR="00C035F0" w:rsidRPr="00F8529A" w:rsidRDefault="00BC3CC6" w:rsidP="00F8529A">
      <w:pPr>
        <w:spacing w:before="180" w:after="60"/>
        <w:jc w:val="both"/>
        <w:rPr>
          <w:rFonts w:asciiTheme="minorHAnsi" w:hAnsiTheme="minorHAnsi" w:cstheme="minorHAnsi"/>
          <w:sz w:val="24"/>
          <w:szCs w:val="24"/>
        </w:rPr>
      </w:pPr>
      <w:r w:rsidRPr="00F8529A">
        <w:rPr>
          <w:rFonts w:asciiTheme="minorHAnsi" w:hAnsiTheme="minorHAnsi" w:cstheme="minorHAnsi"/>
          <w:b/>
          <w:bCs/>
          <w:color w:val="2E75B6"/>
          <w:sz w:val="24"/>
          <w:szCs w:val="24"/>
        </w:rPr>
        <w:t>Blood Pressure Module</w:t>
      </w:r>
    </w:p>
    <w:p w:rsidR="00C035F0" w:rsidRPr="00F8529A" w:rsidRDefault="00F8529A" w:rsidP="00F8529A">
      <w:pPr>
        <w:spacing w:before="80" w:after="80"/>
        <w:jc w:val="both"/>
        <w:rPr>
          <w:rFonts w:asciiTheme="minorHAnsi" w:hAnsiTheme="minorHAnsi" w:cstheme="minorHAnsi"/>
          <w:sz w:val="24"/>
          <w:szCs w:val="24"/>
        </w:rPr>
      </w:pPr>
      <w:r w:rsidRPr="00F8529A">
        <w:rPr>
          <w:rFonts w:asciiTheme="minorHAnsi" w:hAnsiTheme="minorHAnsi" w:cstheme="minorHAnsi"/>
          <w:sz w:val="24"/>
          <w:szCs w:val="24"/>
        </w:rPr>
        <w:t>Wearable blood pressure sensing can be achieved via PPG (</w:t>
      </w:r>
      <w:proofErr w:type="spellStart"/>
      <w:r w:rsidRPr="00F8529A">
        <w:rPr>
          <w:rFonts w:asciiTheme="minorHAnsi" w:hAnsiTheme="minorHAnsi" w:cstheme="minorHAnsi"/>
          <w:sz w:val="24"/>
          <w:szCs w:val="24"/>
        </w:rPr>
        <w:t>Photoplethysmography</w:t>
      </w:r>
      <w:proofErr w:type="spellEnd"/>
      <w:r w:rsidRPr="00F8529A">
        <w:rPr>
          <w:rFonts w:asciiTheme="minorHAnsi" w:hAnsiTheme="minorHAnsi" w:cstheme="minorHAnsi"/>
          <w:sz w:val="24"/>
          <w:szCs w:val="24"/>
        </w:rPr>
        <w:t xml:space="preserve">) waveform analysis from the MAX30102 combined with calibration, or via a dedicated module such as the Omron </w:t>
      </w:r>
      <w:proofErr w:type="spellStart"/>
      <w:r w:rsidRPr="00F8529A">
        <w:rPr>
          <w:rFonts w:asciiTheme="minorHAnsi" w:hAnsiTheme="minorHAnsi" w:cstheme="minorHAnsi"/>
          <w:sz w:val="24"/>
          <w:szCs w:val="24"/>
        </w:rPr>
        <w:t>MicroBP</w:t>
      </w:r>
      <w:proofErr w:type="spellEnd"/>
      <w:r w:rsidRPr="00F8529A">
        <w:rPr>
          <w:rFonts w:asciiTheme="minorHAnsi" w:hAnsiTheme="minorHAnsi" w:cstheme="minorHAnsi"/>
          <w:sz w:val="24"/>
          <w:szCs w:val="24"/>
        </w:rPr>
        <w:t xml:space="preserve"> or the BP2 module from </w:t>
      </w:r>
      <w:proofErr w:type="spellStart"/>
      <w:r w:rsidRPr="00F8529A">
        <w:rPr>
          <w:rFonts w:asciiTheme="minorHAnsi" w:hAnsiTheme="minorHAnsi" w:cstheme="minorHAnsi"/>
          <w:sz w:val="24"/>
          <w:szCs w:val="24"/>
        </w:rPr>
        <w:t>ProtoCentral</w:t>
      </w:r>
      <w:proofErr w:type="spellEnd"/>
      <w:r w:rsidRPr="00F8529A">
        <w:rPr>
          <w:rFonts w:asciiTheme="minorHAnsi" w:hAnsiTheme="minorHAnsi" w:cstheme="minorHAnsi"/>
          <w:sz w:val="24"/>
          <w:szCs w:val="24"/>
        </w:rPr>
        <w:t>. Would provide FHIR Observations for Systolic and Diastolic Blood Pressure (LOINC 55284-4, unit: mm[Hg]) [15]. Critical for cardiovascular disease monitoring and hypertension management.</w:t>
      </w:r>
    </w:p>
    <w:p w:rsidR="00F8529A" w:rsidRPr="00F8529A" w:rsidRDefault="00F8529A" w:rsidP="00F8529A">
      <w:pPr>
        <w:spacing w:before="80" w:after="80"/>
        <w:jc w:val="center"/>
        <w:rPr>
          <w:rFonts w:asciiTheme="minorHAnsi" w:hAnsiTheme="minorHAnsi" w:cstheme="minorHAnsi"/>
          <w:sz w:val="24"/>
          <w:szCs w:val="24"/>
        </w:rPr>
      </w:pPr>
      <w:r w:rsidRPr="00F8529A">
        <w:rPr>
          <w:rFonts w:asciiTheme="minorHAnsi" w:hAnsiTheme="minorHAnsi" w:cstheme="minorHAnsi"/>
          <w:noProof/>
          <w:sz w:val="24"/>
          <w:szCs w:val="24"/>
        </w:rPr>
        <w:drawing>
          <wp:inline distT="0" distB="0" distL="0" distR="0">
            <wp:extent cx="1417875" cy="1062038"/>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1).jpeg"/>
                    <pic:cNvPicPr/>
                  </pic:nvPicPr>
                  <pic:blipFill>
                    <a:blip r:embed="rId9">
                      <a:extLst>
                        <a:ext uri="{28A0092B-C50C-407E-A947-70E740481C1C}">
                          <a14:useLocalDpi xmlns:a14="http://schemas.microsoft.com/office/drawing/2010/main" val="0"/>
                        </a:ext>
                      </a:extLst>
                    </a:blip>
                    <a:stretch>
                      <a:fillRect/>
                    </a:stretch>
                  </pic:blipFill>
                  <pic:spPr>
                    <a:xfrm>
                      <a:off x="0" y="0"/>
                      <a:ext cx="1443021" cy="1080873"/>
                    </a:xfrm>
                    <a:prstGeom prst="rect">
                      <a:avLst/>
                    </a:prstGeom>
                  </pic:spPr>
                </pic:pic>
              </a:graphicData>
            </a:graphic>
          </wp:inline>
        </w:drawing>
      </w:r>
    </w:p>
    <w:p w:rsidR="00C035F0" w:rsidRPr="00F8529A" w:rsidRDefault="00BC3CC6" w:rsidP="00F8529A">
      <w:pPr>
        <w:spacing w:before="180" w:after="60"/>
        <w:jc w:val="both"/>
        <w:rPr>
          <w:rFonts w:asciiTheme="minorHAnsi" w:hAnsiTheme="minorHAnsi" w:cstheme="minorHAnsi"/>
          <w:sz w:val="24"/>
          <w:szCs w:val="24"/>
        </w:rPr>
      </w:pPr>
      <w:r w:rsidRPr="00F8529A">
        <w:rPr>
          <w:rFonts w:asciiTheme="minorHAnsi" w:hAnsiTheme="minorHAnsi" w:cstheme="minorHAnsi"/>
          <w:b/>
          <w:bCs/>
          <w:color w:val="2E75B6"/>
          <w:sz w:val="24"/>
          <w:szCs w:val="24"/>
        </w:rPr>
        <w:t>ECG Module</w:t>
      </w:r>
    </w:p>
    <w:p w:rsidR="00C035F0" w:rsidRPr="00F8529A" w:rsidRDefault="00F8529A" w:rsidP="00F8529A">
      <w:pPr>
        <w:spacing w:before="80" w:after="80"/>
        <w:jc w:val="both"/>
        <w:rPr>
          <w:rFonts w:asciiTheme="minorHAnsi" w:hAnsiTheme="minorHAnsi" w:cstheme="minorHAnsi"/>
          <w:sz w:val="24"/>
          <w:szCs w:val="24"/>
        </w:rPr>
      </w:pPr>
      <w:r w:rsidRPr="00F8529A">
        <w:rPr>
          <w:rFonts w:asciiTheme="minorHAnsi" w:hAnsiTheme="minorHAnsi" w:cstheme="minorHAnsi"/>
          <w:sz w:val="24"/>
          <w:szCs w:val="24"/>
        </w:rPr>
        <w:t xml:space="preserve">The AD8232 (Analog Devices) is a single-lead ECG front-end chip widely available as a breakout module [16]. Recommended module: </w:t>
      </w:r>
      <w:proofErr w:type="spellStart"/>
      <w:r w:rsidRPr="00F8529A">
        <w:rPr>
          <w:rFonts w:asciiTheme="minorHAnsi" w:hAnsiTheme="minorHAnsi" w:cstheme="minorHAnsi"/>
          <w:sz w:val="24"/>
          <w:szCs w:val="24"/>
        </w:rPr>
        <w:t>SparkFun</w:t>
      </w:r>
      <w:proofErr w:type="spellEnd"/>
      <w:r w:rsidRPr="00F8529A">
        <w:rPr>
          <w:rFonts w:asciiTheme="minorHAnsi" w:hAnsiTheme="minorHAnsi" w:cstheme="minorHAnsi"/>
          <w:sz w:val="24"/>
          <w:szCs w:val="24"/>
        </w:rPr>
        <w:t xml:space="preserve"> Single Lead Heart Rate Monitor AD8232 (DEV-12650) or similar. Interface: Analog ADC. Supply: 3.3V. Requires two to three electrode contact points (RA, LA, RL). Would provide FHIR Observation for Electrocardiogram (LOINC 11524-6). Can detect arrhythmia, atrial fibrillation, and other cardiac events.</w:t>
      </w:r>
    </w:p>
    <w:p w:rsidR="00F8529A" w:rsidRPr="00F8529A" w:rsidRDefault="00F8529A" w:rsidP="00F8529A">
      <w:pPr>
        <w:spacing w:before="80" w:after="80"/>
        <w:jc w:val="center"/>
        <w:rPr>
          <w:rFonts w:asciiTheme="minorHAnsi" w:hAnsiTheme="minorHAnsi" w:cstheme="minorHAnsi"/>
          <w:sz w:val="24"/>
          <w:szCs w:val="24"/>
        </w:rPr>
      </w:pPr>
      <w:r w:rsidRPr="00F8529A">
        <w:rPr>
          <w:rFonts w:asciiTheme="minorHAnsi" w:hAnsiTheme="minorHAnsi" w:cstheme="minorHAnsi"/>
          <w:noProof/>
          <w:sz w:val="24"/>
          <w:szCs w:val="24"/>
        </w:rPr>
        <w:drawing>
          <wp:inline distT="0" distB="0" distL="0" distR="0">
            <wp:extent cx="1296485" cy="1343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8232.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20201" cy="1367593"/>
                    </a:xfrm>
                    <a:prstGeom prst="rect">
                      <a:avLst/>
                    </a:prstGeom>
                  </pic:spPr>
                </pic:pic>
              </a:graphicData>
            </a:graphic>
          </wp:inline>
        </w:drawing>
      </w:r>
    </w:p>
    <w:p w:rsidR="00BC3CC6" w:rsidRPr="00F8529A" w:rsidRDefault="00BC3CC6" w:rsidP="00F8529A">
      <w:pPr>
        <w:spacing w:before="180" w:after="60"/>
        <w:jc w:val="both"/>
        <w:rPr>
          <w:rFonts w:asciiTheme="minorHAnsi" w:hAnsiTheme="minorHAnsi" w:cstheme="minorHAnsi"/>
          <w:b/>
          <w:bCs/>
          <w:color w:val="2E75B6"/>
          <w:sz w:val="24"/>
          <w:szCs w:val="24"/>
        </w:rPr>
      </w:pPr>
    </w:p>
    <w:p w:rsidR="00C035F0" w:rsidRPr="00F8529A" w:rsidRDefault="00BC3CC6" w:rsidP="00F8529A">
      <w:pPr>
        <w:spacing w:before="180" w:after="60"/>
        <w:jc w:val="both"/>
        <w:rPr>
          <w:rFonts w:asciiTheme="minorHAnsi" w:hAnsiTheme="minorHAnsi" w:cstheme="minorHAnsi"/>
          <w:sz w:val="24"/>
          <w:szCs w:val="24"/>
        </w:rPr>
      </w:pPr>
      <w:r w:rsidRPr="00F8529A">
        <w:rPr>
          <w:rFonts w:asciiTheme="minorHAnsi" w:hAnsiTheme="minorHAnsi" w:cstheme="minorHAnsi"/>
          <w:b/>
          <w:bCs/>
          <w:color w:val="2E75B6"/>
          <w:sz w:val="24"/>
          <w:szCs w:val="24"/>
        </w:rPr>
        <w:t>Blood Glucose Sensor</w:t>
      </w:r>
    </w:p>
    <w:p w:rsidR="00C035F0" w:rsidRPr="00F8529A" w:rsidRDefault="00F8529A" w:rsidP="00F8529A">
      <w:pPr>
        <w:spacing w:before="80" w:after="80"/>
        <w:jc w:val="both"/>
        <w:rPr>
          <w:rFonts w:asciiTheme="minorHAnsi" w:hAnsiTheme="minorHAnsi" w:cstheme="minorHAnsi"/>
          <w:sz w:val="24"/>
          <w:szCs w:val="24"/>
        </w:rPr>
      </w:pPr>
      <w:r w:rsidRPr="00F8529A">
        <w:rPr>
          <w:rFonts w:asciiTheme="minorHAnsi" w:hAnsiTheme="minorHAnsi" w:cstheme="minorHAnsi"/>
          <w:sz w:val="24"/>
          <w:szCs w:val="24"/>
        </w:rPr>
        <w:t>Non-invasive continuous glucose monitoring (CGM) using near-infrared spectroscopy is an emerging wearable technology. For a prototype, the Texas Instruments AFE4490 optical front-</w:t>
      </w:r>
      <w:r w:rsidRPr="00F8529A">
        <w:rPr>
          <w:rFonts w:asciiTheme="minorHAnsi" w:hAnsiTheme="minorHAnsi" w:cstheme="minorHAnsi"/>
          <w:sz w:val="24"/>
          <w:szCs w:val="24"/>
        </w:rPr>
        <w:lastRenderedPageBreak/>
        <w:t xml:space="preserve">end paired with NIR LEDs can be evaluated [17]. Alternatively, invasive CGM patches (e.g. Abbott </w:t>
      </w:r>
      <w:proofErr w:type="spellStart"/>
      <w:r w:rsidRPr="00F8529A">
        <w:rPr>
          <w:rFonts w:asciiTheme="minorHAnsi" w:hAnsiTheme="minorHAnsi" w:cstheme="minorHAnsi"/>
          <w:sz w:val="24"/>
          <w:szCs w:val="24"/>
        </w:rPr>
        <w:t>FreeStyle</w:t>
      </w:r>
      <w:proofErr w:type="spellEnd"/>
      <w:r w:rsidRPr="00F8529A">
        <w:rPr>
          <w:rFonts w:asciiTheme="minorHAnsi" w:hAnsiTheme="minorHAnsi" w:cstheme="minorHAnsi"/>
          <w:sz w:val="24"/>
          <w:szCs w:val="24"/>
        </w:rPr>
        <w:t xml:space="preserve"> </w:t>
      </w:r>
      <w:proofErr w:type="spellStart"/>
      <w:r w:rsidRPr="00F8529A">
        <w:rPr>
          <w:rFonts w:asciiTheme="minorHAnsi" w:hAnsiTheme="minorHAnsi" w:cstheme="minorHAnsi"/>
          <w:sz w:val="24"/>
          <w:szCs w:val="24"/>
        </w:rPr>
        <w:t>Libre</w:t>
      </w:r>
      <w:proofErr w:type="spellEnd"/>
      <w:r w:rsidRPr="00F8529A">
        <w:rPr>
          <w:rFonts w:asciiTheme="minorHAnsi" w:hAnsiTheme="minorHAnsi" w:cstheme="minorHAnsi"/>
          <w:sz w:val="24"/>
          <w:szCs w:val="24"/>
        </w:rPr>
        <w:t xml:space="preserve"> chip) can provide interstitial glucose. Would provide FHIR Observation for Blood Glucose Level (LOINC 15074-8, unit: </w:t>
      </w:r>
      <w:proofErr w:type="spellStart"/>
      <w:r w:rsidRPr="00F8529A">
        <w:rPr>
          <w:rFonts w:asciiTheme="minorHAnsi" w:hAnsiTheme="minorHAnsi" w:cstheme="minorHAnsi"/>
          <w:sz w:val="24"/>
          <w:szCs w:val="24"/>
        </w:rPr>
        <w:t>mmol</w:t>
      </w:r>
      <w:proofErr w:type="spellEnd"/>
      <w:r w:rsidRPr="00F8529A">
        <w:rPr>
          <w:rFonts w:asciiTheme="minorHAnsi" w:hAnsiTheme="minorHAnsi" w:cstheme="minorHAnsi"/>
          <w:sz w:val="24"/>
          <w:szCs w:val="24"/>
        </w:rPr>
        <w:t>/L). High clinical demand for CGM in wearables for diabetes management.</w:t>
      </w:r>
    </w:p>
    <w:p w:rsidR="00F8529A" w:rsidRPr="00F8529A" w:rsidRDefault="00F8529A" w:rsidP="00F8529A">
      <w:pPr>
        <w:spacing w:before="80" w:after="80"/>
        <w:jc w:val="center"/>
        <w:rPr>
          <w:rFonts w:asciiTheme="minorHAnsi" w:hAnsiTheme="minorHAnsi" w:cstheme="minorHAnsi"/>
          <w:sz w:val="24"/>
          <w:szCs w:val="24"/>
        </w:rPr>
      </w:pPr>
      <w:r w:rsidRPr="00F8529A">
        <w:rPr>
          <w:rFonts w:asciiTheme="minorHAnsi" w:hAnsiTheme="minorHAnsi" w:cstheme="minorHAnsi"/>
          <w:noProof/>
          <w:sz w:val="24"/>
          <w:szCs w:val="24"/>
        </w:rPr>
        <w:drawing>
          <wp:inline distT="0" distB="0" distL="0" distR="0">
            <wp:extent cx="1568202" cy="123348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ulse.jpeg"/>
                    <pic:cNvPicPr/>
                  </pic:nvPicPr>
                  <pic:blipFill>
                    <a:blip r:embed="rId11">
                      <a:extLst>
                        <a:ext uri="{28A0092B-C50C-407E-A947-70E740481C1C}">
                          <a14:useLocalDpi xmlns:a14="http://schemas.microsoft.com/office/drawing/2010/main" val="0"/>
                        </a:ext>
                      </a:extLst>
                    </a:blip>
                    <a:stretch>
                      <a:fillRect/>
                    </a:stretch>
                  </pic:blipFill>
                  <pic:spPr>
                    <a:xfrm>
                      <a:off x="0" y="0"/>
                      <a:ext cx="1568202" cy="1233487"/>
                    </a:xfrm>
                    <a:prstGeom prst="rect">
                      <a:avLst/>
                    </a:prstGeom>
                  </pic:spPr>
                </pic:pic>
              </a:graphicData>
            </a:graphic>
          </wp:inline>
        </w:drawing>
      </w:r>
    </w:p>
    <w:p w:rsidR="00C035F0" w:rsidRPr="00F8529A" w:rsidRDefault="00BC3CC6" w:rsidP="00F8529A">
      <w:pPr>
        <w:spacing w:before="180" w:after="60"/>
        <w:jc w:val="both"/>
        <w:rPr>
          <w:rFonts w:asciiTheme="minorHAnsi" w:hAnsiTheme="minorHAnsi" w:cstheme="minorHAnsi"/>
          <w:b/>
          <w:bCs/>
          <w:color w:val="2E75B6"/>
          <w:sz w:val="24"/>
          <w:szCs w:val="24"/>
        </w:rPr>
      </w:pPr>
      <w:r w:rsidRPr="00F8529A">
        <w:rPr>
          <w:rFonts w:asciiTheme="minorHAnsi" w:hAnsiTheme="minorHAnsi" w:cstheme="minorHAnsi"/>
          <w:b/>
          <w:bCs/>
          <w:color w:val="2E75B6"/>
          <w:sz w:val="24"/>
          <w:szCs w:val="24"/>
        </w:rPr>
        <w:t>Respiratory Rate Sensor</w:t>
      </w:r>
    </w:p>
    <w:p w:rsidR="00F8529A" w:rsidRPr="00F8529A" w:rsidRDefault="00F8529A" w:rsidP="00F8529A">
      <w:pPr>
        <w:spacing w:before="180" w:after="60"/>
        <w:jc w:val="both"/>
        <w:rPr>
          <w:rFonts w:asciiTheme="minorHAnsi" w:hAnsiTheme="minorHAnsi" w:cstheme="minorHAnsi"/>
          <w:sz w:val="24"/>
          <w:szCs w:val="24"/>
        </w:rPr>
      </w:pPr>
      <w:r w:rsidRPr="00F8529A">
        <w:rPr>
          <w:rFonts w:asciiTheme="minorHAnsi" w:hAnsiTheme="minorHAnsi" w:cstheme="minorHAnsi"/>
          <w:sz w:val="24"/>
          <w:szCs w:val="24"/>
        </w:rPr>
        <w:t xml:space="preserve">Respiratory rate can be derived from the existing MPU-6050 accelerometer data (chest movement analysis) or from the MAX30102 PPG signal (respiratory sinus arrhythmia). For a dedicated sensor, the MEMS-based TDK </w:t>
      </w:r>
      <w:proofErr w:type="spellStart"/>
      <w:r w:rsidRPr="00F8529A">
        <w:rPr>
          <w:rFonts w:asciiTheme="minorHAnsi" w:hAnsiTheme="minorHAnsi" w:cstheme="minorHAnsi"/>
          <w:sz w:val="24"/>
          <w:szCs w:val="24"/>
        </w:rPr>
        <w:t>InvenSense</w:t>
      </w:r>
      <w:proofErr w:type="spellEnd"/>
      <w:r w:rsidRPr="00F8529A">
        <w:rPr>
          <w:rFonts w:asciiTheme="minorHAnsi" w:hAnsiTheme="minorHAnsi" w:cstheme="minorHAnsi"/>
          <w:sz w:val="24"/>
          <w:szCs w:val="24"/>
        </w:rPr>
        <w:t xml:space="preserve"> ICM-42688-P provides higher precision motion data suitable for breathing pattern analysis [18]. Would provide FHIR Observation for Breathing Rate (LOINC 9279-1, unit: /min). Elevated respiratory rate is an early indicator of sepsis and critical illness.</w:t>
      </w:r>
    </w:p>
    <w:p w:rsidR="00C035F0" w:rsidRPr="00F8529A" w:rsidRDefault="00F8529A" w:rsidP="00F8529A">
      <w:pPr>
        <w:spacing w:before="80" w:after="80"/>
        <w:jc w:val="center"/>
        <w:rPr>
          <w:rFonts w:asciiTheme="minorHAnsi" w:hAnsiTheme="minorHAnsi" w:cstheme="minorHAnsi"/>
          <w:sz w:val="24"/>
          <w:szCs w:val="24"/>
        </w:rPr>
      </w:pPr>
      <w:r w:rsidRPr="00F8529A">
        <w:rPr>
          <w:rFonts w:asciiTheme="minorHAnsi" w:hAnsiTheme="minorHAnsi" w:cstheme="minorHAnsi"/>
          <w:noProof/>
          <w:sz w:val="24"/>
          <w:szCs w:val="24"/>
        </w:rPr>
        <w:drawing>
          <wp:inline distT="0" distB="0" distL="0" distR="0">
            <wp:extent cx="1463260" cy="1662113"/>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piratory.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78892" cy="1679869"/>
                    </a:xfrm>
                    <a:prstGeom prst="rect">
                      <a:avLst/>
                    </a:prstGeom>
                  </pic:spPr>
                </pic:pic>
              </a:graphicData>
            </a:graphic>
          </wp:inline>
        </w:drawing>
      </w:r>
    </w:p>
    <w:p w:rsidR="00C035F0" w:rsidRPr="00F8529A" w:rsidRDefault="00BC3CC6" w:rsidP="00F8529A">
      <w:pPr>
        <w:pStyle w:val="Heading1"/>
        <w:jc w:val="both"/>
        <w:rPr>
          <w:rFonts w:asciiTheme="minorHAnsi" w:hAnsiTheme="minorHAnsi" w:cstheme="minorHAnsi"/>
          <w:sz w:val="24"/>
          <w:szCs w:val="24"/>
        </w:rPr>
      </w:pPr>
      <w:r w:rsidRPr="00F8529A">
        <w:rPr>
          <w:rFonts w:asciiTheme="minorHAnsi" w:hAnsiTheme="minorHAnsi" w:cstheme="minorHAnsi"/>
          <w:sz w:val="24"/>
          <w:szCs w:val="24"/>
        </w:rPr>
        <w:t>5. Planned FHIR System Architecture</w:t>
      </w:r>
    </w:p>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 xml:space="preserve">The planned FHIR integration architecture for the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 ecosystem consists of four layers, each building on the previous to create a complete health data pipeline from sensor to clinical system [5].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C035F0" w:rsidRPr="00F8529A">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Component</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Responsibility</w:t>
            </w:r>
          </w:p>
        </w:tc>
      </w:tr>
      <w:tr w:rsidR="00C035F0" w:rsidRPr="00F8529A">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Layer 1 — Sensing</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Band01_Rev1 Hardware</w:t>
            </w:r>
          </w:p>
        </w:tc>
        <w:tc>
          <w:tcPr>
            <w:tcW w:w="4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Collect raw physiological data from sensors via I2C/SPI</w:t>
            </w:r>
          </w:p>
        </w:tc>
      </w:tr>
      <w:tr w:rsidR="00C035F0" w:rsidRPr="00F8529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Layer 2 — Processing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CC2640R2F Firmware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Process raw data, apply calibration, transmit via BLE</w:t>
            </w:r>
          </w:p>
        </w:tc>
      </w:tr>
      <w:tr w:rsidR="00C035F0" w:rsidRPr="00F8529A">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Layer 3 — Gateway</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Raspberry Pi 5 + Flask Server</w:t>
            </w:r>
          </w:p>
        </w:tc>
        <w:tc>
          <w:tcPr>
            <w:tcW w:w="4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Receive BLE data, structure as FHIR R4 resources, expose REST API</w:t>
            </w:r>
          </w:p>
        </w:tc>
      </w:tr>
      <w:tr w:rsidR="00C035F0" w:rsidRPr="00F8529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Layer 4 — Consumption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Hospital EHR / Phone App</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Consume FHIR API, display to clinicians and patients</w:t>
            </w:r>
          </w:p>
        </w:tc>
      </w:tr>
    </w:tbl>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lastRenderedPageBreak/>
        <w:t>The key transformation happens at Layer 3. Raw sensor values arriving via BLE are mapped to FHIR Observation resources with proper LOINC codes and UCUM units before being stored and exposed via the REST API. This means any downstream consumer — regardless of vendor — can interpret the data correctly without custom mapping [4].</w:t>
      </w:r>
    </w:p>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2"/>
        <w:jc w:val="both"/>
        <w:rPr>
          <w:rFonts w:asciiTheme="minorHAnsi" w:hAnsiTheme="minorHAnsi" w:cstheme="minorHAnsi"/>
          <w:sz w:val="24"/>
          <w:szCs w:val="24"/>
        </w:rPr>
      </w:pPr>
      <w:r w:rsidRPr="00F8529A">
        <w:rPr>
          <w:rFonts w:asciiTheme="minorHAnsi" w:hAnsiTheme="minorHAnsi" w:cstheme="minorHAnsi"/>
          <w:sz w:val="24"/>
          <w:szCs w:val="24"/>
        </w:rPr>
        <w:t>5.2 Planned FHIR API Endpoints</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The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 gateway server will expose the following FHIR R4 compliant REST endpoints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826"/>
      </w:tblGrid>
      <w:tr w:rsidR="00C035F0" w:rsidRPr="00F8529A">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Endpoint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Resource Type</w:t>
            </w:r>
          </w:p>
        </w:tc>
        <w:tc>
          <w:tcPr>
            <w:tcW w:w="3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Description</w:t>
            </w:r>
          </w:p>
        </w:tc>
      </w:tr>
      <w:tr w:rsidR="00C035F0" w:rsidRPr="00F8529A">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/patient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Patient Bundle</w:t>
            </w:r>
          </w:p>
        </w:tc>
        <w:tc>
          <w:tcPr>
            <w:tcW w:w="3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All registered patients with demographics</w:t>
            </w:r>
          </w:p>
        </w:tc>
      </w:tr>
      <w:tr w:rsidR="00C035F0" w:rsidRPr="00F852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/patient/{id}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Patient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Individual patient resource by ID</w:t>
            </w:r>
          </w:p>
        </w:tc>
      </w:tr>
      <w:tr w:rsidR="00C035F0" w:rsidRPr="00F8529A">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/observation</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Bundle</w:t>
            </w:r>
          </w:p>
        </w:tc>
        <w:tc>
          <w:tcPr>
            <w:tcW w:w="3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All current vital observations for active patient</w:t>
            </w:r>
          </w:p>
        </w:tc>
      </w:tr>
      <w:tr w:rsidR="00C035F0" w:rsidRPr="00F852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/observation/hr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Observation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Heart Rate (LOINC 8867-4)</w:t>
            </w:r>
          </w:p>
        </w:tc>
      </w:tr>
      <w:tr w:rsidR="00C035F0" w:rsidRPr="00F8529A">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/observation/spo2</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Observation</w:t>
            </w:r>
          </w:p>
        </w:tc>
        <w:tc>
          <w:tcPr>
            <w:tcW w:w="3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Blood Oxygen (LOINC 2708-6)</w:t>
            </w:r>
          </w:p>
        </w:tc>
      </w:tr>
      <w:tr w:rsidR="00C035F0" w:rsidRPr="00F852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/observation/temp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Observation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Body Temperature (LOINC 8310-5)</w:t>
            </w:r>
          </w:p>
        </w:tc>
      </w:tr>
      <w:tr w:rsidR="00C035F0" w:rsidRPr="00F8529A">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/observation/</w:t>
            </w:r>
            <w:proofErr w:type="spellStart"/>
            <w:r w:rsidRPr="00F8529A">
              <w:rPr>
                <w:rFonts w:asciiTheme="minorHAnsi" w:hAnsiTheme="minorHAnsi" w:cstheme="minorHAnsi"/>
                <w:sz w:val="24"/>
                <w:szCs w:val="24"/>
              </w:rPr>
              <w:t>acc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Observation</w:t>
            </w:r>
          </w:p>
        </w:tc>
        <w:tc>
          <w:tcPr>
            <w:tcW w:w="3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Acceleration (LOINC 80493-0)</w:t>
            </w:r>
          </w:p>
        </w:tc>
      </w:tr>
      <w:tr w:rsidR="00C035F0" w:rsidRPr="00F852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/observation/steps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Observation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Step Count (LOINC 55423-8)</w:t>
            </w:r>
          </w:p>
        </w:tc>
      </w:tr>
      <w:tr w:rsidR="00C035F0" w:rsidRPr="00F8529A">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/observation/calories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Observation</w:t>
            </w:r>
          </w:p>
        </w:tc>
        <w:tc>
          <w:tcPr>
            <w:tcW w:w="3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Calories Burned (LOINC 41981-2)</w:t>
            </w:r>
          </w:p>
        </w:tc>
      </w:tr>
      <w:tr w:rsidR="00C035F0" w:rsidRPr="00F852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/observation/history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Bundle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Historical observation bundle (last N readings)</w:t>
            </w:r>
          </w:p>
        </w:tc>
      </w:tr>
      <w:tr w:rsidR="00C035F0" w:rsidRPr="00F8529A">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/condition</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Condition</w:t>
            </w:r>
          </w:p>
        </w:tc>
        <w:tc>
          <w:tcPr>
            <w:tcW w:w="3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Detected health conditions / alerts</w:t>
            </w:r>
          </w:p>
        </w:tc>
      </w:tr>
      <w:tr w:rsidR="00C035F0" w:rsidRPr="00F852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/practitioner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Practitioner</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Assigned healthcare provider</w:t>
            </w:r>
          </w:p>
        </w:tc>
      </w:tr>
      <w:tr w:rsidR="00C035F0" w:rsidRPr="00F8529A">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api</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fhir</w:t>
            </w:r>
            <w:proofErr w:type="spellEnd"/>
            <w:r w:rsidRPr="00F8529A">
              <w:rPr>
                <w:rFonts w:asciiTheme="minorHAnsi" w:hAnsiTheme="minorHAnsi" w:cstheme="minorHAnsi"/>
                <w:sz w:val="24"/>
                <w:szCs w:val="24"/>
              </w:rPr>
              <w:t>/</w:t>
            </w:r>
            <w:proofErr w:type="spellStart"/>
            <w:r w:rsidRPr="00F8529A">
              <w:rPr>
                <w:rFonts w:asciiTheme="minorHAnsi" w:hAnsiTheme="minorHAnsi" w:cstheme="minorHAnsi"/>
                <w:sz w:val="24"/>
                <w:szCs w:val="24"/>
              </w:rPr>
              <w:t>careplan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proofErr w:type="spellStart"/>
            <w:r w:rsidRPr="00F8529A">
              <w:rPr>
                <w:rFonts w:asciiTheme="minorHAnsi" w:hAnsiTheme="minorHAnsi" w:cstheme="minorHAnsi"/>
                <w:sz w:val="24"/>
                <w:szCs w:val="24"/>
              </w:rPr>
              <w:t>CarePlan</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Patient monitoring and care instructions</w:t>
            </w:r>
          </w:p>
        </w:tc>
      </w:tr>
    </w:tbl>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1"/>
        <w:jc w:val="both"/>
        <w:rPr>
          <w:rFonts w:asciiTheme="minorHAnsi" w:hAnsiTheme="minorHAnsi" w:cstheme="minorHAnsi"/>
          <w:sz w:val="24"/>
          <w:szCs w:val="24"/>
        </w:rPr>
      </w:pPr>
      <w:r w:rsidRPr="00F8529A">
        <w:rPr>
          <w:rFonts w:asciiTheme="minorHAnsi" w:hAnsiTheme="minorHAnsi" w:cstheme="minorHAnsi"/>
          <w:sz w:val="24"/>
          <w:szCs w:val="24"/>
        </w:rPr>
        <w:t>6. Planned Clinical Workflow</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A key goal of the FHIR integration is to enable a meaningful clinical workflow where healthcare providers can monitor patients remotely, receive alerts, and document clinical decisions — all through a standards-based interface [6].</w:t>
      </w:r>
    </w:p>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2"/>
        <w:jc w:val="both"/>
        <w:rPr>
          <w:rFonts w:asciiTheme="minorHAnsi" w:hAnsiTheme="minorHAnsi" w:cstheme="minorHAnsi"/>
          <w:sz w:val="24"/>
          <w:szCs w:val="24"/>
        </w:rPr>
      </w:pPr>
      <w:r w:rsidRPr="00F8529A">
        <w:rPr>
          <w:rFonts w:asciiTheme="minorHAnsi" w:hAnsiTheme="minorHAnsi" w:cstheme="minorHAnsi"/>
          <w:sz w:val="24"/>
          <w:szCs w:val="24"/>
        </w:rPr>
        <w:t>6.1 Patient Monitoring Workflow</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 xml:space="preserve">Patient wears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 which continuously collects HR, temperature, SpO2, and acceleration data.</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lastRenderedPageBreak/>
        <w:t>Firmware on CC2640R2F transmits data via BLE to the Raspberry Pi gateway.</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Gateway structures data as FHIR Observation resources and stores them.</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Doctor opens the web app or connects their EHR system to the FHIR API.</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Doctor views live vitals, historical trends, and alert history for each patient.</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Doctor updates patient status (Normal / Under Observation / Critical) and adds clinical notes.</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Status updates are stored as FHIR Condition resources and reflected immediately on all connected devices.</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Emergency alerts are pushed via FHIR Subscription to the doctor's device when thresholds are exceeded.</w:t>
      </w:r>
    </w:p>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2"/>
        <w:jc w:val="both"/>
        <w:rPr>
          <w:rFonts w:asciiTheme="minorHAnsi" w:hAnsiTheme="minorHAnsi" w:cstheme="minorHAnsi"/>
          <w:sz w:val="24"/>
          <w:szCs w:val="24"/>
        </w:rPr>
      </w:pPr>
      <w:r w:rsidRPr="00F8529A">
        <w:rPr>
          <w:rFonts w:asciiTheme="minorHAnsi" w:hAnsiTheme="minorHAnsi" w:cstheme="minorHAnsi"/>
          <w:sz w:val="24"/>
          <w:szCs w:val="24"/>
        </w:rPr>
        <w:t>6.2 FHIR Resources Used in Clinical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226"/>
      </w:tblGrid>
      <w:tr w:rsidR="00C035F0" w:rsidRPr="00F8529A">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FHIR Resource</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Used For</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When</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Observation</w:t>
            </w:r>
          </w:p>
        </w:tc>
        <w:tc>
          <w:tcPr>
            <w:tcW w:w="3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Each sensor reading</w:t>
            </w:r>
          </w:p>
        </w:tc>
        <w:tc>
          <w:tcPr>
            <w:tcW w:w="3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Every 2 seconds continuously</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Patient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Patient demographics and device assignment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On registration and updates</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Condition</w:t>
            </w:r>
          </w:p>
        </w:tc>
        <w:tc>
          <w:tcPr>
            <w:tcW w:w="3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Diagnosed or detected health conditions</w:t>
            </w:r>
          </w:p>
        </w:tc>
        <w:tc>
          <w:tcPr>
            <w:tcW w:w="3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When doctor adds a clinical note</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Practitioner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Doctor details and credentials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On doctor login</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proofErr w:type="spellStart"/>
            <w:r w:rsidRPr="00F8529A">
              <w:rPr>
                <w:rFonts w:asciiTheme="minorHAnsi" w:hAnsiTheme="minorHAnsi" w:cstheme="minorHAnsi"/>
                <w:sz w:val="24"/>
                <w:szCs w:val="24"/>
              </w:rPr>
              <w:t>CarePlan</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Monitoring plan and threshold instructions</w:t>
            </w:r>
          </w:p>
        </w:tc>
        <w:tc>
          <w:tcPr>
            <w:tcW w:w="3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Set by doctor per patient</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proofErr w:type="spellStart"/>
            <w:r w:rsidRPr="00F8529A">
              <w:rPr>
                <w:rFonts w:asciiTheme="minorHAnsi" w:hAnsiTheme="minorHAnsi" w:cstheme="minorHAnsi"/>
                <w:sz w:val="24"/>
                <w:szCs w:val="24"/>
              </w:rPr>
              <w:t>AllergyIntolerance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Patient allergies relevant to care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During patient registration</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proofErr w:type="spellStart"/>
            <w:r w:rsidRPr="00F8529A">
              <w:rPr>
                <w:rFonts w:asciiTheme="minorHAnsi" w:hAnsiTheme="minorHAnsi" w:cstheme="minorHAnsi"/>
                <w:sz w:val="24"/>
                <w:szCs w:val="24"/>
              </w:rPr>
              <w:t>AuditEvent</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Log of all accesses and changes for compliance</w:t>
            </w:r>
          </w:p>
        </w:tc>
        <w:tc>
          <w:tcPr>
            <w:tcW w:w="3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Continuously for audit trail</w:t>
            </w:r>
          </w:p>
        </w:tc>
      </w:tr>
    </w:tbl>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1"/>
        <w:jc w:val="both"/>
        <w:rPr>
          <w:rFonts w:asciiTheme="minorHAnsi" w:hAnsiTheme="minorHAnsi" w:cstheme="minorHAnsi"/>
          <w:sz w:val="24"/>
          <w:szCs w:val="24"/>
        </w:rPr>
      </w:pPr>
      <w:r w:rsidRPr="00F8529A">
        <w:rPr>
          <w:rFonts w:asciiTheme="minorHAnsi" w:hAnsiTheme="minorHAnsi" w:cstheme="minorHAnsi"/>
          <w:sz w:val="24"/>
          <w:szCs w:val="24"/>
        </w:rPr>
        <w:t>7. Phased Implementation Plan</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The FHIR integration will be implemented in phases, with each phase building on the previous. This approach allows the project to demonstrate incremental progress while managing complexity [2].</w:t>
      </w:r>
    </w:p>
    <w:p w:rsidR="00C035F0" w:rsidRPr="00F8529A" w:rsidRDefault="00C035F0" w:rsidP="00F8529A">
      <w:pPr>
        <w:spacing w:before="80" w:after="80"/>
        <w:jc w:val="both"/>
        <w:rPr>
          <w:rFonts w:asciiTheme="minorHAnsi" w:hAnsiTheme="minorHAnsi" w:cs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400"/>
        <w:gridCol w:w="1826"/>
      </w:tblGrid>
      <w:tr w:rsidR="00C035F0" w:rsidRPr="00F8529A">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Focus</w:t>
            </w:r>
          </w:p>
        </w:tc>
        <w:tc>
          <w:tcPr>
            <w:tcW w:w="4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Key Deliverables</w:t>
            </w:r>
          </w:p>
        </w:tc>
        <w:tc>
          <w:tcPr>
            <w:tcW w:w="1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Timeline</w:t>
            </w:r>
          </w:p>
        </w:tc>
      </w:tr>
      <w:tr w:rsidR="00C035F0" w:rsidRPr="00F8529A">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Phase 1</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Foundation</w:t>
            </w:r>
          </w:p>
        </w:tc>
        <w:tc>
          <w:tcPr>
            <w:tcW w:w="4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FHIR Patient and Observation resources, LOINC coding, REST API endpoints, basic phone app</w:t>
            </w:r>
          </w:p>
        </w:tc>
        <w:tc>
          <w:tcPr>
            <w:tcW w:w="1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Current phase</w:t>
            </w:r>
          </w:p>
        </w:tc>
      </w:tr>
      <w:tr w:rsidR="00C035F0" w:rsidRPr="00F8529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lastRenderedPageBreak/>
              <w:t>Phase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Real Sensor Data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Activate firmware sensor reads, replace simulated data with real MAX30102/MPU-6050/MLX90632 readings via BLE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After PCB assembly</w:t>
            </w:r>
          </w:p>
        </w:tc>
      </w:tr>
      <w:tr w:rsidR="00C035F0" w:rsidRPr="00F8529A">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Phase 3</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Clinical Workflow</w:t>
            </w:r>
          </w:p>
        </w:tc>
        <w:tc>
          <w:tcPr>
            <w:tcW w:w="4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 xml:space="preserve">FHIR Condition, </w:t>
            </w:r>
            <w:proofErr w:type="spellStart"/>
            <w:r w:rsidRPr="00F8529A">
              <w:rPr>
                <w:rFonts w:asciiTheme="minorHAnsi" w:hAnsiTheme="minorHAnsi" w:cstheme="minorHAnsi"/>
                <w:sz w:val="24"/>
                <w:szCs w:val="24"/>
              </w:rPr>
              <w:t>CarePlan</w:t>
            </w:r>
            <w:proofErr w:type="spellEnd"/>
            <w:r w:rsidRPr="00F8529A">
              <w:rPr>
                <w:rFonts w:asciiTheme="minorHAnsi" w:hAnsiTheme="minorHAnsi" w:cstheme="minorHAnsi"/>
                <w:sz w:val="24"/>
                <w:szCs w:val="24"/>
              </w:rPr>
              <w:t>, Practitioner resources, doctor dashboard with full FHIR backend, FHIR Subscription alerts</w:t>
            </w:r>
          </w:p>
        </w:tc>
        <w:tc>
          <w:tcPr>
            <w:tcW w:w="1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Following Phase 2</w:t>
            </w:r>
          </w:p>
        </w:tc>
      </w:tr>
      <w:tr w:rsidR="00C035F0" w:rsidRPr="00F8529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Phase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EHR Integration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Connect to external FHIR server (HAPI FHIR), validate with FHIR validator, integrate with hospital EHR system</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Advanced phase</w:t>
            </w:r>
          </w:p>
        </w:tc>
      </w:tr>
      <w:tr w:rsidR="00C035F0" w:rsidRPr="00F8529A">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Phase 5</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Certification</w:t>
            </w:r>
          </w:p>
        </w:tc>
        <w:tc>
          <w:tcPr>
            <w:tcW w:w="4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Evaluate compliance with EU MDR, GDPR data handling, HL7 FHIR conformance testing, ISO 13485</w:t>
            </w:r>
          </w:p>
        </w:tc>
        <w:tc>
          <w:tcPr>
            <w:tcW w:w="1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Final phase</w:t>
            </w:r>
          </w:p>
        </w:tc>
      </w:tr>
    </w:tbl>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1"/>
        <w:jc w:val="both"/>
        <w:rPr>
          <w:rFonts w:asciiTheme="minorHAnsi" w:hAnsiTheme="minorHAnsi" w:cstheme="minorHAnsi"/>
          <w:sz w:val="24"/>
          <w:szCs w:val="24"/>
        </w:rPr>
      </w:pPr>
      <w:r w:rsidRPr="00F8529A">
        <w:rPr>
          <w:rFonts w:asciiTheme="minorHAnsi" w:hAnsiTheme="minorHAnsi" w:cstheme="minorHAnsi"/>
          <w:sz w:val="24"/>
          <w:szCs w:val="24"/>
        </w:rPr>
        <w:t>8. FHIR Server Options</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For production deployment, the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 system will need to connect to a dedicated FHIR server [4]. The following options are being considered:</w:t>
      </w:r>
    </w:p>
    <w:p w:rsidR="00C035F0" w:rsidRPr="00F8529A" w:rsidRDefault="00C035F0" w:rsidP="00F8529A">
      <w:pPr>
        <w:spacing w:before="80" w:after="80"/>
        <w:jc w:val="both"/>
        <w:rPr>
          <w:rFonts w:asciiTheme="minorHAnsi" w:hAnsiTheme="minorHAnsi" w:cs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400"/>
        <w:gridCol w:w="3426"/>
      </w:tblGrid>
      <w:tr w:rsidR="00C035F0" w:rsidRPr="00F8529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Server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Cost</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Best For</w:t>
            </w:r>
          </w:p>
        </w:tc>
      </w:tr>
      <w:tr w:rsidR="00C035F0" w:rsidRPr="00F8529A">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HAPI FHIR</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Open source Java server</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Free</w:t>
            </w:r>
          </w:p>
        </w:tc>
        <w:tc>
          <w:tcPr>
            <w:tcW w:w="34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Self-hosted production deployment, full FHIR R4 compliance</w:t>
            </w:r>
          </w:p>
        </w:tc>
      </w:tr>
      <w:tr w:rsidR="00C035F0" w:rsidRPr="00F8529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Azure Health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Cloud FHIR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Pay per use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Cloud-scale deployment with Azure integration</w:t>
            </w:r>
          </w:p>
        </w:tc>
      </w:tr>
      <w:tr w:rsidR="00C035F0" w:rsidRPr="00F8529A">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 xml:space="preserve">AWS </w:t>
            </w:r>
            <w:proofErr w:type="spellStart"/>
            <w:r w:rsidRPr="00F8529A">
              <w:rPr>
                <w:rFonts w:asciiTheme="minorHAnsi" w:hAnsiTheme="minorHAnsi" w:cstheme="minorHAnsi"/>
                <w:sz w:val="24"/>
                <w:szCs w:val="24"/>
              </w:rPr>
              <w:t>HealthLake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Cloud FHIR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Pay per use</w:t>
            </w:r>
          </w:p>
        </w:tc>
        <w:tc>
          <w:tcPr>
            <w:tcW w:w="34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Amazon ecosystem, ML-ready health data lake</w:t>
            </w:r>
          </w:p>
        </w:tc>
      </w:tr>
      <w:tr w:rsidR="00C035F0" w:rsidRPr="00F8529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Google Cloud FHIR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Cloud FHIR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Pay per use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proofErr w:type="spellStart"/>
            <w:r w:rsidRPr="00F8529A">
              <w:rPr>
                <w:rFonts w:asciiTheme="minorHAnsi" w:hAnsiTheme="minorHAnsi" w:cstheme="minorHAnsi"/>
                <w:sz w:val="24"/>
                <w:szCs w:val="24"/>
              </w:rPr>
              <w:t>BigQuery</w:t>
            </w:r>
            <w:proofErr w:type="spellEnd"/>
            <w:r w:rsidRPr="00F8529A">
              <w:rPr>
                <w:rFonts w:asciiTheme="minorHAnsi" w:hAnsiTheme="minorHAnsi" w:cstheme="minorHAnsi"/>
                <w:sz w:val="24"/>
                <w:szCs w:val="24"/>
              </w:rPr>
              <w:t xml:space="preserve"> integration for research analytics</w:t>
            </w:r>
          </w:p>
        </w:tc>
      </w:tr>
      <w:tr w:rsidR="00C035F0" w:rsidRPr="00F8529A">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proofErr w:type="spellStart"/>
            <w:r w:rsidRPr="00F8529A">
              <w:rPr>
                <w:rFonts w:asciiTheme="minorHAnsi" w:hAnsiTheme="minorHAnsi" w:cstheme="minorHAnsi"/>
                <w:sz w:val="24"/>
                <w:szCs w:val="24"/>
              </w:rPr>
              <w:t>Firely</w:t>
            </w:r>
            <w:proofErr w:type="spellEnd"/>
            <w:r w:rsidRPr="00F8529A">
              <w:rPr>
                <w:rFonts w:asciiTheme="minorHAnsi" w:hAnsiTheme="minorHAnsi" w:cstheme="minorHAnsi"/>
                <w:sz w:val="24"/>
                <w:szCs w:val="24"/>
              </w:rPr>
              <w:t xml:space="preserve"> Server</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Commercial FHIR server</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Licensed</w:t>
            </w:r>
          </w:p>
        </w:tc>
        <w:tc>
          <w:tcPr>
            <w:tcW w:w="34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Enterprise deployment with full support</w:t>
            </w:r>
          </w:p>
        </w:tc>
      </w:tr>
      <w:tr w:rsidR="00C035F0" w:rsidRPr="00F8529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proofErr w:type="spellStart"/>
            <w:r w:rsidRPr="00F8529A">
              <w:rPr>
                <w:rFonts w:asciiTheme="minorHAnsi" w:hAnsiTheme="minorHAnsi" w:cstheme="minorHAnsi"/>
                <w:sz w:val="24"/>
                <w:szCs w:val="24"/>
              </w:rPr>
              <w:t>SmileCDR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Commercial FHIR platform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Licensed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Hospital-grade deployment with compliance tools</w:t>
            </w:r>
          </w:p>
        </w:tc>
      </w:tr>
    </w:tbl>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For the academic project scope, HAPI FHIR running locally on a server or cloud VM is the recommended option due to its open-source nature and full FHIR R4 compliance [4].</w:t>
      </w:r>
    </w:p>
    <w:p w:rsidR="00126BCC" w:rsidRDefault="00126BCC" w:rsidP="00F8529A">
      <w:pPr>
        <w:pStyle w:val="Heading1"/>
        <w:jc w:val="both"/>
        <w:rPr>
          <w:rFonts w:asciiTheme="minorHAnsi" w:hAnsiTheme="minorHAnsi" w:cstheme="minorHAnsi"/>
          <w:b w:val="0"/>
          <w:bCs w:val="0"/>
          <w:color w:val="auto"/>
          <w:sz w:val="24"/>
          <w:szCs w:val="24"/>
        </w:rPr>
      </w:pPr>
    </w:p>
    <w:p w:rsidR="00C035F0" w:rsidRPr="00F8529A" w:rsidRDefault="00BC3CC6" w:rsidP="00F8529A">
      <w:pPr>
        <w:pStyle w:val="Heading1"/>
        <w:jc w:val="both"/>
        <w:rPr>
          <w:rFonts w:asciiTheme="minorHAnsi" w:hAnsiTheme="minorHAnsi" w:cstheme="minorHAnsi"/>
          <w:sz w:val="24"/>
          <w:szCs w:val="24"/>
        </w:rPr>
      </w:pPr>
      <w:r w:rsidRPr="00F8529A">
        <w:rPr>
          <w:rFonts w:asciiTheme="minorHAnsi" w:hAnsiTheme="minorHAnsi" w:cstheme="minorHAnsi"/>
          <w:sz w:val="24"/>
          <w:szCs w:val="24"/>
        </w:rPr>
        <w:lastRenderedPageBreak/>
        <w:t>9. Data Privacy and Compliance Considerations</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Health data is among the most sensitive categories of personal data under GDPR in the European Union [9]. Any FHIR implementation for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 must address the following compliance requirements:</w:t>
      </w:r>
    </w:p>
    <w:p w:rsidR="00C035F0" w:rsidRPr="00F8529A" w:rsidRDefault="00C035F0" w:rsidP="00F8529A">
      <w:pPr>
        <w:spacing w:before="80" w:after="80"/>
        <w:jc w:val="both"/>
        <w:rPr>
          <w:rFonts w:asciiTheme="minorHAnsi" w:hAnsiTheme="minorHAnsi" w:cs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C035F0" w:rsidRPr="00F8529A">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Standard / Regulation</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Planned Approach</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Data Encryption in Transit</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GDPR Article 32, TLS</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HTTPS/TLS for all FHIR API communication</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Data Encryption at Rest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GDPR Article 32</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Encrypted storage for all patient data on server</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Patient Consent</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GDPR Article 7</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Explicit consent recorded as FHIR Consent resource</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Right to Erasure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GDPR Article 17</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FHIR DELETE operations for patient data removal</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Access Control</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GDPR Article 25, HIPAA</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OAuth 2.0 / SMART on FHIR authentication</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Audit Logging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ISO 27001, HIPAA</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 xml:space="preserve">FHIR </w:t>
            </w:r>
            <w:proofErr w:type="spellStart"/>
            <w:r w:rsidRPr="00F8529A">
              <w:rPr>
                <w:rFonts w:asciiTheme="minorHAnsi" w:hAnsiTheme="minorHAnsi" w:cstheme="minorHAnsi"/>
                <w:sz w:val="24"/>
                <w:szCs w:val="24"/>
              </w:rPr>
              <w:t>AuditEvent</w:t>
            </w:r>
            <w:proofErr w:type="spellEnd"/>
            <w:r w:rsidRPr="00F8529A">
              <w:rPr>
                <w:rFonts w:asciiTheme="minorHAnsi" w:hAnsiTheme="minorHAnsi" w:cstheme="minorHAnsi"/>
                <w:sz w:val="24"/>
                <w:szCs w:val="24"/>
              </w:rPr>
              <w:t xml:space="preserve"> resources for all data access</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Data Minimization</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GDPR Article 5</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Collect only clinically relevant sensor data</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Medical Device Regulation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EU MDR 2017/745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Evaluate classification and conformity requirements</w:t>
            </w:r>
          </w:p>
        </w:tc>
      </w:tr>
    </w:tbl>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1"/>
        <w:jc w:val="both"/>
        <w:rPr>
          <w:rFonts w:asciiTheme="minorHAnsi" w:hAnsiTheme="minorHAnsi" w:cstheme="minorHAnsi"/>
          <w:sz w:val="24"/>
          <w:szCs w:val="24"/>
        </w:rPr>
      </w:pPr>
      <w:r w:rsidRPr="00F8529A">
        <w:rPr>
          <w:rFonts w:asciiTheme="minorHAnsi" w:hAnsiTheme="minorHAnsi" w:cstheme="minorHAnsi"/>
          <w:sz w:val="24"/>
          <w:szCs w:val="24"/>
        </w:rPr>
        <w:t>10. SMART on FHIR — Authentication and Authorization</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SMART on FHIR (Substitutable Medical Applications, Reusable Technologies) is the standard authorization framework built on top of FHIR [3]. It defines how applications authenticate users and request access to health data in a secure, standardized way.</w:t>
      </w:r>
    </w:p>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For the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 project, SMART on FHIR is planned for Phase 3 and will enable:</w:t>
      </w:r>
    </w:p>
    <w:p w:rsidR="00C035F0" w:rsidRPr="00F8529A" w:rsidRDefault="00BC3CC6" w:rsidP="00F8529A">
      <w:pPr>
        <w:pStyle w:val="ListParagraph"/>
        <w:numPr>
          <w:ilvl w:val="0"/>
          <w:numId w:val="2"/>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Doctor login with role-based access — doctors can only see their assigned patients</w:t>
      </w:r>
    </w:p>
    <w:p w:rsidR="00C035F0" w:rsidRPr="00F8529A" w:rsidRDefault="00BC3CC6" w:rsidP="00F8529A">
      <w:pPr>
        <w:pStyle w:val="ListParagraph"/>
        <w:numPr>
          <w:ilvl w:val="0"/>
          <w:numId w:val="2"/>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Patient login — patients can view their own data only</w:t>
      </w:r>
    </w:p>
    <w:p w:rsidR="00C035F0" w:rsidRPr="00F8529A" w:rsidRDefault="00BC3CC6" w:rsidP="00F8529A">
      <w:pPr>
        <w:pStyle w:val="ListParagraph"/>
        <w:numPr>
          <w:ilvl w:val="0"/>
          <w:numId w:val="2"/>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Third-party app access — research applications can request scoped access to anonymized data</w:t>
      </w:r>
    </w:p>
    <w:p w:rsidR="00C035F0" w:rsidRPr="00F8529A" w:rsidRDefault="00BC3CC6" w:rsidP="00F8529A">
      <w:pPr>
        <w:pStyle w:val="ListParagraph"/>
        <w:numPr>
          <w:ilvl w:val="0"/>
          <w:numId w:val="2"/>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Token-based API security — all FHIR endpoints require a valid OAuth 2.0 bearer token</w:t>
      </w:r>
    </w:p>
    <w:p w:rsidR="00C035F0" w:rsidRPr="00F8529A" w:rsidRDefault="00C035F0" w:rsidP="00F8529A">
      <w:pPr>
        <w:spacing w:before="80" w:after="80"/>
        <w:jc w:val="both"/>
        <w:rPr>
          <w:rFonts w:asciiTheme="minorHAnsi" w:hAnsiTheme="minorHAnsi" w:cstheme="minorHAnsi"/>
          <w:sz w:val="24"/>
          <w:szCs w:val="24"/>
        </w:rPr>
      </w:pPr>
    </w:p>
    <w:p w:rsidR="00126BCC" w:rsidRDefault="00126BCC" w:rsidP="00F8529A">
      <w:pPr>
        <w:pStyle w:val="Heading1"/>
        <w:jc w:val="both"/>
        <w:rPr>
          <w:rFonts w:asciiTheme="minorHAnsi" w:hAnsiTheme="minorHAnsi" w:cstheme="minorHAnsi"/>
          <w:sz w:val="24"/>
          <w:szCs w:val="24"/>
        </w:rPr>
      </w:pPr>
    </w:p>
    <w:p w:rsidR="00C035F0" w:rsidRPr="00F8529A" w:rsidRDefault="00BC3CC6" w:rsidP="00F8529A">
      <w:pPr>
        <w:pStyle w:val="Heading1"/>
        <w:jc w:val="both"/>
        <w:rPr>
          <w:rFonts w:asciiTheme="minorHAnsi" w:hAnsiTheme="minorHAnsi" w:cstheme="minorHAnsi"/>
          <w:sz w:val="24"/>
          <w:szCs w:val="24"/>
        </w:rPr>
      </w:pPr>
      <w:bookmarkStart w:id="0" w:name="_GoBack"/>
      <w:bookmarkEnd w:id="0"/>
      <w:r w:rsidRPr="00F8529A">
        <w:rPr>
          <w:rFonts w:asciiTheme="minorHAnsi" w:hAnsiTheme="minorHAnsi" w:cstheme="minorHAnsi"/>
          <w:sz w:val="24"/>
          <w:szCs w:val="24"/>
        </w:rPr>
        <w:lastRenderedPageBreak/>
        <w:t>11. FHIR Subscriptions — Real-Time Alerts</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FHIR R4 introduces a Subscription resource that allows clients to register for notifications when specific data changes [3]. This is particularly valuable for the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 emergency alert system.</w:t>
      </w:r>
    </w:p>
    <w:p w:rsidR="00C035F0" w:rsidRPr="00F8529A" w:rsidRDefault="00C035F0" w:rsidP="00F8529A">
      <w:pPr>
        <w:spacing w:before="80" w:after="80"/>
        <w:jc w:val="both"/>
        <w:rPr>
          <w:rFonts w:asciiTheme="minorHAnsi" w:hAnsiTheme="minorHAnsi" w:cs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C035F0" w:rsidRPr="00F8529A">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Subscription Trigger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Notification Target</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Clinical Purpose</w:t>
            </w:r>
          </w:p>
        </w:tc>
      </w:tr>
      <w:tr w:rsidR="00C035F0" w:rsidRPr="00F8529A">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Heart Rate &gt; 100 BPM</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Doctor's phone / EHR system</w:t>
            </w:r>
          </w:p>
        </w:tc>
        <w:tc>
          <w:tcPr>
            <w:tcW w:w="34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Tachycardia alert</w:t>
            </w:r>
          </w:p>
        </w:tc>
      </w:tr>
      <w:tr w:rsidR="00C035F0" w:rsidRPr="00F852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Body Temperature &gt; 38.5°C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Doctor's phone / EHR system</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Fever alert</w:t>
            </w:r>
          </w:p>
        </w:tc>
      </w:tr>
      <w:tr w:rsidR="00C035F0" w:rsidRPr="00F8529A">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Acceleration &gt; 2.0G (fall)</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Emergency services API</w:t>
            </w:r>
          </w:p>
        </w:tc>
        <w:tc>
          <w:tcPr>
            <w:tcW w:w="34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Fall detection alert</w:t>
            </w:r>
          </w:p>
        </w:tc>
      </w:tr>
      <w:tr w:rsidR="00C035F0" w:rsidRPr="00F852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SpO2 &lt; 95%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Doctor's phone / EHR system</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Hypoxia alert</w:t>
            </w:r>
          </w:p>
        </w:tc>
      </w:tr>
      <w:tr w:rsidR="00C035F0" w:rsidRPr="00F8529A">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No movement for 8+ hours</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Carer notification system</w:t>
            </w:r>
          </w:p>
        </w:tc>
        <w:tc>
          <w:tcPr>
            <w:tcW w:w="34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Inactivity / wellness check</w:t>
            </w:r>
          </w:p>
        </w:tc>
      </w:tr>
      <w:tr w:rsidR="00C035F0" w:rsidRPr="00F852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Battery &lt; 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Patient's phone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Device maintenance alert</w:t>
            </w:r>
          </w:p>
        </w:tc>
      </w:tr>
    </w:tbl>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1"/>
        <w:jc w:val="both"/>
        <w:rPr>
          <w:rFonts w:asciiTheme="minorHAnsi" w:hAnsiTheme="minorHAnsi" w:cstheme="minorHAnsi"/>
          <w:sz w:val="24"/>
          <w:szCs w:val="24"/>
        </w:rPr>
      </w:pPr>
      <w:r w:rsidRPr="00F8529A">
        <w:rPr>
          <w:rFonts w:asciiTheme="minorHAnsi" w:hAnsiTheme="minorHAnsi" w:cstheme="minorHAnsi"/>
          <w:sz w:val="24"/>
          <w:szCs w:val="24"/>
        </w:rPr>
        <w:t>12. Integration with External EHR Systems</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A key long-term goal of the FHIR implementation is to enable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 data to flow directly into hospital Electronic Health Record (EHR) systems [6]. Since FHIR is the standard interface for most modern EHRs, this becomes straightforward once the FHIR API is in place.</w:t>
      </w:r>
    </w:p>
    <w:p w:rsidR="00C035F0" w:rsidRPr="00F8529A" w:rsidRDefault="00C035F0" w:rsidP="00F8529A">
      <w:pPr>
        <w:spacing w:before="80" w:after="80"/>
        <w:jc w:val="both"/>
        <w:rPr>
          <w:rFonts w:asciiTheme="minorHAnsi" w:hAnsiTheme="minorHAnsi" w:cs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C035F0" w:rsidRPr="00F8529A">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EHR System</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FHIR Support</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b/>
                <w:bCs/>
                <w:color w:val="FFFFFF"/>
                <w:sz w:val="24"/>
                <w:szCs w:val="24"/>
              </w:rPr>
              <w:t>Integration Method</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Epic</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FHIR R4 + SMART on FHIR</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OAuth 2.0 app registration, FHIR API calls</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Cerner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FHIR R4 + SMART on FHIR</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Millennium FHIR API</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proofErr w:type="spellStart"/>
            <w:r w:rsidRPr="00F8529A">
              <w:rPr>
                <w:rFonts w:asciiTheme="minorHAnsi" w:hAnsiTheme="minorHAnsi" w:cstheme="minorHAnsi"/>
                <w:sz w:val="24"/>
                <w:szCs w:val="24"/>
              </w:rPr>
              <w:t>OpenMRS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FHIR R2/R4</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Open source, self-hosted integration</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KIS (German)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HL7 v2 / FHIR R4</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FHIR facade over existing HL7 v2 system</w:t>
            </w:r>
          </w:p>
        </w:tc>
      </w:tr>
      <w:tr w:rsidR="00C035F0" w:rsidRPr="00F8529A">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proofErr w:type="spellStart"/>
            <w:r w:rsidRPr="00F8529A">
              <w:rPr>
                <w:rFonts w:asciiTheme="minorHAnsi" w:hAnsiTheme="minorHAnsi" w:cstheme="minorHAnsi"/>
                <w:sz w:val="24"/>
                <w:szCs w:val="24"/>
              </w:rPr>
              <w:t>Meditech</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FHIR R4</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C035F0" w:rsidRPr="00F8529A" w:rsidRDefault="00BC3CC6" w:rsidP="00F8529A">
            <w:pPr>
              <w:jc w:val="both"/>
              <w:rPr>
                <w:rFonts w:asciiTheme="minorHAnsi" w:hAnsiTheme="minorHAnsi" w:cstheme="minorHAnsi"/>
                <w:sz w:val="24"/>
                <w:szCs w:val="24"/>
              </w:rPr>
            </w:pPr>
            <w:r w:rsidRPr="00F8529A">
              <w:rPr>
                <w:rFonts w:asciiTheme="minorHAnsi" w:hAnsiTheme="minorHAnsi" w:cstheme="minorHAnsi"/>
                <w:sz w:val="24"/>
                <w:szCs w:val="24"/>
              </w:rPr>
              <w:t>Expanse FHIR API</w:t>
            </w:r>
          </w:p>
        </w:tc>
      </w:tr>
    </w:tbl>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For the HSHL academic context, integration with an open-source EHR such as </w:t>
      </w:r>
      <w:proofErr w:type="spellStart"/>
      <w:r w:rsidRPr="00F8529A">
        <w:rPr>
          <w:rFonts w:asciiTheme="minorHAnsi" w:hAnsiTheme="minorHAnsi" w:cstheme="minorHAnsi"/>
          <w:sz w:val="24"/>
          <w:szCs w:val="24"/>
        </w:rPr>
        <w:t>OpenMRS</w:t>
      </w:r>
      <w:proofErr w:type="spellEnd"/>
      <w:r w:rsidRPr="00F8529A">
        <w:rPr>
          <w:rFonts w:asciiTheme="minorHAnsi" w:hAnsiTheme="minorHAnsi" w:cstheme="minorHAnsi"/>
          <w:sz w:val="24"/>
          <w:szCs w:val="24"/>
        </w:rPr>
        <w:t xml:space="preserve"> or a HAPI FHIR test server is the most practical first step, allowing full demonstration of EHR integration without requiring access to a production hospital system.</w:t>
      </w:r>
    </w:p>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1"/>
        <w:jc w:val="both"/>
        <w:rPr>
          <w:rFonts w:asciiTheme="minorHAnsi" w:hAnsiTheme="minorHAnsi" w:cstheme="minorHAnsi"/>
          <w:sz w:val="24"/>
          <w:szCs w:val="24"/>
        </w:rPr>
      </w:pPr>
      <w:r w:rsidRPr="00F8529A">
        <w:rPr>
          <w:rFonts w:asciiTheme="minorHAnsi" w:hAnsiTheme="minorHAnsi" w:cstheme="minorHAnsi"/>
          <w:sz w:val="24"/>
          <w:szCs w:val="24"/>
        </w:rPr>
        <w:lastRenderedPageBreak/>
        <w:t>13. Conclusion and Recommendations</w:t>
      </w: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The integration of HL7 FHIR R4 standards into the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 project represents a significant opportunity to transform a student wearable prototype into a clinically meaningful, interoperable health monitoring device [1]. The combination of the hardware sensors already </w:t>
      </w:r>
      <w:proofErr w:type="gramStart"/>
      <w:r w:rsidRPr="00F8529A">
        <w:rPr>
          <w:rFonts w:asciiTheme="minorHAnsi" w:hAnsiTheme="minorHAnsi" w:cstheme="minorHAnsi"/>
          <w:sz w:val="24"/>
          <w:szCs w:val="24"/>
        </w:rPr>
        <w:t>present</w:t>
      </w:r>
      <w:proofErr w:type="gramEnd"/>
      <w:r w:rsidRPr="00F8529A">
        <w:rPr>
          <w:rFonts w:asciiTheme="minorHAnsi" w:hAnsiTheme="minorHAnsi" w:cstheme="minorHAnsi"/>
          <w:sz w:val="24"/>
          <w:szCs w:val="24"/>
        </w:rPr>
        <w:t xml:space="preserve"> on the Band01_Rev1 PCB, the BLE communication infrastructure, and the Raspberry Pi gateway creates a solid foundation on which a complete FHIR implementation can be built.</w:t>
      </w:r>
    </w:p>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The recommended next steps, in order of priority, are:</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Activate the firmware sensor reads on Band01_Rev1 to replace simulated data with real physiological measurements.</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Expand the FHIR API to include SpO2, step history, and alert Condition resources.</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Deploy a HAPI FHIR server instance and migrate from the local Flask implementation.</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Implement SMART on FHIR authentication to secure the API.</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Integrate FHIR Subscriptions for real-time emergency alert delivery.</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Evaluate EU MDR classification requirements for the device.</w:t>
      </w:r>
    </w:p>
    <w:p w:rsidR="00C035F0" w:rsidRPr="00F8529A" w:rsidRDefault="00BC3CC6" w:rsidP="00F8529A">
      <w:pPr>
        <w:pStyle w:val="ListParagraph"/>
        <w:numPr>
          <w:ilvl w:val="0"/>
          <w:numId w:val="3"/>
        </w:numPr>
        <w:spacing w:before="40" w:after="40"/>
        <w:jc w:val="both"/>
        <w:rPr>
          <w:rFonts w:asciiTheme="minorHAnsi" w:hAnsiTheme="minorHAnsi" w:cstheme="minorHAnsi"/>
          <w:sz w:val="24"/>
          <w:szCs w:val="24"/>
        </w:rPr>
      </w:pPr>
      <w:r w:rsidRPr="00F8529A">
        <w:rPr>
          <w:rFonts w:asciiTheme="minorHAnsi" w:hAnsiTheme="minorHAnsi" w:cstheme="minorHAnsi"/>
          <w:sz w:val="24"/>
          <w:szCs w:val="24"/>
        </w:rPr>
        <w:t>Conduct FHIR conformance testing using the official HL7 FHIR validator.</w:t>
      </w:r>
    </w:p>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spacing w:before="60" w:after="60"/>
        <w:jc w:val="both"/>
        <w:rPr>
          <w:rFonts w:asciiTheme="minorHAnsi" w:hAnsiTheme="minorHAnsi" w:cstheme="minorHAnsi"/>
          <w:sz w:val="24"/>
          <w:szCs w:val="24"/>
        </w:rPr>
      </w:pPr>
      <w:r w:rsidRPr="00F8529A">
        <w:rPr>
          <w:rFonts w:asciiTheme="minorHAnsi" w:hAnsiTheme="minorHAnsi" w:cstheme="minorHAnsi"/>
          <w:sz w:val="24"/>
          <w:szCs w:val="24"/>
        </w:rPr>
        <w:t xml:space="preserve">When fully realized, the </w:t>
      </w:r>
      <w:proofErr w:type="spellStart"/>
      <w:r w:rsidRPr="00F8529A">
        <w:rPr>
          <w:rFonts w:asciiTheme="minorHAnsi" w:hAnsiTheme="minorHAnsi" w:cstheme="minorHAnsi"/>
          <w:sz w:val="24"/>
          <w:szCs w:val="24"/>
        </w:rPr>
        <w:t>Smartband</w:t>
      </w:r>
      <w:proofErr w:type="spellEnd"/>
      <w:r w:rsidRPr="00F8529A">
        <w:rPr>
          <w:rFonts w:asciiTheme="minorHAnsi" w:hAnsiTheme="minorHAnsi" w:cstheme="minorHAnsi"/>
          <w:sz w:val="24"/>
          <w:szCs w:val="24"/>
        </w:rPr>
        <w:t xml:space="preserve"> V001 FHIR implementation will position the device to interface directly with hospital EHR systems, clinical research platforms, and consumer health applications — fulfilling the core mission of the project as defined by the </w:t>
      </w:r>
      <w:proofErr w:type="spellStart"/>
      <w:r w:rsidRPr="00F8529A">
        <w:rPr>
          <w:rFonts w:asciiTheme="minorHAnsi" w:hAnsiTheme="minorHAnsi" w:cstheme="minorHAnsi"/>
          <w:sz w:val="24"/>
          <w:szCs w:val="24"/>
        </w:rPr>
        <w:t>Pinheiro</w:t>
      </w:r>
      <w:proofErr w:type="spellEnd"/>
      <w:r w:rsidRPr="00F8529A">
        <w:rPr>
          <w:rFonts w:asciiTheme="minorHAnsi" w:hAnsiTheme="minorHAnsi" w:cstheme="minorHAnsi"/>
          <w:sz w:val="24"/>
          <w:szCs w:val="24"/>
        </w:rPr>
        <w:t xml:space="preserve"> et al. (2022) Multi-Sensor Wearable Health Device framework [1].</w:t>
      </w:r>
    </w:p>
    <w:p w:rsidR="00C035F0" w:rsidRPr="00F8529A" w:rsidRDefault="00C035F0" w:rsidP="00F8529A">
      <w:pPr>
        <w:spacing w:before="80" w:after="80"/>
        <w:jc w:val="both"/>
        <w:rPr>
          <w:rFonts w:asciiTheme="minorHAnsi" w:hAnsiTheme="minorHAnsi" w:cstheme="minorHAnsi"/>
          <w:sz w:val="24"/>
          <w:szCs w:val="24"/>
        </w:rPr>
      </w:pPr>
    </w:p>
    <w:p w:rsidR="00C035F0" w:rsidRPr="00F8529A" w:rsidRDefault="00BC3CC6" w:rsidP="00F8529A">
      <w:pPr>
        <w:pStyle w:val="Heading1"/>
        <w:rPr>
          <w:sz w:val="24"/>
        </w:rPr>
      </w:pPr>
      <w:r w:rsidRPr="00F8529A">
        <w:rPr>
          <w:sz w:val="24"/>
        </w:rPr>
        <w:t>14. References</w:t>
      </w:r>
    </w:p>
    <w:p w:rsidR="00C035F0" w:rsidRPr="00F8529A" w:rsidRDefault="00C035F0" w:rsidP="00F8529A">
      <w:pPr>
        <w:pBdr>
          <w:bottom w:val="single" w:sz="6" w:space="1" w:color="2E75B6"/>
        </w:pBdr>
        <w:spacing w:before="120" w:after="120"/>
        <w:jc w:val="both"/>
        <w:rPr>
          <w:rFonts w:asciiTheme="minorHAnsi" w:hAnsiTheme="minorHAnsi" w:cstheme="minorHAnsi"/>
          <w:sz w:val="24"/>
          <w:szCs w:val="24"/>
        </w:rPr>
      </w:pP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rPr>
        <w:t>[1</w:t>
      </w:r>
      <w:proofErr w:type="gramStart"/>
      <w:r w:rsidRPr="00F8529A">
        <w:rPr>
          <w:rFonts w:asciiTheme="minorHAnsi" w:hAnsiTheme="minorHAnsi" w:cstheme="minorHAnsi"/>
          <w:b/>
          <w:bCs/>
          <w:color w:val="2E75B6"/>
          <w:sz w:val="24"/>
          <w:szCs w:val="24"/>
        </w:rPr>
        <w:t xml:space="preserve">]  </w:t>
      </w:r>
      <w:proofErr w:type="spellStart"/>
      <w:r w:rsidRPr="00F8529A">
        <w:rPr>
          <w:rFonts w:asciiTheme="minorHAnsi" w:hAnsiTheme="minorHAnsi" w:cstheme="minorHAnsi"/>
          <w:sz w:val="24"/>
          <w:szCs w:val="24"/>
        </w:rPr>
        <w:t>Pinheiro</w:t>
      </w:r>
      <w:proofErr w:type="spellEnd"/>
      <w:proofErr w:type="gramEnd"/>
      <w:r w:rsidRPr="00F8529A">
        <w:rPr>
          <w:rFonts w:asciiTheme="minorHAnsi" w:hAnsiTheme="minorHAnsi" w:cstheme="minorHAnsi"/>
          <w:sz w:val="24"/>
          <w:szCs w:val="24"/>
        </w:rPr>
        <w:t xml:space="preserve">, E., </w:t>
      </w:r>
      <w:proofErr w:type="spellStart"/>
      <w:r w:rsidRPr="00F8529A">
        <w:rPr>
          <w:rFonts w:asciiTheme="minorHAnsi" w:hAnsiTheme="minorHAnsi" w:cstheme="minorHAnsi"/>
          <w:sz w:val="24"/>
          <w:szCs w:val="24"/>
        </w:rPr>
        <w:t>Postolache</w:t>
      </w:r>
      <w:proofErr w:type="spellEnd"/>
      <w:r w:rsidRPr="00F8529A">
        <w:rPr>
          <w:rFonts w:asciiTheme="minorHAnsi" w:hAnsiTheme="minorHAnsi" w:cstheme="minorHAnsi"/>
          <w:sz w:val="24"/>
          <w:szCs w:val="24"/>
        </w:rPr>
        <w:t xml:space="preserve">, O., &amp; </w:t>
      </w:r>
      <w:proofErr w:type="spellStart"/>
      <w:r w:rsidRPr="00F8529A">
        <w:rPr>
          <w:rFonts w:asciiTheme="minorHAnsi" w:hAnsiTheme="minorHAnsi" w:cstheme="minorHAnsi"/>
          <w:sz w:val="24"/>
          <w:szCs w:val="24"/>
        </w:rPr>
        <w:t>Girao</w:t>
      </w:r>
      <w:proofErr w:type="spellEnd"/>
      <w:r w:rsidRPr="00F8529A">
        <w:rPr>
          <w:rFonts w:asciiTheme="minorHAnsi" w:hAnsiTheme="minorHAnsi" w:cstheme="minorHAnsi"/>
          <w:sz w:val="24"/>
          <w:szCs w:val="24"/>
        </w:rPr>
        <w:t>, P. (2022). Multi-Sensor Wearable Health Device (MWHD) Framework for Patient Monitoring. Frontiers in Human Neuroscience, 16, 849111. https://doi.org/10.3389/fnhum.2022.849111</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rPr>
        <w:t>[2</w:t>
      </w:r>
      <w:proofErr w:type="gramStart"/>
      <w:r w:rsidRPr="00F8529A">
        <w:rPr>
          <w:rFonts w:asciiTheme="minorHAnsi" w:hAnsiTheme="minorHAnsi" w:cstheme="minorHAnsi"/>
          <w:b/>
          <w:bCs/>
          <w:color w:val="2E75B6"/>
          <w:sz w:val="24"/>
          <w:szCs w:val="24"/>
        </w:rPr>
        <w:t xml:space="preserve">]  </w:t>
      </w:r>
      <w:r w:rsidRPr="00F8529A">
        <w:rPr>
          <w:rFonts w:asciiTheme="minorHAnsi" w:hAnsiTheme="minorHAnsi" w:cstheme="minorHAnsi"/>
          <w:sz w:val="24"/>
          <w:szCs w:val="24"/>
        </w:rPr>
        <w:t>HL</w:t>
      </w:r>
      <w:proofErr w:type="gramEnd"/>
      <w:r w:rsidRPr="00F8529A">
        <w:rPr>
          <w:rFonts w:asciiTheme="minorHAnsi" w:hAnsiTheme="minorHAnsi" w:cstheme="minorHAnsi"/>
          <w:sz w:val="24"/>
          <w:szCs w:val="24"/>
        </w:rPr>
        <w:t>7 International. (2023). HL7 FHIR Release 4 — Official Specification. Retrieved from https://hl7.org/fhir/R4/</w:t>
      </w:r>
    </w:p>
    <w:p w:rsidR="00C035F0" w:rsidRPr="00F8529A" w:rsidRDefault="00BC3CC6" w:rsidP="00F8529A">
      <w:pPr>
        <w:spacing w:before="60" w:after="60"/>
        <w:ind w:left="720" w:hanging="720"/>
        <w:jc w:val="both"/>
        <w:rPr>
          <w:rFonts w:asciiTheme="minorHAnsi" w:hAnsiTheme="minorHAnsi" w:cstheme="minorHAnsi"/>
          <w:sz w:val="24"/>
          <w:szCs w:val="24"/>
        </w:rPr>
      </w:pPr>
      <w:r w:rsidRPr="00126BCC">
        <w:rPr>
          <w:rFonts w:asciiTheme="minorHAnsi" w:hAnsiTheme="minorHAnsi" w:cstheme="minorHAnsi"/>
          <w:b/>
          <w:bCs/>
          <w:color w:val="2E75B6"/>
          <w:sz w:val="24"/>
          <w:szCs w:val="24"/>
          <w:lang w:val="de-DE"/>
        </w:rPr>
        <w:t xml:space="preserve">[3]  </w:t>
      </w:r>
      <w:r w:rsidRPr="00126BCC">
        <w:rPr>
          <w:rFonts w:asciiTheme="minorHAnsi" w:hAnsiTheme="minorHAnsi" w:cstheme="minorHAnsi"/>
          <w:sz w:val="24"/>
          <w:szCs w:val="24"/>
          <w:lang w:val="de-DE"/>
        </w:rPr>
        <w:t xml:space="preserve">Mandel, J. C., Kreda, D. A., Mandl, K. D., Kohane, I. S., &amp; Ramoni, R. B. (2016). </w:t>
      </w:r>
      <w:r w:rsidRPr="00F8529A">
        <w:rPr>
          <w:rFonts w:asciiTheme="minorHAnsi" w:hAnsiTheme="minorHAnsi" w:cstheme="minorHAnsi"/>
          <w:sz w:val="24"/>
          <w:szCs w:val="24"/>
        </w:rPr>
        <w:t>SMART on FHIR: A standards-based, interoperable apps platform for electronic health records. Journal of the American Medical Informatics Association, 23(5), 899–908. https://doi.org/10.1093/jamia/ocv189</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lang w:val="de-DE"/>
        </w:rPr>
        <w:t xml:space="preserve">[4]  </w:t>
      </w:r>
      <w:r w:rsidRPr="00F8529A">
        <w:rPr>
          <w:rFonts w:asciiTheme="minorHAnsi" w:hAnsiTheme="minorHAnsi" w:cstheme="minorHAnsi"/>
          <w:sz w:val="24"/>
          <w:szCs w:val="24"/>
          <w:lang w:val="de-DE"/>
        </w:rPr>
        <w:t xml:space="preserve">Lehne, M., Luijten, S., Vom Felde Genannt Imbusch, P., &amp; Thun, S. (2019). </w:t>
      </w:r>
      <w:r w:rsidRPr="00F8529A">
        <w:rPr>
          <w:rFonts w:asciiTheme="minorHAnsi" w:hAnsiTheme="minorHAnsi" w:cstheme="minorHAnsi"/>
          <w:sz w:val="24"/>
          <w:szCs w:val="24"/>
        </w:rPr>
        <w:t>The Use of FHIR in Digital Health — A Review of the Scientific Literature. EFMI Special Topic Conference, 267, 295–302. https://doi.org/10.3233/SHTI190839</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rPr>
        <w:t>[5</w:t>
      </w:r>
      <w:proofErr w:type="gramStart"/>
      <w:r w:rsidRPr="00F8529A">
        <w:rPr>
          <w:rFonts w:asciiTheme="minorHAnsi" w:hAnsiTheme="minorHAnsi" w:cstheme="minorHAnsi"/>
          <w:b/>
          <w:bCs/>
          <w:color w:val="2E75B6"/>
          <w:sz w:val="24"/>
          <w:szCs w:val="24"/>
        </w:rPr>
        <w:t xml:space="preserve">]  </w:t>
      </w:r>
      <w:proofErr w:type="spellStart"/>
      <w:r w:rsidRPr="00F8529A">
        <w:rPr>
          <w:rFonts w:asciiTheme="minorHAnsi" w:hAnsiTheme="minorHAnsi" w:cstheme="minorHAnsi"/>
          <w:sz w:val="24"/>
          <w:szCs w:val="24"/>
        </w:rPr>
        <w:t>Veltri</w:t>
      </w:r>
      <w:proofErr w:type="spellEnd"/>
      <w:proofErr w:type="gramEnd"/>
      <w:r w:rsidRPr="00F8529A">
        <w:rPr>
          <w:rFonts w:asciiTheme="minorHAnsi" w:hAnsiTheme="minorHAnsi" w:cstheme="minorHAnsi"/>
          <w:sz w:val="24"/>
          <w:szCs w:val="24"/>
        </w:rPr>
        <w:t xml:space="preserve">, P., </w:t>
      </w:r>
      <w:proofErr w:type="spellStart"/>
      <w:r w:rsidRPr="00F8529A">
        <w:rPr>
          <w:rFonts w:asciiTheme="minorHAnsi" w:hAnsiTheme="minorHAnsi" w:cstheme="minorHAnsi"/>
          <w:sz w:val="24"/>
          <w:szCs w:val="24"/>
        </w:rPr>
        <w:t>Trunfio</w:t>
      </w:r>
      <w:proofErr w:type="spellEnd"/>
      <w:r w:rsidRPr="00F8529A">
        <w:rPr>
          <w:rFonts w:asciiTheme="minorHAnsi" w:hAnsiTheme="minorHAnsi" w:cstheme="minorHAnsi"/>
          <w:sz w:val="24"/>
          <w:szCs w:val="24"/>
        </w:rPr>
        <w:t xml:space="preserve">, M., Talia, D., &amp; </w:t>
      </w:r>
      <w:proofErr w:type="spellStart"/>
      <w:r w:rsidRPr="00F8529A">
        <w:rPr>
          <w:rFonts w:asciiTheme="minorHAnsi" w:hAnsiTheme="minorHAnsi" w:cstheme="minorHAnsi"/>
          <w:sz w:val="24"/>
          <w:szCs w:val="24"/>
        </w:rPr>
        <w:t>Cuda</w:t>
      </w:r>
      <w:proofErr w:type="spellEnd"/>
      <w:r w:rsidRPr="00F8529A">
        <w:rPr>
          <w:rFonts w:asciiTheme="minorHAnsi" w:hAnsiTheme="minorHAnsi" w:cstheme="minorHAnsi"/>
          <w:sz w:val="24"/>
          <w:szCs w:val="24"/>
        </w:rPr>
        <w:t xml:space="preserve">, G. (2021). A FHIR-Based Framework for </w:t>
      </w:r>
      <w:proofErr w:type="spellStart"/>
      <w:r w:rsidRPr="00F8529A">
        <w:rPr>
          <w:rFonts w:asciiTheme="minorHAnsi" w:hAnsiTheme="minorHAnsi" w:cstheme="minorHAnsi"/>
          <w:sz w:val="24"/>
          <w:szCs w:val="24"/>
        </w:rPr>
        <w:t>IoT</w:t>
      </w:r>
      <w:proofErr w:type="spellEnd"/>
      <w:r w:rsidRPr="00F8529A">
        <w:rPr>
          <w:rFonts w:asciiTheme="minorHAnsi" w:hAnsiTheme="minorHAnsi" w:cstheme="minorHAnsi"/>
          <w:sz w:val="24"/>
          <w:szCs w:val="24"/>
        </w:rPr>
        <w:t xml:space="preserve"> Health Data Integration. IEEE Access, 9, 103242–103258. https://doi.org/10.1109/ACCESS.2021.3097949</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rPr>
        <w:lastRenderedPageBreak/>
        <w:t>[6</w:t>
      </w:r>
      <w:proofErr w:type="gramStart"/>
      <w:r w:rsidRPr="00F8529A">
        <w:rPr>
          <w:rFonts w:asciiTheme="minorHAnsi" w:hAnsiTheme="minorHAnsi" w:cstheme="minorHAnsi"/>
          <w:b/>
          <w:bCs/>
          <w:color w:val="2E75B6"/>
          <w:sz w:val="24"/>
          <w:szCs w:val="24"/>
        </w:rPr>
        <w:t xml:space="preserve">]  </w:t>
      </w:r>
      <w:r w:rsidRPr="00F8529A">
        <w:rPr>
          <w:rFonts w:asciiTheme="minorHAnsi" w:hAnsiTheme="minorHAnsi" w:cstheme="minorHAnsi"/>
          <w:sz w:val="24"/>
          <w:szCs w:val="24"/>
        </w:rPr>
        <w:t>Collen</w:t>
      </w:r>
      <w:proofErr w:type="gramEnd"/>
      <w:r w:rsidRPr="00F8529A">
        <w:rPr>
          <w:rFonts w:asciiTheme="minorHAnsi" w:hAnsiTheme="minorHAnsi" w:cstheme="minorHAnsi"/>
          <w:sz w:val="24"/>
          <w:szCs w:val="24"/>
        </w:rPr>
        <w:t>, M. F., &amp; Ball, M. J. (Eds.). (2015). The History of Medical Informatics in the United States (2nd ed.). Springer. https://doi.org/10.1007/978-1-4471-6732-7</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rPr>
        <w:t>[7</w:t>
      </w:r>
      <w:proofErr w:type="gramStart"/>
      <w:r w:rsidRPr="00F8529A">
        <w:rPr>
          <w:rFonts w:asciiTheme="minorHAnsi" w:hAnsiTheme="minorHAnsi" w:cstheme="minorHAnsi"/>
          <w:b/>
          <w:bCs/>
          <w:color w:val="2E75B6"/>
          <w:sz w:val="24"/>
          <w:szCs w:val="24"/>
        </w:rPr>
        <w:t xml:space="preserve">]  </w:t>
      </w:r>
      <w:r w:rsidRPr="00F8529A">
        <w:rPr>
          <w:rFonts w:asciiTheme="minorHAnsi" w:hAnsiTheme="minorHAnsi" w:cstheme="minorHAnsi"/>
          <w:sz w:val="24"/>
          <w:szCs w:val="24"/>
        </w:rPr>
        <w:t>McDonald</w:t>
      </w:r>
      <w:proofErr w:type="gramEnd"/>
      <w:r w:rsidRPr="00F8529A">
        <w:rPr>
          <w:rFonts w:asciiTheme="minorHAnsi" w:hAnsiTheme="minorHAnsi" w:cstheme="minorHAnsi"/>
          <w:sz w:val="24"/>
          <w:szCs w:val="24"/>
        </w:rPr>
        <w:t xml:space="preserve">, C. J., Huff, S. M., </w:t>
      </w:r>
      <w:proofErr w:type="spellStart"/>
      <w:r w:rsidRPr="00F8529A">
        <w:rPr>
          <w:rFonts w:asciiTheme="minorHAnsi" w:hAnsiTheme="minorHAnsi" w:cstheme="minorHAnsi"/>
          <w:sz w:val="24"/>
          <w:szCs w:val="24"/>
        </w:rPr>
        <w:t>Suico</w:t>
      </w:r>
      <w:proofErr w:type="spellEnd"/>
      <w:r w:rsidRPr="00F8529A">
        <w:rPr>
          <w:rFonts w:asciiTheme="minorHAnsi" w:hAnsiTheme="minorHAnsi" w:cstheme="minorHAnsi"/>
          <w:sz w:val="24"/>
          <w:szCs w:val="24"/>
        </w:rPr>
        <w:t>, J. G., &amp; Mercer, K. (2003). LOINC, a Universal Standard for Identifying Laboratory Observations. Clinical Chemistry, 49(4), 624–633. https://doi.org/10.1373/49.4.624</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lang w:val="de-DE"/>
        </w:rPr>
        <w:t xml:space="preserve">[8]  </w:t>
      </w:r>
      <w:r w:rsidRPr="00F8529A">
        <w:rPr>
          <w:rFonts w:asciiTheme="minorHAnsi" w:hAnsiTheme="minorHAnsi" w:cstheme="minorHAnsi"/>
          <w:sz w:val="24"/>
          <w:szCs w:val="24"/>
          <w:lang w:val="de-DE"/>
        </w:rPr>
        <w:t xml:space="preserve">Haendel, M. A., Chute, C. G., &amp; Bennett, T. D. (2020). </w:t>
      </w:r>
      <w:r w:rsidRPr="00F8529A">
        <w:rPr>
          <w:rFonts w:asciiTheme="minorHAnsi" w:hAnsiTheme="minorHAnsi" w:cstheme="minorHAnsi"/>
          <w:sz w:val="24"/>
          <w:szCs w:val="24"/>
        </w:rPr>
        <w:t>The National COVID Cohort Collaborative (N3C): Rationale, Design, Infrastructure, and Deployment. JAMIA, 28(3), 427–443. https://doi.org/10.1093/jamia/ocaa196</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rPr>
        <w:t>[9</w:t>
      </w:r>
      <w:proofErr w:type="gramStart"/>
      <w:r w:rsidRPr="00F8529A">
        <w:rPr>
          <w:rFonts w:asciiTheme="minorHAnsi" w:hAnsiTheme="minorHAnsi" w:cstheme="minorHAnsi"/>
          <w:b/>
          <w:bCs/>
          <w:color w:val="2E75B6"/>
          <w:sz w:val="24"/>
          <w:szCs w:val="24"/>
        </w:rPr>
        <w:t xml:space="preserve">]  </w:t>
      </w:r>
      <w:r w:rsidRPr="00F8529A">
        <w:rPr>
          <w:rFonts w:asciiTheme="minorHAnsi" w:hAnsiTheme="minorHAnsi" w:cstheme="minorHAnsi"/>
          <w:sz w:val="24"/>
          <w:szCs w:val="24"/>
        </w:rPr>
        <w:t>European</w:t>
      </w:r>
      <w:proofErr w:type="gramEnd"/>
      <w:r w:rsidRPr="00F8529A">
        <w:rPr>
          <w:rFonts w:asciiTheme="minorHAnsi" w:hAnsiTheme="minorHAnsi" w:cstheme="minorHAnsi"/>
          <w:sz w:val="24"/>
          <w:szCs w:val="24"/>
        </w:rPr>
        <w:t xml:space="preserve"> Parliament. (2017). Regulation (EU) 2017/745 on Medical Devices (EU MDR). Official Journal of the European Union, L 117, 1–175.</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rPr>
        <w:t>[10</w:t>
      </w:r>
      <w:proofErr w:type="gramStart"/>
      <w:r w:rsidRPr="00F8529A">
        <w:rPr>
          <w:rFonts w:asciiTheme="minorHAnsi" w:hAnsiTheme="minorHAnsi" w:cstheme="minorHAnsi"/>
          <w:b/>
          <w:bCs/>
          <w:color w:val="2E75B6"/>
          <w:sz w:val="24"/>
          <w:szCs w:val="24"/>
        </w:rPr>
        <w:t xml:space="preserve">]  </w:t>
      </w:r>
      <w:r w:rsidRPr="00F8529A">
        <w:rPr>
          <w:rFonts w:asciiTheme="minorHAnsi" w:hAnsiTheme="minorHAnsi" w:cstheme="minorHAnsi"/>
          <w:sz w:val="24"/>
          <w:szCs w:val="24"/>
        </w:rPr>
        <w:t>Maxim</w:t>
      </w:r>
      <w:proofErr w:type="gramEnd"/>
      <w:r w:rsidRPr="00F8529A">
        <w:rPr>
          <w:rFonts w:asciiTheme="minorHAnsi" w:hAnsiTheme="minorHAnsi" w:cstheme="minorHAnsi"/>
          <w:sz w:val="24"/>
          <w:szCs w:val="24"/>
        </w:rPr>
        <w:t xml:space="preserve"> Integrated (now Analog Devices). (2018). MAX30102 High-Sensitivity Pulse Oximeter and Heart-Rate Sensor Datasheet. Retrieved from https://www.analog.com/media/en/technical-documentation/data-sheets/MAX30102.pdf</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rPr>
        <w:t>[11</w:t>
      </w:r>
      <w:proofErr w:type="gramStart"/>
      <w:r w:rsidRPr="00F8529A">
        <w:rPr>
          <w:rFonts w:asciiTheme="minorHAnsi" w:hAnsiTheme="minorHAnsi" w:cstheme="minorHAnsi"/>
          <w:b/>
          <w:bCs/>
          <w:color w:val="2E75B6"/>
          <w:sz w:val="24"/>
          <w:szCs w:val="24"/>
        </w:rPr>
        <w:t xml:space="preserve">]  </w:t>
      </w:r>
      <w:proofErr w:type="spellStart"/>
      <w:r w:rsidRPr="00F8529A">
        <w:rPr>
          <w:rFonts w:asciiTheme="minorHAnsi" w:hAnsiTheme="minorHAnsi" w:cstheme="minorHAnsi"/>
          <w:sz w:val="24"/>
          <w:szCs w:val="24"/>
        </w:rPr>
        <w:t>InvenSense</w:t>
      </w:r>
      <w:proofErr w:type="spellEnd"/>
      <w:proofErr w:type="gramEnd"/>
      <w:r w:rsidRPr="00F8529A">
        <w:rPr>
          <w:rFonts w:asciiTheme="minorHAnsi" w:hAnsiTheme="minorHAnsi" w:cstheme="minorHAnsi"/>
          <w:sz w:val="24"/>
          <w:szCs w:val="24"/>
        </w:rPr>
        <w:t xml:space="preserve"> (TDK). (2013). MPU-6000 and MPU-6050 Product Specification Revision 3.4. Retrieved from https://invensense.tdk.com/wp-content/uploads/2015/02/MPU-6000-Datasheet1.pdf</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rPr>
        <w:t>[12</w:t>
      </w:r>
      <w:proofErr w:type="gramStart"/>
      <w:r w:rsidRPr="00F8529A">
        <w:rPr>
          <w:rFonts w:asciiTheme="minorHAnsi" w:hAnsiTheme="minorHAnsi" w:cstheme="minorHAnsi"/>
          <w:b/>
          <w:bCs/>
          <w:color w:val="2E75B6"/>
          <w:sz w:val="24"/>
          <w:szCs w:val="24"/>
        </w:rPr>
        <w:t xml:space="preserve">]  </w:t>
      </w:r>
      <w:proofErr w:type="spellStart"/>
      <w:r w:rsidRPr="00F8529A">
        <w:rPr>
          <w:rFonts w:asciiTheme="minorHAnsi" w:hAnsiTheme="minorHAnsi" w:cstheme="minorHAnsi"/>
          <w:sz w:val="24"/>
          <w:szCs w:val="24"/>
        </w:rPr>
        <w:t>Melexis</w:t>
      </w:r>
      <w:proofErr w:type="spellEnd"/>
      <w:proofErr w:type="gramEnd"/>
      <w:r w:rsidRPr="00F8529A">
        <w:rPr>
          <w:rFonts w:asciiTheme="minorHAnsi" w:hAnsiTheme="minorHAnsi" w:cstheme="minorHAnsi"/>
          <w:sz w:val="24"/>
          <w:szCs w:val="24"/>
        </w:rPr>
        <w:t>. (2020). MLX90632 Miniature SMD Thermometer IC Datasheet. Retrieved from https://www.melexis.com/en/product/MLX90632/</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rPr>
        <w:t>[13</w:t>
      </w:r>
      <w:proofErr w:type="gramStart"/>
      <w:r w:rsidRPr="00F8529A">
        <w:rPr>
          <w:rFonts w:asciiTheme="minorHAnsi" w:hAnsiTheme="minorHAnsi" w:cstheme="minorHAnsi"/>
          <w:b/>
          <w:bCs/>
          <w:color w:val="2E75B6"/>
          <w:sz w:val="24"/>
          <w:szCs w:val="24"/>
        </w:rPr>
        <w:t xml:space="preserve">]  </w:t>
      </w:r>
      <w:r w:rsidRPr="00F8529A">
        <w:rPr>
          <w:rFonts w:asciiTheme="minorHAnsi" w:hAnsiTheme="minorHAnsi" w:cstheme="minorHAnsi"/>
          <w:sz w:val="24"/>
          <w:szCs w:val="24"/>
        </w:rPr>
        <w:t>Patel</w:t>
      </w:r>
      <w:proofErr w:type="gramEnd"/>
      <w:r w:rsidRPr="00F8529A">
        <w:rPr>
          <w:rFonts w:asciiTheme="minorHAnsi" w:hAnsiTheme="minorHAnsi" w:cstheme="minorHAnsi"/>
          <w:sz w:val="24"/>
          <w:szCs w:val="24"/>
        </w:rPr>
        <w:t xml:space="preserve">, S., Park, H., </w:t>
      </w:r>
      <w:proofErr w:type="spellStart"/>
      <w:r w:rsidRPr="00F8529A">
        <w:rPr>
          <w:rFonts w:asciiTheme="minorHAnsi" w:hAnsiTheme="minorHAnsi" w:cstheme="minorHAnsi"/>
          <w:sz w:val="24"/>
          <w:szCs w:val="24"/>
        </w:rPr>
        <w:t>Bonato</w:t>
      </w:r>
      <w:proofErr w:type="spellEnd"/>
      <w:r w:rsidRPr="00F8529A">
        <w:rPr>
          <w:rFonts w:asciiTheme="minorHAnsi" w:hAnsiTheme="minorHAnsi" w:cstheme="minorHAnsi"/>
          <w:sz w:val="24"/>
          <w:szCs w:val="24"/>
        </w:rPr>
        <w:t xml:space="preserve">, P., Chan, L., &amp; Rodgers, M. (2012). A Review of Wearable Sensors and Systems with Application in Rehabilitation. Journal of </w:t>
      </w:r>
      <w:proofErr w:type="spellStart"/>
      <w:r w:rsidRPr="00F8529A">
        <w:rPr>
          <w:rFonts w:asciiTheme="minorHAnsi" w:hAnsiTheme="minorHAnsi" w:cstheme="minorHAnsi"/>
          <w:sz w:val="24"/>
          <w:szCs w:val="24"/>
        </w:rPr>
        <w:t>NeuroEngineering</w:t>
      </w:r>
      <w:proofErr w:type="spellEnd"/>
      <w:r w:rsidRPr="00F8529A">
        <w:rPr>
          <w:rFonts w:asciiTheme="minorHAnsi" w:hAnsiTheme="minorHAnsi" w:cstheme="minorHAnsi"/>
          <w:sz w:val="24"/>
          <w:szCs w:val="24"/>
        </w:rPr>
        <w:t xml:space="preserve"> and Rehabilitation, 9(1), 21. https://doi.org/10.1186/1743-0003-9-21</w:t>
      </w:r>
    </w:p>
    <w:p w:rsidR="00C035F0" w:rsidRPr="00126BCC" w:rsidRDefault="00BC3CC6" w:rsidP="00F8529A">
      <w:pPr>
        <w:spacing w:before="60" w:after="60"/>
        <w:ind w:left="720" w:hanging="720"/>
        <w:jc w:val="both"/>
        <w:rPr>
          <w:rFonts w:asciiTheme="minorHAnsi" w:hAnsiTheme="minorHAnsi" w:cstheme="minorHAnsi"/>
          <w:sz w:val="24"/>
          <w:szCs w:val="24"/>
          <w:lang w:val="de-DE"/>
        </w:rPr>
      </w:pPr>
      <w:r w:rsidRPr="00F8529A">
        <w:rPr>
          <w:rFonts w:asciiTheme="minorHAnsi" w:hAnsiTheme="minorHAnsi" w:cstheme="minorHAnsi"/>
          <w:b/>
          <w:bCs/>
          <w:color w:val="2E75B6"/>
          <w:sz w:val="24"/>
          <w:szCs w:val="24"/>
        </w:rPr>
        <w:t>[14</w:t>
      </w:r>
      <w:proofErr w:type="gramStart"/>
      <w:r w:rsidRPr="00F8529A">
        <w:rPr>
          <w:rFonts w:asciiTheme="minorHAnsi" w:hAnsiTheme="minorHAnsi" w:cstheme="minorHAnsi"/>
          <w:b/>
          <w:bCs/>
          <w:color w:val="2E75B6"/>
          <w:sz w:val="24"/>
          <w:szCs w:val="24"/>
        </w:rPr>
        <w:t xml:space="preserve">]  </w:t>
      </w:r>
      <w:proofErr w:type="spellStart"/>
      <w:r w:rsidRPr="00F8529A">
        <w:rPr>
          <w:rFonts w:asciiTheme="minorHAnsi" w:hAnsiTheme="minorHAnsi" w:cstheme="minorHAnsi"/>
          <w:sz w:val="24"/>
          <w:szCs w:val="24"/>
        </w:rPr>
        <w:t>Boucsein</w:t>
      </w:r>
      <w:proofErr w:type="spellEnd"/>
      <w:proofErr w:type="gramEnd"/>
      <w:r w:rsidRPr="00F8529A">
        <w:rPr>
          <w:rFonts w:asciiTheme="minorHAnsi" w:hAnsiTheme="minorHAnsi" w:cstheme="minorHAnsi"/>
          <w:sz w:val="24"/>
          <w:szCs w:val="24"/>
        </w:rPr>
        <w:t xml:space="preserve">, W. (2012). </w:t>
      </w:r>
      <w:proofErr w:type="spellStart"/>
      <w:r w:rsidRPr="00F8529A">
        <w:rPr>
          <w:rFonts w:asciiTheme="minorHAnsi" w:hAnsiTheme="minorHAnsi" w:cstheme="minorHAnsi"/>
          <w:sz w:val="24"/>
          <w:szCs w:val="24"/>
        </w:rPr>
        <w:t>Electrodermal</w:t>
      </w:r>
      <w:proofErr w:type="spellEnd"/>
      <w:r w:rsidRPr="00F8529A">
        <w:rPr>
          <w:rFonts w:asciiTheme="minorHAnsi" w:hAnsiTheme="minorHAnsi" w:cstheme="minorHAnsi"/>
          <w:sz w:val="24"/>
          <w:szCs w:val="24"/>
        </w:rPr>
        <w:t xml:space="preserve"> Activity (2nd ed.). </w:t>
      </w:r>
      <w:r w:rsidRPr="00126BCC">
        <w:rPr>
          <w:rFonts w:asciiTheme="minorHAnsi" w:hAnsiTheme="minorHAnsi" w:cstheme="minorHAnsi"/>
          <w:sz w:val="24"/>
          <w:szCs w:val="24"/>
          <w:lang w:val="de-DE"/>
        </w:rPr>
        <w:t>Springer. https://doi.org/10.1007/978-1-4614-1126-0</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lang w:val="de-DE"/>
        </w:rPr>
        <w:t xml:space="preserve">[15]  </w:t>
      </w:r>
      <w:r w:rsidRPr="00F8529A">
        <w:rPr>
          <w:rFonts w:asciiTheme="minorHAnsi" w:hAnsiTheme="minorHAnsi" w:cstheme="minorHAnsi"/>
          <w:sz w:val="24"/>
          <w:szCs w:val="24"/>
          <w:lang w:val="de-DE"/>
        </w:rPr>
        <w:t xml:space="preserve">Mukkamala, R., Hahn, J. O., Mukku, S., &amp; Pankow, J. (2021). </w:t>
      </w:r>
      <w:r w:rsidRPr="00F8529A">
        <w:rPr>
          <w:rFonts w:asciiTheme="minorHAnsi" w:hAnsiTheme="minorHAnsi" w:cstheme="minorHAnsi"/>
          <w:sz w:val="24"/>
          <w:szCs w:val="24"/>
        </w:rPr>
        <w:t xml:space="preserve">Wearable </w:t>
      </w:r>
      <w:proofErr w:type="spellStart"/>
      <w:r w:rsidRPr="00F8529A">
        <w:rPr>
          <w:rFonts w:asciiTheme="minorHAnsi" w:hAnsiTheme="minorHAnsi" w:cstheme="minorHAnsi"/>
          <w:sz w:val="24"/>
          <w:szCs w:val="24"/>
        </w:rPr>
        <w:t>Cuffless</w:t>
      </w:r>
      <w:proofErr w:type="spellEnd"/>
      <w:r w:rsidRPr="00F8529A">
        <w:rPr>
          <w:rFonts w:asciiTheme="minorHAnsi" w:hAnsiTheme="minorHAnsi" w:cstheme="minorHAnsi"/>
          <w:sz w:val="24"/>
          <w:szCs w:val="24"/>
        </w:rPr>
        <w:t xml:space="preserve"> Blood Pressure Measurement. Annual Review of Medicine, 72(1), 449–461. https://doi.org/10.1146/annurev-med-050220-020722</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rPr>
        <w:t>[16</w:t>
      </w:r>
      <w:proofErr w:type="gramStart"/>
      <w:r w:rsidRPr="00F8529A">
        <w:rPr>
          <w:rFonts w:asciiTheme="minorHAnsi" w:hAnsiTheme="minorHAnsi" w:cstheme="minorHAnsi"/>
          <w:b/>
          <w:bCs/>
          <w:color w:val="2E75B6"/>
          <w:sz w:val="24"/>
          <w:szCs w:val="24"/>
        </w:rPr>
        <w:t xml:space="preserve">]  </w:t>
      </w:r>
      <w:r w:rsidRPr="00F8529A">
        <w:rPr>
          <w:rFonts w:asciiTheme="minorHAnsi" w:hAnsiTheme="minorHAnsi" w:cstheme="minorHAnsi"/>
          <w:sz w:val="24"/>
          <w:szCs w:val="24"/>
        </w:rPr>
        <w:t>Analog</w:t>
      </w:r>
      <w:proofErr w:type="gramEnd"/>
      <w:r w:rsidRPr="00F8529A">
        <w:rPr>
          <w:rFonts w:asciiTheme="minorHAnsi" w:hAnsiTheme="minorHAnsi" w:cstheme="minorHAnsi"/>
          <w:sz w:val="24"/>
          <w:szCs w:val="24"/>
        </w:rPr>
        <w:t xml:space="preserve"> Devices. (2014). AD8232 Single-Lead, Heart Rate Monitor Front End Datasheet. Retrieved from https://www.analog.com/media/en/technical-documentation/data-sheets/AD8232.pdf</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rPr>
        <w:t>[17</w:t>
      </w:r>
      <w:proofErr w:type="gramStart"/>
      <w:r w:rsidRPr="00F8529A">
        <w:rPr>
          <w:rFonts w:asciiTheme="minorHAnsi" w:hAnsiTheme="minorHAnsi" w:cstheme="minorHAnsi"/>
          <w:b/>
          <w:bCs/>
          <w:color w:val="2E75B6"/>
          <w:sz w:val="24"/>
          <w:szCs w:val="24"/>
        </w:rPr>
        <w:t xml:space="preserve">]  </w:t>
      </w:r>
      <w:proofErr w:type="spellStart"/>
      <w:r w:rsidRPr="00F8529A">
        <w:rPr>
          <w:rFonts w:asciiTheme="minorHAnsi" w:hAnsiTheme="minorHAnsi" w:cstheme="minorHAnsi"/>
          <w:sz w:val="24"/>
          <w:szCs w:val="24"/>
        </w:rPr>
        <w:t>Hina</w:t>
      </w:r>
      <w:proofErr w:type="spellEnd"/>
      <w:proofErr w:type="gramEnd"/>
      <w:r w:rsidRPr="00F8529A">
        <w:rPr>
          <w:rFonts w:asciiTheme="minorHAnsi" w:hAnsiTheme="minorHAnsi" w:cstheme="minorHAnsi"/>
          <w:sz w:val="24"/>
          <w:szCs w:val="24"/>
        </w:rPr>
        <w:t xml:space="preserve">, A., &amp; </w:t>
      </w:r>
      <w:proofErr w:type="spellStart"/>
      <w:r w:rsidRPr="00F8529A">
        <w:rPr>
          <w:rFonts w:asciiTheme="minorHAnsi" w:hAnsiTheme="minorHAnsi" w:cstheme="minorHAnsi"/>
          <w:sz w:val="24"/>
          <w:szCs w:val="24"/>
        </w:rPr>
        <w:t>Saadeh</w:t>
      </w:r>
      <w:proofErr w:type="spellEnd"/>
      <w:r w:rsidRPr="00F8529A">
        <w:rPr>
          <w:rFonts w:asciiTheme="minorHAnsi" w:hAnsiTheme="minorHAnsi" w:cstheme="minorHAnsi"/>
          <w:sz w:val="24"/>
          <w:szCs w:val="24"/>
        </w:rPr>
        <w:t xml:space="preserve">, W. (2020). </w:t>
      </w:r>
      <w:proofErr w:type="spellStart"/>
      <w:r w:rsidRPr="00F8529A">
        <w:rPr>
          <w:rFonts w:asciiTheme="minorHAnsi" w:hAnsiTheme="minorHAnsi" w:cstheme="minorHAnsi"/>
          <w:sz w:val="24"/>
          <w:szCs w:val="24"/>
        </w:rPr>
        <w:t>Noninvasive</w:t>
      </w:r>
      <w:proofErr w:type="spellEnd"/>
      <w:r w:rsidRPr="00F8529A">
        <w:rPr>
          <w:rFonts w:asciiTheme="minorHAnsi" w:hAnsiTheme="minorHAnsi" w:cstheme="minorHAnsi"/>
          <w:sz w:val="24"/>
          <w:szCs w:val="24"/>
        </w:rPr>
        <w:t xml:space="preserve"> Blood Glucose Monitoring Systems: A Review. Sensors, 20(24), 7010. https://doi.org/10.3390/s20247010</w:t>
      </w:r>
    </w:p>
    <w:p w:rsidR="00C035F0" w:rsidRPr="00F8529A" w:rsidRDefault="00BC3CC6" w:rsidP="00F8529A">
      <w:pPr>
        <w:spacing w:before="60" w:after="60"/>
        <w:ind w:left="720" w:hanging="720"/>
        <w:jc w:val="both"/>
        <w:rPr>
          <w:rFonts w:asciiTheme="minorHAnsi" w:hAnsiTheme="minorHAnsi" w:cstheme="minorHAnsi"/>
          <w:sz w:val="24"/>
          <w:szCs w:val="24"/>
        </w:rPr>
      </w:pPr>
      <w:r w:rsidRPr="00F8529A">
        <w:rPr>
          <w:rFonts w:asciiTheme="minorHAnsi" w:hAnsiTheme="minorHAnsi" w:cstheme="minorHAnsi"/>
          <w:b/>
          <w:bCs/>
          <w:color w:val="2E75B6"/>
          <w:sz w:val="24"/>
          <w:szCs w:val="24"/>
        </w:rPr>
        <w:t>[18</w:t>
      </w:r>
      <w:proofErr w:type="gramStart"/>
      <w:r w:rsidRPr="00F8529A">
        <w:rPr>
          <w:rFonts w:asciiTheme="minorHAnsi" w:hAnsiTheme="minorHAnsi" w:cstheme="minorHAnsi"/>
          <w:b/>
          <w:bCs/>
          <w:color w:val="2E75B6"/>
          <w:sz w:val="24"/>
          <w:szCs w:val="24"/>
        </w:rPr>
        <w:t xml:space="preserve">]  </w:t>
      </w:r>
      <w:r w:rsidRPr="00F8529A">
        <w:rPr>
          <w:rFonts w:asciiTheme="minorHAnsi" w:hAnsiTheme="minorHAnsi" w:cstheme="minorHAnsi"/>
          <w:sz w:val="24"/>
          <w:szCs w:val="24"/>
        </w:rPr>
        <w:t>TDK</w:t>
      </w:r>
      <w:proofErr w:type="gramEnd"/>
      <w:r w:rsidRPr="00F8529A">
        <w:rPr>
          <w:rFonts w:asciiTheme="minorHAnsi" w:hAnsiTheme="minorHAnsi" w:cstheme="minorHAnsi"/>
          <w:sz w:val="24"/>
          <w:szCs w:val="24"/>
        </w:rPr>
        <w:t xml:space="preserve"> </w:t>
      </w:r>
      <w:proofErr w:type="spellStart"/>
      <w:r w:rsidRPr="00F8529A">
        <w:rPr>
          <w:rFonts w:asciiTheme="minorHAnsi" w:hAnsiTheme="minorHAnsi" w:cstheme="minorHAnsi"/>
          <w:sz w:val="24"/>
          <w:szCs w:val="24"/>
        </w:rPr>
        <w:t>InvenSense</w:t>
      </w:r>
      <w:proofErr w:type="spellEnd"/>
      <w:r w:rsidRPr="00F8529A">
        <w:rPr>
          <w:rFonts w:asciiTheme="minorHAnsi" w:hAnsiTheme="minorHAnsi" w:cstheme="minorHAnsi"/>
          <w:sz w:val="24"/>
          <w:szCs w:val="24"/>
        </w:rPr>
        <w:t>. (2021). ICM-42688-P Six-Axis IMU Datasheet. Retrieved from https://invensense.tdk.com/products/motion-tracking/6-axis/icm-42688-p/</w:t>
      </w:r>
    </w:p>
    <w:p w:rsidR="00C035F0" w:rsidRDefault="00C035F0">
      <w:pPr>
        <w:spacing w:before="80" w:after="80"/>
      </w:pPr>
    </w:p>
    <w:p w:rsidR="00C035F0" w:rsidRDefault="00C035F0">
      <w:pPr>
        <w:pBdr>
          <w:bottom w:val="single" w:sz="6" w:space="1" w:color="2E75B6"/>
        </w:pBdr>
        <w:spacing w:before="120" w:after="120"/>
      </w:pPr>
    </w:p>
    <w:p w:rsidR="00C035F0" w:rsidRPr="00BC3CC6" w:rsidRDefault="00BC3CC6">
      <w:pPr>
        <w:spacing w:before="240"/>
        <w:jc w:val="center"/>
        <w:rPr>
          <w:lang w:val="de-DE"/>
        </w:rPr>
      </w:pPr>
      <w:r w:rsidRPr="00BC3CC6">
        <w:rPr>
          <w:color w:val="999999"/>
          <w:sz w:val="18"/>
          <w:szCs w:val="18"/>
          <w:lang w:val="de-DE"/>
        </w:rPr>
        <w:t>Smartband V001 Project  |  Hochschule Hamm-Lippstadt (HSHL)  |  June 2026</w:t>
      </w:r>
    </w:p>
    <w:sectPr w:rsidR="00C035F0" w:rsidRPr="00BC3CC6">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25C4" w:rsidRDefault="00E925C4">
      <w:r>
        <w:separator/>
      </w:r>
    </w:p>
  </w:endnote>
  <w:endnote w:type="continuationSeparator" w:id="0">
    <w:p w:rsidR="00E925C4" w:rsidRDefault="00E92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CC6" w:rsidRPr="00BC3CC6" w:rsidRDefault="00BC3CC6">
    <w:pPr>
      <w:pBdr>
        <w:top w:val="single" w:sz="6" w:space="1" w:color="2E75B6"/>
      </w:pBdr>
      <w:tabs>
        <w:tab w:val="right" w:pos="9026"/>
      </w:tabs>
      <w:rPr>
        <w:lang w:val="de-DE"/>
      </w:rPr>
    </w:pPr>
    <w:r w:rsidRPr="00BC3CC6">
      <w:rPr>
        <w:color w:val="666666"/>
        <w:sz w:val="18"/>
        <w:szCs w:val="18"/>
        <w:lang w:val="de-DE"/>
      </w:rPr>
      <w:t>Hochschule Hamm-Lippstadt (HSHL)  |  June 2026</w:t>
    </w:r>
    <w:r w:rsidRPr="00BC3CC6">
      <w:rPr>
        <w:color w:val="666666"/>
        <w:sz w:val="18"/>
        <w:szCs w:val="18"/>
        <w:lang w:val="de-DE"/>
      </w:rPr>
      <w:tab/>
      <w:t xml:space="preserve">Page </w:t>
    </w:r>
    <w:r>
      <w:rPr>
        <w:color w:val="666666"/>
        <w:sz w:val="18"/>
        <w:szCs w:val="18"/>
      </w:rPr>
      <w:fldChar w:fldCharType="begin"/>
    </w:r>
    <w:r w:rsidRPr="00BC3CC6">
      <w:rPr>
        <w:color w:val="666666"/>
        <w:sz w:val="18"/>
        <w:szCs w:val="18"/>
        <w:lang w:val="de-DE"/>
      </w:rPr>
      <w:instrText>PAGE</w:instrText>
    </w:r>
    <w:r>
      <w:rPr>
        <w:color w:val="666666"/>
        <w:sz w:val="18"/>
        <w:szCs w:val="18"/>
      </w:rPr>
      <w:fldChar w:fldCharType="separate"/>
    </w:r>
    <w:r w:rsidR="00126BCC">
      <w:rPr>
        <w:noProof/>
        <w:color w:val="666666"/>
        <w:sz w:val="18"/>
        <w:szCs w:val="18"/>
        <w:lang w:val="de-DE"/>
      </w:rPr>
      <w:t>13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25C4" w:rsidRDefault="00E925C4">
      <w:r>
        <w:separator/>
      </w:r>
    </w:p>
  </w:footnote>
  <w:footnote w:type="continuationSeparator" w:id="0">
    <w:p w:rsidR="00E925C4" w:rsidRDefault="00E925C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CC6" w:rsidRDefault="00BC3CC6">
    <w:pPr>
      <w:pBdr>
        <w:bottom w:val="single" w:sz="6" w:space="1" w:color="2E75B6"/>
      </w:pBdr>
      <w:spacing w:after="100"/>
    </w:pPr>
    <w:proofErr w:type="spellStart"/>
    <w:r>
      <w:rPr>
        <w:color w:val="666666"/>
        <w:sz w:val="18"/>
        <w:szCs w:val="18"/>
      </w:rPr>
      <w:t>Smartband</w:t>
    </w:r>
    <w:proofErr w:type="spellEnd"/>
    <w:r>
      <w:rPr>
        <w:color w:val="666666"/>
        <w:sz w:val="18"/>
        <w:szCs w:val="18"/>
      </w:rPr>
      <w:t xml:space="preserve"> V001 — FHIR Integration </w:t>
    </w:r>
    <w:proofErr w:type="gramStart"/>
    <w:r>
      <w:rPr>
        <w:color w:val="666666"/>
        <w:sz w:val="18"/>
        <w:szCs w:val="18"/>
      </w:rPr>
      <w:t>Prospects  |</w:t>
    </w:r>
    <w:proofErr w:type="gramEnd"/>
    <w:r>
      <w:rPr>
        <w:color w:val="666666"/>
        <w:sz w:val="18"/>
        <w:szCs w:val="18"/>
      </w:rPr>
      <w:t xml:space="preserve">  HSHL Project  |  Masrur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A75F5"/>
    <w:multiLevelType w:val="hybridMultilevel"/>
    <w:tmpl w:val="0D500ECA"/>
    <w:lvl w:ilvl="0" w:tplc="C61CCE8A">
      <w:start w:val="1"/>
      <w:numFmt w:val="bullet"/>
      <w:lvlText w:val="●"/>
      <w:lvlJc w:val="left"/>
      <w:pPr>
        <w:ind w:left="720" w:hanging="360"/>
      </w:pPr>
    </w:lvl>
    <w:lvl w:ilvl="1" w:tplc="05420DDA">
      <w:start w:val="1"/>
      <w:numFmt w:val="bullet"/>
      <w:lvlText w:val="○"/>
      <w:lvlJc w:val="left"/>
      <w:pPr>
        <w:ind w:left="1440" w:hanging="360"/>
      </w:pPr>
    </w:lvl>
    <w:lvl w:ilvl="2" w:tplc="AB5EBD9C">
      <w:start w:val="1"/>
      <w:numFmt w:val="bullet"/>
      <w:lvlText w:val="■"/>
      <w:lvlJc w:val="left"/>
      <w:pPr>
        <w:ind w:left="2160" w:hanging="360"/>
      </w:pPr>
    </w:lvl>
    <w:lvl w:ilvl="3" w:tplc="AD1A3F72">
      <w:start w:val="1"/>
      <w:numFmt w:val="bullet"/>
      <w:lvlText w:val="●"/>
      <w:lvlJc w:val="left"/>
      <w:pPr>
        <w:ind w:left="2880" w:hanging="360"/>
      </w:pPr>
    </w:lvl>
    <w:lvl w:ilvl="4" w:tplc="5C80371C">
      <w:start w:val="1"/>
      <w:numFmt w:val="bullet"/>
      <w:lvlText w:val="○"/>
      <w:lvlJc w:val="left"/>
      <w:pPr>
        <w:ind w:left="3600" w:hanging="360"/>
      </w:pPr>
    </w:lvl>
    <w:lvl w:ilvl="5" w:tplc="B7888A04">
      <w:start w:val="1"/>
      <w:numFmt w:val="bullet"/>
      <w:lvlText w:val="■"/>
      <w:lvlJc w:val="left"/>
      <w:pPr>
        <w:ind w:left="4320" w:hanging="360"/>
      </w:pPr>
    </w:lvl>
    <w:lvl w:ilvl="6" w:tplc="3012A7BE">
      <w:start w:val="1"/>
      <w:numFmt w:val="bullet"/>
      <w:lvlText w:val="●"/>
      <w:lvlJc w:val="left"/>
      <w:pPr>
        <w:ind w:left="5040" w:hanging="360"/>
      </w:pPr>
    </w:lvl>
    <w:lvl w:ilvl="7" w:tplc="A09C25FC">
      <w:start w:val="1"/>
      <w:numFmt w:val="bullet"/>
      <w:lvlText w:val="●"/>
      <w:lvlJc w:val="left"/>
      <w:pPr>
        <w:ind w:left="5760" w:hanging="360"/>
      </w:pPr>
    </w:lvl>
    <w:lvl w:ilvl="8" w:tplc="8BBC3D78">
      <w:start w:val="1"/>
      <w:numFmt w:val="bullet"/>
      <w:lvlText w:val="●"/>
      <w:lvlJc w:val="left"/>
      <w:pPr>
        <w:ind w:left="6480" w:hanging="360"/>
      </w:pPr>
    </w:lvl>
  </w:abstractNum>
  <w:abstractNum w:abstractNumId="1" w15:restartNumberingAfterBreak="0">
    <w:nsid w:val="51D802F2"/>
    <w:multiLevelType w:val="hybridMultilevel"/>
    <w:tmpl w:val="3A58B01E"/>
    <w:lvl w:ilvl="0" w:tplc="EE422104">
      <w:start w:val="1"/>
      <w:numFmt w:val="bullet"/>
      <w:lvlText w:val="•"/>
      <w:lvlJc w:val="left"/>
      <w:pPr>
        <w:ind w:left="720" w:hanging="360"/>
      </w:pPr>
    </w:lvl>
    <w:lvl w:ilvl="1" w:tplc="F838493E">
      <w:numFmt w:val="decimal"/>
      <w:lvlText w:val=""/>
      <w:lvlJc w:val="left"/>
    </w:lvl>
    <w:lvl w:ilvl="2" w:tplc="5C86E67E">
      <w:numFmt w:val="decimal"/>
      <w:lvlText w:val=""/>
      <w:lvlJc w:val="left"/>
    </w:lvl>
    <w:lvl w:ilvl="3" w:tplc="091E1500">
      <w:numFmt w:val="decimal"/>
      <w:lvlText w:val=""/>
      <w:lvlJc w:val="left"/>
    </w:lvl>
    <w:lvl w:ilvl="4" w:tplc="F8A433A6">
      <w:numFmt w:val="decimal"/>
      <w:lvlText w:val=""/>
      <w:lvlJc w:val="left"/>
    </w:lvl>
    <w:lvl w:ilvl="5" w:tplc="E5F81E30">
      <w:numFmt w:val="decimal"/>
      <w:lvlText w:val=""/>
      <w:lvlJc w:val="left"/>
    </w:lvl>
    <w:lvl w:ilvl="6" w:tplc="9252E264">
      <w:numFmt w:val="decimal"/>
      <w:lvlText w:val=""/>
      <w:lvlJc w:val="left"/>
    </w:lvl>
    <w:lvl w:ilvl="7" w:tplc="9602747C">
      <w:numFmt w:val="decimal"/>
      <w:lvlText w:val=""/>
      <w:lvlJc w:val="left"/>
    </w:lvl>
    <w:lvl w:ilvl="8" w:tplc="55C02370">
      <w:numFmt w:val="decimal"/>
      <w:lvlText w:val=""/>
      <w:lvlJc w:val="left"/>
    </w:lvl>
  </w:abstractNum>
  <w:abstractNum w:abstractNumId="2" w15:restartNumberingAfterBreak="0">
    <w:nsid w:val="6A5E6E9D"/>
    <w:multiLevelType w:val="hybridMultilevel"/>
    <w:tmpl w:val="7500247A"/>
    <w:lvl w:ilvl="0" w:tplc="B9709792">
      <w:start w:val="1"/>
      <w:numFmt w:val="decimal"/>
      <w:lvlText w:val="%1."/>
      <w:lvlJc w:val="left"/>
      <w:pPr>
        <w:ind w:left="720" w:hanging="360"/>
      </w:pPr>
    </w:lvl>
    <w:lvl w:ilvl="1" w:tplc="3514BED8">
      <w:numFmt w:val="decimal"/>
      <w:lvlText w:val=""/>
      <w:lvlJc w:val="left"/>
    </w:lvl>
    <w:lvl w:ilvl="2" w:tplc="0FE8B38E">
      <w:numFmt w:val="decimal"/>
      <w:lvlText w:val=""/>
      <w:lvlJc w:val="left"/>
    </w:lvl>
    <w:lvl w:ilvl="3" w:tplc="CC7642D0">
      <w:numFmt w:val="decimal"/>
      <w:lvlText w:val=""/>
      <w:lvlJc w:val="left"/>
    </w:lvl>
    <w:lvl w:ilvl="4" w:tplc="98160BCE">
      <w:numFmt w:val="decimal"/>
      <w:lvlText w:val=""/>
      <w:lvlJc w:val="left"/>
    </w:lvl>
    <w:lvl w:ilvl="5" w:tplc="17EC1BF6">
      <w:numFmt w:val="decimal"/>
      <w:lvlText w:val=""/>
      <w:lvlJc w:val="left"/>
    </w:lvl>
    <w:lvl w:ilvl="6" w:tplc="F2F68EAC">
      <w:numFmt w:val="decimal"/>
      <w:lvlText w:val=""/>
      <w:lvlJc w:val="left"/>
    </w:lvl>
    <w:lvl w:ilvl="7" w:tplc="FD9E47BC">
      <w:numFmt w:val="decimal"/>
      <w:lvlText w:val=""/>
      <w:lvlJc w:val="left"/>
    </w:lvl>
    <w:lvl w:ilvl="8" w:tplc="76A4F3A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5F0"/>
    <w:rsid w:val="00126BCC"/>
    <w:rsid w:val="00160EAD"/>
    <w:rsid w:val="00BC3CC6"/>
    <w:rsid w:val="00C035F0"/>
    <w:rsid w:val="00E925C4"/>
    <w:rsid w:val="00F852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455BC"/>
  <w15:docId w15:val="{7EEBE631-365C-4426-AEEB-C96C31DD3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2E75B6"/>
      <w:sz w:val="32"/>
      <w:szCs w:val="32"/>
    </w:rPr>
  </w:style>
  <w:style w:type="paragraph" w:styleId="Heading2">
    <w:name w:val="heading 2"/>
    <w:qFormat/>
    <w:pPr>
      <w:spacing w:before="240" w:after="80"/>
      <w:outlineLvl w:val="1"/>
    </w:pPr>
    <w:rPr>
      <w:b/>
      <w:bCs/>
      <w:color w:val="1F5C8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3242</Words>
  <Characters>18486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Masrur Jamil Prochchhod</cp:lastModifiedBy>
  <cp:revision>5</cp:revision>
  <dcterms:created xsi:type="dcterms:W3CDTF">2026-06-02T19:59:00Z</dcterms:created>
  <dcterms:modified xsi:type="dcterms:W3CDTF">2026-06-02T20:23:00Z</dcterms:modified>
</cp:coreProperties>
</file>