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635" distB="12700" distL="114300" distR="113030" simplePos="0" locked="0" layoutInCell="0" allowOverlap="1" relativeHeight="3" wp14:anchorId="1455780E">
                <wp:simplePos x="0" y="0"/>
                <wp:positionH relativeFrom="column">
                  <wp:posOffset>31115</wp:posOffset>
                </wp:positionH>
                <wp:positionV relativeFrom="margin">
                  <wp:posOffset>1717040</wp:posOffset>
                </wp:positionV>
                <wp:extent cx="7267575" cy="3975735"/>
                <wp:effectExtent l="0" t="0" r="0" b="5715"/>
                <wp:wrapTight wrapText="bothSides">
                  <wp:wrapPolygon edited="0">
                    <wp:start x="510" y="0"/>
                    <wp:lineTo x="510" y="10143"/>
                    <wp:lineTo x="170" y="11488"/>
                    <wp:lineTo x="113" y="21528"/>
                    <wp:lineTo x="21402" y="21528"/>
                    <wp:lineTo x="21515" y="11488"/>
                    <wp:lineTo x="18118" y="10143"/>
                    <wp:lineTo x="18118" y="0"/>
                    <wp:lineTo x="510" y="0"/>
                  </wp:wrapPolygon>
                </wp:wrapTight>
                <wp:docPr id="1" name="Grupo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680" cy="3975840"/>
                          <a:chOff x="0" y="0"/>
                          <a:chExt cx="7267680" cy="3975840"/>
                        </a:xfrm>
                      </wpg:grpSpPr>
                      <wps:wsp>
                        <wps:cNvSpPr/>
                        <wps:spPr>
                          <a:xfrm>
                            <a:off x="123840" y="0"/>
                            <a:ext cx="6039000" cy="212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="Calibri" w:hAnsi="Calibri" w:cs="Arial"/>
                                  <w:color w:val="ACCD38"/>
                                  <w:lang w:val="en-US"/>
                                </w:rPr>
                                <w:t>Shipment simulator  V1.0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083320"/>
                            <a:ext cx="7267680" cy="189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="Calibri" w:hAnsi="Calibri" w:cs="Arial"/>
                                  <w:color w:val="047CAC"/>
                                  <w:lang w:val="en-US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tIns="80640" bIns="8064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" style="position:absolute;margin-left:2.45pt;margin-top:135.2pt;width:572.25pt;height:313.05pt" coordorigin="49,2704" coordsize="11445,6261">
                <v:rect id="shape_0" ID="Text Box 9" path="m0,0l-2147483645,0l-2147483645,-2147483646l0,-2147483646xe" stroked="f" o:allowincell="f" style="position:absolute;left:244;top:2704;width:9509;height:3348;mso-wrap-style:square;v-text-anchor:top;mso-position-vertic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="Calibri" w:hAnsi="Calibri" w:cs="Arial"/>
                            <w:color w:val="ACCD38"/>
                            <w:lang w:val="en-US"/>
                          </w:rPr>
                          <w:t>Shipment simulator  V1.0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 Box 15" path="m0,0l-2147483645,0l-2147483645,-2147483646l0,-2147483646xe" stroked="f" o:allowincell="f" style="position:absolute;left:49;top:5985;width:11444;height:2979;mso-wrap-style:square;v-text-anchor:top;mso-position-vertic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="Calibri" w:hAnsi="Calibri" w:cs="Arial"/>
                            <w:color w:val="047CAC"/>
                            <w:lang w:val="en-US"/>
                          </w:rPr>
                          <w:t>Documentation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785" distB="65405" distL="114300" distR="114300" simplePos="0" locked="0" layoutInCell="0" allowOverlap="1" relativeHeight="6" wp14:anchorId="3A471C71">
                <wp:simplePos x="0" y="0"/>
                <wp:positionH relativeFrom="page">
                  <wp:posOffset>933450</wp:posOffset>
                </wp:positionH>
                <wp:positionV relativeFrom="margin">
                  <wp:posOffset>6450965</wp:posOffset>
                </wp:positionV>
                <wp:extent cx="6191250" cy="847725"/>
                <wp:effectExtent l="0" t="0" r="0" b="0"/>
                <wp:wrapTight wrapText="bothSides">
                  <wp:wrapPolygon edited="0">
                    <wp:start x="133" y="1456"/>
                    <wp:lineTo x="133" y="19901"/>
                    <wp:lineTo x="21401" y="19901"/>
                    <wp:lineTo x="21401" y="1456"/>
                    <wp:lineTo x="133" y="1456"/>
                  </wp:wrapPolygon>
                </wp:wrapTight>
                <wp:docPr id="2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80" cy="84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>Author(s): Rodrigo Tapia, Ali Nadi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Author’(s’) affiliation (Partner short name): TU DELFT</w:t>
                            </w:r>
                          </w:p>
                        </w:txbxContent>
                      </wps:txbx>
                      <wps:bodyPr t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73.5pt;margin-top:507.95pt;width:487.45pt;height:66.7pt;mso-wrap-style:square;v-text-anchor:top;mso-position-horizontal-relative:page;mso-position-vertical-relative:margin" wp14:anchorId="3A471C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>Author(s): Rodrigo Tapia, Ali Nadi</w:t>
                      </w:r>
                    </w:p>
                    <w:p>
                      <w:pPr>
                        <w:pStyle w:val="FrameContents"/>
                        <w:spacing w:before="0" w:after="20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Author’(s’) affiliation (Partner short name): TU DELFT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CD"/>
          <w:szCs w:val="39"/>
        </w:rPr>
      </w:pPr>
      <w:r>
        <w:rPr/>
        <w:t>Revision History</w:t>
      </w:r>
    </w:p>
    <w:tbl>
      <w:tblPr>
        <w:tblW w:w="92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5"/>
        <w:gridCol w:w="1317"/>
        <w:gridCol w:w="6342"/>
      </w:tblGrid>
      <w:tr>
        <w:trPr>
          <w:trHeight w:val="510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047CAC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Version No.</w:t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047CAC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Date</w:t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047CAC" w:val="clear"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Details</w:t>
            </w:r>
          </w:p>
        </w:tc>
      </w:tr>
      <w:tr>
        <w:trPr>
          <w:trHeight w:val="453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26/08/22</w:t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</w:tr>
      <w:tr>
        <w:trPr>
          <w:trHeight w:val="453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</w:tr>
      <w:tr>
        <w:trPr>
          <w:trHeight w:val="453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</w:tr>
      <w:tr>
        <w:trPr>
          <w:trHeight w:val="453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i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</w:r>
          </w:p>
        </w:tc>
      </w:tr>
      <w:tr>
        <w:trPr>
          <w:trHeight w:val="453" w:hRule="atLeast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</w:r>
          </w:p>
        </w:tc>
        <w:tc>
          <w:tcPr>
            <w:tcW w:w="13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i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</w:r>
          </w:p>
        </w:tc>
        <w:tc>
          <w:tcPr>
            <w:tcW w:w="63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rPr>
                <w:rFonts w:cs="Arial"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7681"/>
          <w:sz w:val="40"/>
        </w:rPr>
      </w:pPr>
      <w:r>
        <w:rPr>
          <w:color w:val="007681"/>
          <w:sz w:val="40"/>
        </w:rPr>
      </w:r>
      <w:r>
        <w:br w:type="page"/>
      </w:r>
    </w:p>
    <w:p>
      <w:pPr>
        <w:pStyle w:val="SubDocHeader2Red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660" w:leader="none"/>
              <w:tab w:val="right" w:pos="8756" w:leader="dot"/>
            </w:tabs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9359041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1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Scope and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756" w:leader="dot"/>
            </w:tabs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en-GB"/>
            </w:rPr>
          </w:pPr>
          <w:hyperlink w:anchor="_Toc93590420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</w:rPr>
              <w:t>Requirements.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21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22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Input/Outputs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23">
            <w:r>
              <w:rPr>
                <w:webHidden/>
                <w:rStyle w:val="IndexLink"/>
              </w:rPr>
              <w:t>2.2.1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Inputs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24">
            <w:r>
              <w:rPr>
                <w:webHidden/>
                <w:rStyle w:val="IndexLink"/>
              </w:rPr>
              <w:t>2.2.2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Outputs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25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Paths structure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756" w:leader="dot"/>
            </w:tabs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en-GB"/>
            </w:rPr>
          </w:pPr>
          <w:hyperlink w:anchor="_Toc93590426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</w:rPr>
              <w:t>Model 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756" w:leader="dot"/>
            </w:tabs>
            <w:rPr>
              <w:rFonts w:ascii="Calibri" w:hAnsi="Calibri" w:eastAsia="" w:cs="Arial" w:asciiTheme="minorHAnsi" w:cstheme="minorBidi" w:eastAsiaTheme="minorEastAsia" w:hAnsiTheme="minorHAnsi"/>
              <w:b w:val="false"/>
              <w:b w:val="false"/>
              <w:color w:val="auto"/>
              <w:sz w:val="22"/>
              <w:szCs w:val="22"/>
              <w:lang w:eastAsia="en-GB"/>
            </w:rPr>
          </w:pPr>
          <w:hyperlink w:anchor="_Toc93590427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b w:val="false"/>
                <w:color w:val="auto"/>
                <w:sz w:val="22"/>
                <w:szCs w:val="22"/>
                <w:lang w:eastAsia="en-GB"/>
              </w:rPr>
              <w:tab/>
            </w:r>
            <w:r>
              <w:rPr>
                <w:rStyle w:val="IndexLink"/>
              </w:rPr>
              <w:t>Instructions to run the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28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Command line execution of the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29">
            <w:r>
              <w:rPr>
                <w:webHidden/>
                <w:rStyle w:val="IndexLink"/>
              </w:rPr>
              <w:t>4.1.1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Instructions and commands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30">
            <w:r>
              <w:rPr>
                <w:webHidden/>
                <w:rStyle w:val="IndexLink"/>
              </w:rPr>
              <w:t>4.1.2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Arial" w:asciiTheme="minorHAnsi" w:cstheme="minorBidi" w:eastAsiaTheme="minorEastAsia" w:hAnsiTheme="minorHAnsi"/>
              <w:color w:val="auto"/>
              <w:sz w:val="22"/>
              <w:lang w:eastAsia="en-GB"/>
            </w:rPr>
          </w:pPr>
          <w:hyperlink w:anchor="_Toc93590431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color w:val="auto"/>
                <w:sz w:val="22"/>
                <w:lang w:eastAsia="en-GB"/>
              </w:rPr>
              <w:tab/>
            </w:r>
            <w:r>
              <w:rPr>
                <w:rStyle w:val="IndexLink"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32">
            <w:r>
              <w:rPr>
                <w:webHidden/>
                <w:rStyle w:val="IndexLink"/>
              </w:rPr>
              <w:t>4.2.1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Testing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Arial" w:asciiTheme="minorHAnsi" w:cstheme="minorBidi" w:eastAsiaTheme="minorEastAsia" w:hAnsiTheme="minorHAnsi"/>
              <w:lang w:eastAsia="en-GB"/>
            </w:rPr>
          </w:pPr>
          <w:hyperlink w:anchor="_Toc93590433">
            <w:r>
              <w:rPr>
                <w:webHidden/>
                <w:rStyle w:val="IndexLink"/>
              </w:rPr>
              <w:t>4.2.2</w:t>
            </w:r>
            <w:r>
              <w:rPr>
                <w:rStyle w:val="IndexLink"/>
                <w:rFonts w:eastAsia="" w:cs="Arial" w:ascii="Calibri" w:hAnsi="Calibri" w:asciiTheme="minorHAnsi" w:cstheme="minorBidi" w:eastAsiaTheme="minorEastAsia" w:hAnsiTheme="minorHAnsi"/>
                <w:lang w:eastAsia="en-GB"/>
              </w:rPr>
              <w:tab/>
            </w:r>
            <w:r>
              <w:rPr>
                <w:rStyle w:val="IndexLink"/>
              </w:rPr>
              <w:t>Input folder (Arg[2])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_Toc93590433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left" w:pos="1100" w:leader="none"/>
          <w:tab w:val="right" w:pos="8756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DocHeader2Red"/>
        <w:rPr/>
      </w:pPr>
      <w:r>
        <w:rPr/>
        <w:t>List of tables</w:t>
      </w:r>
    </w:p>
    <w:p>
      <w:pPr>
        <w:pStyle w:val="Tableoffigures"/>
        <w:tabs>
          <w:tab w:val="clear" w:pos="720"/>
          <w:tab w:val="right" w:pos="9489" w:leader="dot"/>
        </w:tabs>
        <w:rPr>
          <w:rFonts w:ascii="Calibri" w:hAnsi="Calibri" w:eastAsia="" w:cs="Arial" w:asciiTheme="minorHAnsi" w:cstheme="minorBidi" w:eastAsiaTheme="minorEastAsia" w:hAnsiTheme="minorHAnsi"/>
          <w:lang w:eastAsia="en-GB"/>
        </w:rPr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_Toc93590434">
        <w:r>
          <w:rPr>
            <w:rStyle w:val="IndexLink"/>
          </w:rPr>
          <w:t>Table 1 Parcel Generation– Inputs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_Toc93590434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489" w:leader="dot"/>
        </w:tabs>
        <w:rPr>
          <w:rFonts w:ascii="Calibri" w:hAnsi="Calibri" w:eastAsia="" w:cs="Arial" w:asciiTheme="minorHAnsi" w:cstheme="minorBidi" w:eastAsiaTheme="minorEastAsia" w:hAnsiTheme="minorHAnsi"/>
          <w:lang w:eastAsia="en-GB"/>
        </w:rPr>
      </w:pPr>
      <w:hyperlink w:anchor="_Toc93590435">
        <w:r>
          <w:rPr>
            <w:rStyle w:val="IndexLink"/>
          </w:rPr>
          <w:t>Table 2 Parcel Generation– Outputs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_Toc93590435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489" w:leader="dot"/>
        </w:tabs>
        <w:rPr>
          <w:rFonts w:ascii="Calibri" w:hAnsi="Calibri" w:eastAsia="" w:cs="Arial" w:asciiTheme="minorHAnsi" w:cstheme="minorBidi" w:eastAsiaTheme="minorEastAsia" w:hAnsiTheme="minorHAnsi"/>
          <w:lang w:eastAsia="en-GB"/>
        </w:rPr>
      </w:pPr>
      <w:hyperlink w:anchor="_Toc93590436">
        <w:r>
          <w:rPr>
            <w:rStyle w:val="IndexLink"/>
          </w:rPr>
          <w:t>Table 3 Parcel Generation– Inputs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_Toc93590436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489" w:leader="dot"/>
        </w:tabs>
        <w:rPr>
          <w:rFonts w:ascii="Calibri" w:hAnsi="Calibri" w:eastAsia="" w:cs="Arial" w:asciiTheme="minorHAnsi" w:cstheme="minorBidi" w:eastAsiaTheme="minorEastAsia" w:hAnsiTheme="minorHAnsi"/>
          <w:lang w:eastAsia="en-GB"/>
        </w:rPr>
      </w:pPr>
      <w:hyperlink w:anchor="_Toc93590437">
        <w:r>
          <w:rPr>
            <w:rStyle w:val="IndexLink"/>
          </w:rPr>
          <w:t>Table 4 Parcel Generation– Inputs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_Toc93590437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rFonts w:cs="Arial"/>
          <w:color w:val="004E8F"/>
          <w:sz w:val="44"/>
          <w:szCs w:val="44"/>
          <w:lang w:val="es-ES"/>
        </w:rPr>
      </w:pPr>
      <w:r>
        <w:rPr>
          <w:rFonts w:cs="Arial"/>
          <w:color w:val="004E8F"/>
          <w:sz w:val="44"/>
          <w:szCs w:val="44"/>
          <w:lang w:val="es-ES"/>
        </w:rPr>
      </w:r>
      <w:r>
        <w:br w:type="page"/>
      </w:r>
    </w:p>
    <w:p>
      <w:pPr>
        <w:pStyle w:val="Heading1"/>
        <w:rPr/>
      </w:pPr>
      <w:bookmarkStart w:id="0" w:name="_Toc93590418"/>
      <w:bookmarkStart w:id="1" w:name="_Heading_title"/>
      <w:bookmarkEnd w:id="1"/>
      <w:r>
        <w:rPr/>
        <w:t>Introduction</w:t>
      </w:r>
      <w:bookmarkEnd w:id="0"/>
    </w:p>
    <w:p>
      <w:pPr>
        <w:pStyle w:val="Heading2"/>
        <w:rPr/>
      </w:pPr>
      <w:bookmarkStart w:id="2" w:name="_Toc93590419"/>
      <w:r>
        <w:rPr/>
        <w:t>Scope and objectives</w:t>
      </w:r>
      <w:bookmarkEnd w:id="2"/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The simulation of freight transport activities requires generation of shipments for each logistic firms. The firms can be generated by a firm synthesis procedure. The shipment simulator simulates different logistic choices of these firms. First, it synthesize shipments which generates a set of shipments that are transported in the </w:t>
      </w:r>
      <w:bookmarkStart w:id="3" w:name="_GoBack"/>
      <w:bookmarkEnd w:id="3"/>
      <w:r>
        <w:rPr/>
        <w:t>study area. Then, these shipments are distributed and scheduled based on a sequence of logistic processes: producer selection; distribution channel choices; shipment size &amp; vehicle type choice; and desired delivery time. Finally, the distributed shipments are assigned to vehicles’ tour through a bahavioural tour formation procedure. The tour formation procedure chooses the time for each tour based on the desired delivery times, and optimizes the sequence of trips in each tour.</w:t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eading1"/>
        <w:rPr/>
      </w:pPr>
      <w:bookmarkStart w:id="4" w:name="_Toc93590420"/>
      <w:r>
        <w:rPr/>
        <w:t>Requirements.</w:t>
      </w:r>
      <w:bookmarkEnd w:id="4"/>
      <w:r>
        <w:rPr/>
        <w:t xml:space="preserve"> </w:t>
      </w:r>
    </w:p>
    <w:p>
      <w:pPr>
        <w:pStyle w:val="Heading2"/>
        <w:rPr/>
      </w:pPr>
      <w:bookmarkStart w:id="5" w:name="_Toc93590421"/>
      <w:r>
        <w:rPr/>
        <w:t>Software requirements</w:t>
      </w:r>
      <w:bookmarkEnd w:id="5"/>
    </w:p>
    <w:p>
      <w:pPr>
        <w:pStyle w:val="Normal"/>
        <w:spacing w:before="0" w:after="0"/>
        <w:rPr>
          <w:rFonts w:ascii="Segoe UI" w:hAnsi="Segoe UI" w:cs="Segoe UI"/>
          <w:color w:val="24292F"/>
          <w:shd w:fill="FFFFFF" w:val="clear"/>
        </w:rPr>
      </w:pPr>
      <w:r>
        <w:rPr>
          <w:rFonts w:cs="Segoe UI" w:ascii="Segoe UI" w:hAnsi="Segoe UI"/>
          <w:color w:val="24292F"/>
          <w:shd w:fill="FFFFFF" w:val="clear"/>
        </w:rPr>
        <w:t xml:space="preserve">The simulators have been built using  Python version 3.8.8. </w:t>
      </w:r>
    </w:p>
    <w:p>
      <w:pPr>
        <w:pStyle w:val="Normal"/>
        <w:spacing w:before="0" w:after="0"/>
        <w:rPr>
          <w:rFonts w:ascii="Segoe UI" w:hAnsi="Segoe UI" w:cs="Segoe UI"/>
          <w:color w:val="24292F"/>
          <w:shd w:fill="FFFFFF" w:val="clear"/>
        </w:rPr>
      </w:pPr>
      <w:r>
        <w:rPr>
          <w:rFonts w:cs="Segoe UI" w:ascii="Segoe UI" w:hAnsi="Segoe UI"/>
          <w:color w:val="24292F"/>
          <w:shd w:fill="FFFFFF" w:val="clear"/>
        </w:rPr>
        <w:t>The following Python libraries need to be installed: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fill="FFFFFF" w:val="clear"/>
        </w:rPr>
      </w:pPr>
      <w:r>
        <w:rPr>
          <w:rFonts w:cs="Segoe UI" w:ascii="Segoe UI" w:hAnsi="Segoe UI"/>
          <w:color w:val="24292F"/>
          <w:shd w:fill="FFFFFF" w:val="clear"/>
        </w:rPr>
        <w:t>pandas==1.3.4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fill="FFFFFF" w:val="clear"/>
        </w:rPr>
      </w:pPr>
      <w:r>
        <w:rPr>
          <w:rFonts w:cs="Segoe UI" w:ascii="Segoe UI" w:hAnsi="Segoe UI"/>
          <w:color w:val="24292F"/>
          <w:shd w:fill="FFFFFF" w:val="clear"/>
        </w:rPr>
        <w:t>pyshp==2.1.3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>tk==0.1.0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>numpy==1.19.1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>scipy==1.5.0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>shapely==1.7.0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>numba==0.53.0</w:t>
      </w:r>
    </w:p>
    <w:p>
      <w:pPr>
        <w:pStyle w:val="Heading2"/>
        <w:rPr/>
      </w:pPr>
      <w:bookmarkStart w:id="6" w:name="_Toc93590422"/>
      <w:r>
        <w:rPr/>
        <w:t>Input/Outputs</w:t>
      </w:r>
      <w:bookmarkEnd w:id="6"/>
      <w:r>
        <w:rPr/>
        <w:t xml:space="preserve"> </w:t>
      </w:r>
    </w:p>
    <w:p>
      <w:pPr>
        <w:pStyle w:val="Heading3"/>
        <w:tabs>
          <w:tab w:val="clear" w:pos="720"/>
          <w:tab w:val="left" w:pos="630" w:leader="none"/>
        </w:tabs>
        <w:ind w:left="0" w:hanging="0"/>
        <w:rPr/>
      </w:pPr>
      <w:bookmarkStart w:id="7" w:name="_Toc93590423"/>
      <w:r>
        <w:rPr/>
        <w:t>Inputs</w:t>
      </w:r>
      <w:bookmarkEnd w:id="7"/>
    </w:p>
    <w:p>
      <w:pPr>
        <w:pStyle w:val="Normal"/>
        <w:rPr/>
      </w:pPr>
      <w:r>
        <w:rPr/>
        <w:t xml:space="preserve">The inputs of the Shipment simulator are described in Table 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bookmarkStart w:id="8" w:name="_Toc93590434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Shipment Synthesis– Inputs</w:t>
      </w:r>
      <w:bookmarkEnd w:id="8"/>
    </w:p>
    <w:tbl>
      <w:tblPr>
        <w:tblStyle w:val="TableGrid"/>
        <w:tblW w:w="94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5893"/>
      </w:tblGrid>
      <w:tr>
        <w:trPr>
          <w:trHeight w:val="4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 xml:space="preserve">Inputs </w:t>
            </w:r>
          </w:p>
        </w:tc>
        <w:tc>
          <w:tcPr>
            <w:tcW w:w="5893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>Description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skimTijd_new_REF.mtx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Time</w:t>
            </w: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 xml:space="preserve"> skim matrix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skimAfstand_new_REF.mtx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Distance skim matrix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nodes_v5.shp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logistics nodes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Zones_v6.shp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study area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SEGS2020.csv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Socioeconomic Data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parcelNodes_v2.shp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Parcel depot nodes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distributieCentra.csv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centers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nstrToLogisticSegment.csv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converion NSTR to Logistic segments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MakeDistribution.csv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of making shipments per logistic sectors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UseDistribution.csv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of using shipments per logistic sectors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SupCoordinatesID.csv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External Zones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CorrectionsTonnes2016.csv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correction of tonnes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CEPshares.csv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Courier Market Shares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Cost_VehType_2016.csv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cost per vehicle types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Cost_Sourcing_2016.csv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cost of out sourcing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NUTS32013toMRDH.csv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NUTS32013 to MRDH conversion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CarryingCapacity.csv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carrying capacity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LogFlowtype_Shares.csv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market share of logistic flow types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Params_TOD.csv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time of day choice model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Params_ShipSize_VehType.csv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paraeters of shipment size and vehicle type choice model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Params_EndTourFirst.csv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end of tour choice model for the first visited location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Params_EndTourLater.csv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the end of tour choice model for the later visited locations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ConsolidationPotential.csv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consolidation potentials for different logistics sectors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ZEZscenario.csv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specifications for the zero emmission zones in the study area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Firms.csv</w:t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synthesized firms specifications</w:t>
            </w:r>
          </w:p>
        </w:tc>
      </w:tr>
      <w:tr>
        <w:trPr>
          <w:trHeight w:val="454" w:hRule="atLeast"/>
        </w:trPr>
        <w:tc>
          <w:tcPr>
            <w:tcW w:w="3595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589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</w:rPr>
            </w:pPr>
            <w:r>
              <w:rPr>
                <w:kern w:val="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tabs>
          <w:tab w:val="clear" w:pos="720"/>
          <w:tab w:val="left" w:pos="630" w:leader="none"/>
        </w:tabs>
        <w:ind w:left="0" w:hanging="0"/>
        <w:rPr/>
      </w:pPr>
      <w:bookmarkStart w:id="9" w:name="_Toc93590424"/>
      <w:r>
        <w:rPr/>
        <w:t>Outputs</w:t>
      </w:r>
      <w:bookmarkEnd w:id="9"/>
    </w:p>
    <w:p>
      <w:pPr>
        <w:pStyle w:val="Normal"/>
        <w:rPr/>
      </w:pPr>
      <w:r>
        <w:rPr/>
        <w:t xml:space="preserve">The outputs of the parcel generation module are described in Table 2. </w:t>
      </w:r>
    </w:p>
    <w:p>
      <w:pPr>
        <w:pStyle w:val="Caption1"/>
        <w:keepNext w:val="true"/>
        <w:rPr>
          <w:i w:val="false"/>
          <w:i w:val="false"/>
        </w:rPr>
      </w:pPr>
      <w:r>
        <w:rPr>
          <w:i w:val="false"/>
        </w:rPr>
      </w:r>
    </w:p>
    <w:p>
      <w:pPr>
        <w:pStyle w:val="Caption1"/>
        <w:keepNext w:val="true"/>
        <w:rPr/>
      </w:pPr>
      <w:bookmarkStart w:id="10" w:name="_Toc9359043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Parcel Generation– Outputs</w:t>
      </w:r>
      <w:bookmarkEnd w:id="10"/>
    </w:p>
    <w:tbl>
      <w:tblPr>
        <w:tblStyle w:val="TableGrid"/>
        <w:tblW w:w="94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60"/>
        <w:gridCol w:w="5928"/>
      </w:tblGrid>
      <w:tr>
        <w:trPr>
          <w:trHeight w:val="4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0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 xml:space="preserve">Outputs </w:t>
            </w:r>
          </w:p>
        </w:tc>
        <w:tc>
          <w:tcPr>
            <w:tcW w:w="5928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>Description</w:t>
            </w:r>
          </w:p>
        </w:tc>
      </w:tr>
      <w:tr>
        <w:trPr>
          <w:trHeight w:val="454" w:hRule="atLeast"/>
        </w:trPr>
        <w:tc>
          <w:tcPr>
            <w:tcW w:w="356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Shipments_REF.csv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Shipments </w:t>
            </w:r>
          </w:p>
        </w:tc>
      </w:tr>
      <w:tr>
        <w:trPr>
          <w:trHeight w:val="454" w:hRule="atLeast"/>
        </w:trPr>
        <w:tc>
          <w:tcPr>
            <w:tcW w:w="356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Shipments_REF.shp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Shapefile of shipments for visualization </w:t>
            </w:r>
          </w:p>
        </w:tc>
      </w:tr>
      <w:tr>
        <w:trPr>
          <w:trHeight w:val="454" w:hRule="atLeast"/>
        </w:trPr>
        <w:tc>
          <w:tcPr>
            <w:tcW w:w="356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zonal_attractions_REF.csv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Zonal freigfht trip attraction </w:t>
            </w:r>
          </w:p>
        </w:tc>
      </w:tr>
      <w:tr>
        <w:trPr>
          <w:trHeight w:val="454" w:hRule="atLeast"/>
        </w:trPr>
        <w:tc>
          <w:tcPr>
            <w:tcW w:w="356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zonal_productions_REF.csv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Zonal freight trip production </w:t>
            </w:r>
          </w:p>
        </w:tc>
      </w:tr>
      <w:tr>
        <w:trPr>
          <w:trHeight w:val="454" w:hRule="atLeast"/>
        </w:trPr>
        <w:tc>
          <w:tcPr>
            <w:tcW w:w="356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Logfile_ShipmentSynthesizer.log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Logs of the run</w:t>
            </w:r>
          </w:p>
        </w:tc>
      </w:tr>
    </w:tbl>
    <w:p>
      <w:pPr>
        <w:pStyle w:val="Heading2"/>
        <w:rPr/>
      </w:pPr>
      <w:bookmarkStart w:id="11" w:name="_Toc93590425"/>
      <w:r>
        <w:rPr/>
        <w:t>Paths structure</w:t>
      </w:r>
      <w:bookmarkEnd w:id="11"/>
    </w:p>
    <w:p>
      <w:pPr>
        <w:pStyle w:val="Normal"/>
        <w:rPr/>
      </w:pPr>
      <w:r>
        <w:rPr/>
        <w:t>The directory where the model is located has the following structure: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textAlignment w:val="baseline"/>
        <w:rPr>
          <w:rFonts w:ascii="var(--ff-mono)" w:hAnsi="var(--ff-mono)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var(--ff-mono)" w:hAnsi="var(--ff-mono)"/>
          <w:sz w:val="20"/>
          <w:szCs w:val="20"/>
          <w:lang w:eastAsia="en-GB"/>
        </w:rPr>
        <w:t xml:space="preserve">── </w:t>
      </w:r>
      <w:r>
        <w:rPr>
          <w:rFonts w:eastAsia="Times New Roman" w:cs="Courier New" w:ascii="var(--ff-mono)" w:hAnsi="var(--ff-mono)"/>
          <w:sz w:val="20"/>
          <w:szCs w:val="20"/>
          <w:lang w:eastAsia="en-GB"/>
        </w:rPr>
        <w:t>Root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textAlignment w:val="baseline"/>
        <w:rPr>
          <w:rFonts w:ascii="var(--ff-mono)" w:hAnsi="var(--ff-mono)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var(--ff-mono)" w:hAnsi="var(--ff-mono)"/>
          <w:sz w:val="20"/>
          <w:szCs w:val="20"/>
          <w:lang w:eastAsia="en-GB"/>
        </w:rPr>
        <w:t xml:space="preserve">         ├── </w:t>
      </w:r>
      <w:r>
        <w:rPr>
          <w:rFonts w:eastAsia="Times New Roman" w:cs="Courier New" w:ascii="var(--ff-mono)" w:hAnsi="var(--ff-mono)"/>
          <w:sz w:val="20"/>
          <w:szCs w:val="20"/>
          <w:lang w:eastAsia="en-GB"/>
        </w:rPr>
        <w:t>Input Folder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 xml:space="preserve">         </w:t>
      </w:r>
      <w:r>
        <w:rPr>
          <w:rStyle w:val="HTMLCode"/>
          <w:rFonts w:ascii="var(--ff-mono)" w:hAnsi="var(--ff-mono)"/>
        </w:rPr>
        <w:t>│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textAlignment w:val="baseline"/>
        <w:rPr>
          <w:rFonts w:ascii="var(--ff-mono)" w:hAnsi="var(--ff-mono)" w:eastAsia="Times New Roman" w:cs="Courier New"/>
          <w:sz w:val="20"/>
          <w:szCs w:val="20"/>
          <w:lang w:eastAsia="en-GB"/>
        </w:rPr>
      </w:pPr>
      <w:r>
        <w:rPr>
          <w:rFonts w:eastAsia="Times New Roman" w:cs="Courier New" w:ascii="var(--ff-mono)" w:hAnsi="var(--ff-mono)"/>
          <w:sz w:val="20"/>
          <w:szCs w:val="20"/>
          <w:lang w:eastAsia="en-GB"/>
        </w:rPr>
        <w:t xml:space="preserve">         └── </w:t>
      </w:r>
      <w:r>
        <w:rPr>
          <w:rFonts w:eastAsia="Times New Roman" w:cs="Courier New" w:ascii="var(--ff-mono)" w:hAnsi="var(--ff-mono)"/>
          <w:sz w:val="20"/>
          <w:szCs w:val="20"/>
          <w:lang w:eastAsia="en-GB"/>
        </w:rPr>
        <w:t>Output folder</w:t>
      </w:r>
    </w:p>
    <w:p>
      <w:pPr>
        <w:pStyle w:val="Normal"/>
        <w:keepNext w:val="true"/>
        <w:rPr/>
      </w:pPr>
      <w:r>
        <w:rPr/>
      </w:r>
    </w:p>
    <w:p>
      <w:pPr>
        <w:pStyle w:val="Heading1"/>
        <w:rPr/>
      </w:pPr>
      <w:bookmarkStart w:id="12" w:name="_Toc93590426"/>
      <w:r>
        <w:rPr/>
        <w:t>Model  Description</w:t>
      </w:r>
      <w:bookmarkEnd w:id="12"/>
      <w:r>
        <w:rPr/>
        <w:t xml:space="preserve"> </w:t>
      </w:r>
    </w:p>
    <w:p>
      <w:pPr>
        <w:pStyle w:val="Normal"/>
        <w:rPr/>
      </w:pPr>
      <w:r>
        <w:rPr/>
        <w:t>This section describes the different files and scripts present in the model</w:t>
      </w:r>
    </w:p>
    <w:tbl>
      <w:tblPr>
        <w:tblStyle w:val="TableGrid"/>
        <w:tblW w:w="94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84"/>
        <w:gridCol w:w="1923"/>
        <w:gridCol w:w="3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4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File name</w:t>
            </w:r>
          </w:p>
        </w:tc>
        <w:tc>
          <w:tcPr>
            <w:tcW w:w="1923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Location</w:t>
            </w:r>
          </w:p>
        </w:tc>
        <w:tc>
          <w:tcPr>
            <w:tcW w:w="3682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Description</w:t>
            </w:r>
          </w:p>
        </w:tc>
      </w:tr>
      <w:tr>
        <w:trPr/>
        <w:tc>
          <w:tcPr>
            <w:tcW w:w="3884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__module_SHIP__.py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Root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Main script</w:t>
            </w:r>
          </w:p>
        </w:tc>
      </w:tr>
      <w:tr>
        <w:trPr/>
        <w:tc>
          <w:tcPr>
            <w:tcW w:w="3884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__functions__.py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Root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External functions</w:t>
            </w:r>
          </w:p>
        </w:tc>
      </w:tr>
      <w:tr>
        <w:trPr/>
        <w:tc>
          <w:tcPr>
            <w:tcW w:w="3884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requirements.txt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Root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Python packages required</w:t>
            </w:r>
          </w:p>
        </w:tc>
      </w:tr>
      <w:tr>
        <w:trPr/>
        <w:tc>
          <w:tcPr>
            <w:tcW w:w="3884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Instruction.txt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Root</w:t>
            </w:r>
          </w:p>
        </w:tc>
        <w:tc>
          <w:tcPr>
            <w:tcW w:w="3682" w:type="dxa"/>
            <w:tcBorders/>
            <w:vAlign w:val="center"/>
          </w:tcPr>
          <w:p>
            <w:pPr>
              <w:pStyle w:val="Normal"/>
              <w:widowControl/>
              <w:spacing w:before="100" w:after="200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Instruction to run code from console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_Toc93590427"/>
      <w:r>
        <w:rPr/>
        <w:t>Instructions to run the model</w:t>
      </w:r>
      <w:bookmarkEnd w:id="13"/>
      <w:r>
        <w:rPr/>
        <w:t xml:space="preserve"> </w:t>
      </w:r>
    </w:p>
    <w:p>
      <w:pPr>
        <w:pStyle w:val="Heading2"/>
        <w:ind w:left="720" w:hanging="720"/>
        <w:rPr/>
      </w:pPr>
      <w:bookmarkStart w:id="14" w:name="_Toc93590428"/>
      <w:r>
        <w:rPr/>
        <w:t>Command line execution of the model</w:t>
      </w:r>
      <w:bookmarkEnd w:id="14"/>
    </w:p>
    <w:p>
      <w:pPr>
        <w:pStyle w:val="Heading3"/>
        <w:ind w:left="1134" w:hanging="720"/>
        <w:rPr/>
      </w:pPr>
      <w:bookmarkStart w:id="15" w:name="_Toc93590429"/>
      <w:r>
        <w:rPr/>
        <w:t>Instructions and commands</w:t>
      </w:r>
      <w:bookmarkEnd w:id="15"/>
    </w:p>
    <w:p>
      <w:pPr>
        <w:pStyle w:val="Normal"/>
        <w:ind w:left="360" w:hanging="0"/>
        <w:rPr/>
      </w:pPr>
      <w:r>
        <w:rPr/>
        <w:t>The instruction to install the packages needed:</w:t>
      </w:r>
    </w:p>
    <w:p>
      <w:pPr>
        <w:pStyle w:val="ListParagraph"/>
        <w:numPr>
          <w:ilvl w:val="0"/>
          <w:numId w:val="4"/>
        </w:numPr>
        <w:rPr/>
      </w:pPr>
      <w:r>
        <w:rPr/>
        <w:t>pip install -r requirements.txt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The instruction to run the model</w:t>
      </w:r>
    </w:p>
    <w:p>
      <w:pPr>
        <w:pStyle w:val="Normal"/>
        <w:ind w:left="360" w:hanging="0"/>
        <w:rPr/>
      </w:pPr>
      <w:r>
        <w:rPr/>
        <w:t>python3 Parcel_Generation.py Label Input Output Params_ParcelGen.txt TimeSkimMatrix.mtx DistanceSkimMatrix.mtx StudyAreaShapefile.shp SocioeconomicData.csv ParcelNodes.shp CourierMarketShares.csv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3"/>
        <w:ind w:left="1134" w:hanging="720"/>
        <w:rPr/>
      </w:pPr>
      <w:bookmarkStart w:id="16" w:name="_Toc93590430"/>
      <w:r>
        <w:rPr/>
        <w:t>Arguments</w:t>
      </w:r>
      <w:bookmarkEnd w:id="16"/>
    </w:p>
    <w:p>
      <w:pPr>
        <w:pStyle w:val="Normal"/>
        <w:rPr/>
      </w:pPr>
      <w:r>
        <w:rPr/>
        <w:t>The arguments in the instructions to run the model are:</w:t>
      </w:r>
    </w:p>
    <w:p>
      <w:pPr>
        <w:pStyle w:val="Caption1"/>
        <w:keepNext w:val="true"/>
        <w:rPr/>
      </w:pPr>
      <w:bookmarkStart w:id="17" w:name="_Toc93590436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Parcel Generation– Inputs</w:t>
      </w:r>
      <w:bookmarkEnd w:id="17"/>
    </w:p>
    <w:p>
      <w:pPr>
        <w:pStyle w:val="Normal"/>
        <w:rPr/>
      </w:pPr>
      <w:r>
        <w:rPr/>
      </w:r>
    </w:p>
    <w:tbl>
      <w:tblPr>
        <w:tblStyle w:val="TableGrid"/>
        <w:tblW w:w="8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5"/>
        <w:gridCol w:w="7224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kern w:val="0"/>
                <w:sz w:val="22"/>
                <w:szCs w:val="22"/>
                <w:lang w:eastAsia="en-GB" w:bidi="ar-SA"/>
              </w:rPr>
              <w:t>Arg[0]</w:t>
            </w:r>
          </w:p>
        </w:tc>
        <w:tc>
          <w:tcPr>
            <w:tcW w:w="7224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b/>
                <w:color w:val="FFFFFF" w:themeColor="background1"/>
                <w:kern w:val="0"/>
                <w:sz w:val="22"/>
                <w:szCs w:val="22"/>
                <w:lang w:eastAsia="en-GB" w:bidi="ar-SA"/>
              </w:rPr>
              <w:t>Script name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Lable(Name of the Scenario)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Input folder name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Arg[3]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Output folder name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Arg[4]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Time skim matrx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Arg[5]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Distance skim matrix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Arg[6]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logistics nodes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Arg[7]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study area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Arg[8]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Socioeconomic Data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Arg[9]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Parcel depot nodes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Arg[10]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centers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Arg[11]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converion NSTR to Logistic segments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Arg[12]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of making shipments per logistic sectors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Arg[13]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Distribution of using shipments per logistic sectors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Arg[14]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External Zones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Arg[15]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correction of tonnes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Arg[16]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Courier Market Shares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Arg[17]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cost per vehicle types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Arg[18]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cost of out sourcing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Arg[19]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NUTS32013 to MRDH conversion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Arg[20]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carrying capacity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Arg[21]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market share of logistic flow types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Arg[22]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time of day choice model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Arg[23]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paraeters of shipment size and vehicle type choice model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Arg[24]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end of tour choice model for the first visited location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Arg[25]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Parameters of the end of tour choice model for the later visited locations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Arg[26]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consolidation potentials for different logistics sectors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Arg[27]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specifications for the zero emmission zones in the study area</w:t>
            </w:r>
          </w:p>
        </w:tc>
      </w:tr>
      <w:tr>
        <w:trPr>
          <w:trHeight w:val="300" w:hRule="atLeast"/>
        </w:trPr>
        <w:tc>
          <w:tcPr>
            <w:tcW w:w="9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Arg[28]</w:t>
            </w:r>
          </w:p>
        </w:tc>
        <w:tc>
          <w:tcPr>
            <w:tcW w:w="7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szCs w:val="22"/>
                <w:lang w:eastAsia="en-GB" w:bidi="ar-SA"/>
              </w:rPr>
              <w:t>synthesized firms specifications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2"/>
        <w:ind w:left="720" w:hanging="720"/>
        <w:rPr/>
      </w:pPr>
      <w:bookmarkStart w:id="18" w:name="_Toc93590431"/>
      <w:r>
        <w:rPr/>
        <w:t>Requirements</w:t>
      </w:r>
      <w:bookmarkEnd w:id="18"/>
    </w:p>
    <w:p>
      <w:pPr>
        <w:pStyle w:val="Heading3"/>
        <w:ind w:left="1134" w:hanging="720"/>
        <w:rPr/>
      </w:pPr>
      <w:bookmarkStart w:id="19" w:name="_Toc93590432"/>
      <w:r>
        <w:rPr/>
        <w:t>Testing requirements</w:t>
      </w:r>
      <w:bookmarkEnd w:id="19"/>
    </w:p>
    <w:p>
      <w:pPr>
        <w:pStyle w:val="Normal"/>
        <w:ind w:left="1440" w:hanging="360"/>
        <w:rPr/>
      </w:pPr>
      <w:r>
        <w:rPr/>
        <w:t>pip install -r requirements.txt</w:t>
      </w:r>
    </w:p>
    <w:p>
      <w:pPr>
        <w:pStyle w:val="Heading3"/>
        <w:ind w:left="1276" w:hanging="720"/>
        <w:rPr/>
      </w:pPr>
      <w:bookmarkStart w:id="20" w:name="_Toc93590433"/>
      <w:r>
        <w:rPr/>
        <w:t>Input folder (Arg[2])</w:t>
      </w:r>
      <w:bookmarkEnd w:id="20"/>
    </w:p>
    <w:p>
      <w:pPr>
        <w:pStyle w:val="Normal"/>
        <w:rPr/>
      </w:pPr>
      <w:r>
        <w:rPr/>
        <w:t>Folder 1( e.g. Input)</w:t>
      </w:r>
    </w:p>
    <w:p>
      <w:pPr>
        <w:pStyle w:val="Caption1"/>
        <w:keepNext w:val="true"/>
        <w:rPr/>
      </w:pPr>
      <w:bookmarkStart w:id="21" w:name="_Toc93590437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Parcel Generation– Inputs</w:t>
      </w:r>
      <w:bookmarkEnd w:id="21"/>
    </w:p>
    <w:tbl>
      <w:tblPr>
        <w:tblStyle w:val="TableGrid"/>
        <w:tblW w:w="94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3"/>
        <w:gridCol w:w="2366"/>
        <w:gridCol w:w="3680"/>
      </w:tblGrid>
      <w:tr>
        <w:trPr>
          <w:trHeight w:val="45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3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 xml:space="preserve">Inputs </w:t>
            </w:r>
          </w:p>
        </w:tc>
        <w:tc>
          <w:tcPr>
            <w:tcW w:w="2366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680" w:type="dxa"/>
            <w:tcBorders/>
            <w:shd w:color="auto" w:fill="002E62" w:val="clear"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2"/>
                <w:szCs w:val="22"/>
                <w:lang w:eastAsia="en-US" w:bidi="ar-SA"/>
              </w:rPr>
              <w:t>Description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skimTijd_new_REF.mtx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mtx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Id of areas ordered increasingly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skimAfstand_new_REF.mtx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mtx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Id of areas ordered increasingly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nodes_v5.shp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shp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Logistics node shapefile 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Zones_v6.shp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shp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Zones of the study area 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SEGS2020.csv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Required cols: 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zone”;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"1: woningen"; 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"9: arbeidspl_totaal"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parcelNodes_v2.shp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shp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Parcel depot nodes shapefile 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distributieCentra.csv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Distribution centers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"colnames": [{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"oppervlak":"float",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"WP": "int",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"Xcoor": "float",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"Ycoor": "float",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"AREANR": "int"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>}]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nstrToLogisticSegment.csv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converion NSTR to Logistic segments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MakeDistribution.csv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Distribution of making shipments per logistic sectors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UseDistribution.csv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Distribution of using shipments per logistic sectors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SupCoordinatesID.csv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Required cols: 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COROP”;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 Xcoor ";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Ycoor”;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 AREANR ";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CorrectionsTonnes2016.csv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correction of tonnes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CEPshares.csv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Required cols: 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CEP”;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"ShareTotal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Cost_VehType_2016.csv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 per vehicle types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"columns":[{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"CostPerKm":"float",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"CostPerH": "float"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>}]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Cost_Sourcing_2016.csv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cost of out sourcing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"columns":[{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"CostPerKm":"float",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"CostPerH": "float"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>}]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NUTS32013toMRDH.csv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NUTS32013 to MRDH conversion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CarryingCapacity.csv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carrying capacity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"columns":[{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"Vehicle Type":"str",</w:t>
            </w:r>
          </w:p>
          <w:p>
            <w:pPr>
              <w:pStyle w:val="Normal"/>
              <w:widowControl/>
              <w:spacing w:lineRule="auto" w:line="312" w:before="10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ab/>
              <w:t>"Tonnes": "float"</w:t>
            </w:r>
          </w:p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ab/>
              <w:tab/>
              <w:tab/>
              <w:tab/>
              <w:tab/>
              <w:t>}]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LogFlowtype_Shares.csv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market share of logistic flow types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Params_TOD.csv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parameters of time of day choice model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Params_ShipSize_VehType.csv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paraeters of shipment size and vehicle type choice model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Params_EndTourFirst.csv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Parameters of end of tour choice model for the first visited location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Params_EndTourLater.csv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Parameters of the end of tour choice model for the later visited locations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ConsolidationPotential.csv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consolidation potentials for different logistics sectors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ZEZscenario.csv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specifications for the zero emmission zones in the study area</w:t>
            </w:r>
          </w:p>
        </w:tc>
      </w:tr>
      <w:tr>
        <w:trPr>
          <w:trHeight w:val="454" w:hRule="atLeast"/>
        </w:trPr>
        <w:tc>
          <w:tcPr>
            <w:tcW w:w="3443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Firms.csv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csv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312" w:before="100" w:after="0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kern w:val="0"/>
                <w:sz w:val="22"/>
                <w:szCs w:val="22"/>
                <w:lang w:eastAsia="en-US" w:bidi="ar-SA"/>
              </w:rPr>
              <w:t>synthesized firms specifications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before="0" w:after="200"/>
        <w:rPr>
          <w:lang w:val="nl-NL"/>
        </w:rPr>
      </w:pPr>
      <w:r>
        <w:rPr/>
      </w:r>
    </w:p>
    <w:sectPr>
      <w:headerReference w:type="first" r:id="rId2"/>
      <w:type w:val="nextPage"/>
      <w:pgSz w:w="11906" w:h="16838"/>
      <w:pgMar w:left="851" w:right="1556" w:gutter="0" w:header="709" w:top="2126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(--ff-mono)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9775" cy="503555"/>
          <wp:effectExtent l="0" t="0" r="0" b="0"/>
          <wp:wrapNone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84" t="0" r="4252" b="3010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503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7785" distB="65405" distL="114300" distR="114300" simplePos="0" locked="0" layoutInCell="0" allowOverlap="1" relativeHeight="4" wp14:anchorId="7F560391">
              <wp:simplePos x="0" y="0"/>
              <wp:positionH relativeFrom="column">
                <wp:posOffset>5238750</wp:posOffset>
              </wp:positionH>
              <wp:positionV relativeFrom="paragraph">
                <wp:posOffset>273050</wp:posOffset>
              </wp:positionV>
              <wp:extent cx="896620" cy="276225"/>
              <wp:effectExtent l="0" t="0" r="0" b="0"/>
              <wp:wrapTight wrapText="bothSides">
                <wp:wrapPolygon edited="0">
                  <wp:start x="918" y="4469"/>
                  <wp:lineTo x="918" y="16386"/>
                  <wp:lineTo x="20193" y="16386"/>
                  <wp:lineTo x="20193" y="4469"/>
                  <wp:lineTo x="918" y="4469"/>
                </wp:wrapPolygon>
              </wp:wrapTight>
              <wp:docPr id="5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760" cy="276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Deliverable 1.4</w:t>
                          </w:r>
                        </w:p>
                      </w:txbxContent>
                    </wps:txbx>
                    <wps:bodyPr tIns="182880" bIns="18288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412.5pt;margin-top:21.5pt;width:70.55pt;height:21.7pt;mso-wrap-style:square;v-text-anchor:top" wp14:anchorId="7F56039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Deliverable 1.4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099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egoe UI" w:hAnsi="Segoe UI" w:cs="Segoe UI"/>
        <w:color w:val="24292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305b"/>
    <w:pPr>
      <w:widowControl/>
      <w:bidi w:val="0"/>
      <w:spacing w:lineRule="auto" w:line="276" w:before="0" w:after="200"/>
      <w:jc w:val="both"/>
    </w:pPr>
    <w:rPr>
      <w:rFonts w:ascii="Arial" w:hAnsi="Arial" w:eastAsia="Calibri" w:cs="Times New Roman" w:eastAsia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c7"/>
    <w:pPr>
      <w:numPr>
        <w:ilvl w:val="0"/>
        <w:numId w:val="1"/>
      </w:numPr>
      <w:spacing w:lineRule="auto" w:line="240" w:before="0" w:after="480"/>
      <w:outlineLvl w:val="0"/>
    </w:pPr>
    <w:rPr>
      <w:rFonts w:cs="Arial"/>
      <w:color w:val="047CA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c7"/>
    <w:pPr>
      <w:numPr>
        <w:ilvl w:val="1"/>
        <w:numId w:val="1"/>
      </w:numPr>
      <w:spacing w:lineRule="auto" w:line="360" w:before="240" w:after="120"/>
      <w:outlineLvl w:val="1"/>
    </w:pPr>
    <w:rPr>
      <w:rFonts w:cs="Arial"/>
      <w:b/>
      <w:color w:val="ACCD3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c7"/>
    <w:pPr>
      <w:numPr>
        <w:ilvl w:val="2"/>
        <w:numId w:val="1"/>
      </w:numPr>
      <w:spacing w:lineRule="auto" w:line="360" w:before="240" w:after="120"/>
      <w:outlineLvl w:val="2"/>
    </w:pPr>
    <w:rPr>
      <w:rFonts w:cs="Arial"/>
      <w:b/>
      <w:color w:val="047CA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0c7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/>
      <w:b/>
      <w:bCs/>
      <w:i/>
      <w:iCs/>
      <w:color w:val="ACCD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c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c7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c7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c7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c7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10c7"/>
    <w:rPr>
      <w:rFonts w:ascii="Arial" w:hAnsi="Arial" w:eastAsia="Calibri" w:cs="Arial"/>
      <w:color w:val="047CAC"/>
      <w:sz w:val="44"/>
      <w:szCs w:val="44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10c7"/>
    <w:rPr>
      <w:rFonts w:ascii="Arial" w:hAnsi="Arial" w:eastAsia="Calibri" w:cs="Arial"/>
      <w:b/>
      <w:color w:val="ACCD38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910c7"/>
    <w:rPr>
      <w:rFonts w:ascii="Arial" w:hAnsi="Arial" w:eastAsia="Calibri" w:cs="Arial"/>
      <w:b/>
      <w:color w:val="047CAC"/>
      <w:sz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910c7"/>
    <w:rPr>
      <w:rFonts w:ascii="Cambria" w:hAnsi="Cambria" w:eastAsia="Times New Roman" w:cs="Times New Roman"/>
      <w:b/>
      <w:bCs/>
      <w:i/>
      <w:iCs/>
      <w:color w:val="ACCD38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910c7"/>
    <w:rPr>
      <w:rFonts w:ascii="Cambria" w:hAnsi="Cambria" w:eastAsia="Times New Roman" w:cs="Times New Roman"/>
      <w:color w:val="243F60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910c7"/>
    <w:rPr>
      <w:rFonts w:ascii="Cambria" w:hAnsi="Cambria" w:eastAsia="Times New Roman" w:cs="Times New Roman"/>
      <w:i/>
      <w:iCs/>
      <w:color w:val="243F60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910c7"/>
    <w:rPr>
      <w:rFonts w:ascii="Cambria" w:hAnsi="Cambria" w:eastAsia="Times New Roman" w:cs="Times New Roman"/>
      <w:i/>
      <w:iCs/>
      <w:color w:val="404040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910c7"/>
    <w:rPr>
      <w:rFonts w:ascii="Cambria" w:hAnsi="Cambria" w:eastAsia="Times New Roman" w:cs="Times New Roman"/>
      <w:color w:val="404040"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910c7"/>
    <w:rPr>
      <w:rFonts w:ascii="Cambria" w:hAnsi="Cambria" w:eastAsia="Times New Roman" w:cs="Times New Roman"/>
      <w:i/>
      <w:iCs/>
      <w:color w:val="404040"/>
      <w:sz w:val="20"/>
      <w:szCs w:val="20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910c7"/>
    <w:rPr>
      <w:rFonts w:ascii="Arial" w:hAnsi="Arial" w:eastAsia="Calibri" w:cs="Times New Roman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910c7"/>
    <w:rPr>
      <w:rFonts w:ascii="Arial" w:hAnsi="Arial" w:eastAsia="Calibri" w:cs="Times New Roman"/>
      <w:sz w:val="14"/>
      <w:lang w:val="en-GB"/>
    </w:rPr>
  </w:style>
  <w:style w:type="character" w:styleId="InternetLink">
    <w:name w:val="Hyperlink"/>
    <w:basedOn w:val="DefaultParagraphFont"/>
    <w:uiPriority w:val="99"/>
    <w:unhideWhenUsed/>
    <w:rsid w:val="007910c7"/>
    <w:rPr>
      <w:color w:val="036BB4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910c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7910c7"/>
    <w:rPr>
      <w:rFonts w:ascii="Arial" w:hAnsi="Arial" w:eastAsia="Calibri" w:cs="Times New Roman"/>
      <w:sz w:val="20"/>
      <w:szCs w:val="20"/>
      <w:lang w:val="en-GB"/>
    </w:rPr>
  </w:style>
  <w:style w:type="character" w:styleId="CaptionChar1" w:customStyle="1">
    <w:name w:val="Caption Char1"/>
    <w:link w:val="Caption1"/>
    <w:qFormat/>
    <w:locked/>
    <w:rsid w:val="007910c7"/>
    <w:rPr>
      <w:rFonts w:ascii="Arial" w:hAnsi="Arial" w:eastAsia="Calibri" w:cs="Times New Roman"/>
      <w:b/>
      <w:bCs/>
      <w:i/>
      <w:color w:val="047CAC"/>
      <w:szCs w:val="18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10c7"/>
    <w:rPr>
      <w:rFonts w:ascii="Segoe UI" w:hAnsi="Segoe UI" w:eastAsia="Calibri" w:cs="Segoe UI"/>
      <w:sz w:val="18"/>
      <w:szCs w:val="18"/>
      <w:lang w:val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97ab5"/>
    <w:rPr>
      <w:rFonts w:ascii="Arial" w:hAnsi="Arial" w:eastAsia="Calibri" w:cs="Times New Roman"/>
      <w:b/>
      <w:bCs/>
      <w:sz w:val="20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8458d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8458d"/>
    <w:rPr>
      <w:rFonts w:ascii="Courier New" w:hAnsi="Courier New" w:eastAsia="Times New Roman" w:cs="Courier New"/>
      <w:sz w:val="20"/>
      <w:szCs w:val="20"/>
    </w:rPr>
  </w:style>
  <w:style w:type="character" w:styleId="ListParagraphChar" w:customStyle="1">
    <w:name w:val="List Paragraph Char"/>
    <w:link w:val="ListParagraph"/>
    <w:uiPriority w:val="34"/>
    <w:qFormat/>
    <w:locked/>
    <w:rsid w:val="00791ccc"/>
    <w:rPr>
      <w:rFonts w:ascii="Arial" w:hAnsi="Arial" w:eastAsia="Calibri" w:cs="Times New Roman"/>
      <w:lang w:val="en-GB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10c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10c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 w:val="14"/>
    </w:rPr>
  </w:style>
  <w:style w:type="paragraph" w:styleId="Contents1">
    <w:name w:val="TOC 1"/>
    <w:basedOn w:val="Normal"/>
    <w:next w:val="Normal"/>
    <w:autoRedefine/>
    <w:uiPriority w:val="39"/>
    <w:unhideWhenUsed/>
    <w:rsid w:val="007910c7"/>
    <w:pPr>
      <w:tabs>
        <w:tab w:val="clear" w:pos="720"/>
        <w:tab w:val="right" w:pos="8756" w:leader="dot"/>
      </w:tabs>
      <w:spacing w:before="120" w:after="60"/>
    </w:pPr>
    <w:rPr>
      <w:b/>
      <w:color w:val="047CAC"/>
      <w:sz w:val="28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7910c7"/>
    <w:pPr>
      <w:tabs>
        <w:tab w:val="clear" w:pos="720"/>
        <w:tab w:val="left" w:pos="629" w:leader="none"/>
        <w:tab w:val="right" w:pos="8756" w:leader="dot"/>
      </w:tabs>
      <w:spacing w:before="0" w:after="60"/>
    </w:pPr>
    <w:rPr>
      <w:color w:val="ACCD38"/>
      <w:sz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7910c7"/>
    <w:pPr>
      <w:tabs>
        <w:tab w:val="clear" w:pos="720"/>
        <w:tab w:val="left" w:pos="994" w:leader="none"/>
        <w:tab w:val="right" w:pos="8756" w:leader="dot"/>
      </w:tabs>
      <w:spacing w:before="0" w:after="60"/>
      <w:ind w:left="220" w:hanging="0"/>
    </w:pPr>
    <w:rPr/>
  </w:style>
  <w:style w:type="paragraph" w:styleId="Caption1">
    <w:name w:val="caption"/>
    <w:basedOn w:val="Normal"/>
    <w:next w:val="Normal"/>
    <w:link w:val="CaptionChar1"/>
    <w:unhideWhenUsed/>
    <w:qFormat/>
    <w:rsid w:val="007910c7"/>
    <w:pPr>
      <w:spacing w:lineRule="auto" w:line="240"/>
    </w:pPr>
    <w:rPr>
      <w:b/>
      <w:bCs/>
      <w:i/>
      <w:color w:val="047CAC"/>
      <w:szCs w:val="18"/>
    </w:rPr>
  </w:style>
  <w:style w:type="paragraph" w:styleId="MainDocHeader" w:customStyle="1">
    <w:name w:val="Main Doc Header"/>
    <w:basedOn w:val="Normal"/>
    <w:qFormat/>
    <w:rsid w:val="007910c7"/>
    <w:pPr>
      <w:jc w:val="right"/>
    </w:pPr>
    <w:rPr>
      <w:color w:val="FFFFFF" w:themeColor="background1"/>
      <w:sz w:val="96"/>
    </w:rPr>
  </w:style>
  <w:style w:type="paragraph" w:styleId="SubDocHeader" w:customStyle="1">
    <w:name w:val="Sub Doc Header"/>
    <w:basedOn w:val="Normal"/>
    <w:qFormat/>
    <w:rsid w:val="007910c7"/>
    <w:pPr>
      <w:jc w:val="right"/>
    </w:pPr>
    <w:rPr>
      <w:color w:val="ACCD38"/>
      <w:sz w:val="56"/>
    </w:rPr>
  </w:style>
  <w:style w:type="paragraph" w:styleId="ListParagraph">
    <w:name w:val="List Paragraph"/>
    <w:basedOn w:val="Normal"/>
    <w:link w:val="ListParagraphChar"/>
    <w:uiPriority w:val="34"/>
    <w:qFormat/>
    <w:rsid w:val="007910c7"/>
    <w:pPr>
      <w:numPr>
        <w:ilvl w:val="0"/>
        <w:numId w:val="2"/>
      </w:numPr>
      <w:spacing w:before="0" w:after="200"/>
      <w:contextualSpacing/>
    </w:pPr>
    <w:rPr/>
  </w:style>
  <w:style w:type="paragraph" w:styleId="SubDocHeader2Red" w:customStyle="1">
    <w:name w:val="Sub Doc Header 2 Red"/>
    <w:basedOn w:val="MainDocHeader"/>
    <w:qFormat/>
    <w:rsid w:val="007910c7"/>
    <w:pPr>
      <w:jc w:val="left"/>
    </w:pPr>
    <w:rPr>
      <w:color w:val="047CAC"/>
      <w:sz w:val="40"/>
    </w:rPr>
  </w:style>
  <w:style w:type="paragraph" w:styleId="Tableoffigures">
    <w:name w:val="table of figures"/>
    <w:basedOn w:val="Normal"/>
    <w:next w:val="Normal"/>
    <w:uiPriority w:val="99"/>
    <w:qFormat/>
    <w:rsid w:val="007910c7"/>
    <w:pPr>
      <w:ind w:left="440" w:hanging="440"/>
    </w:pPr>
    <w:rPr/>
  </w:style>
  <w:style w:type="paragraph" w:styleId="StandardtextTabelle" w:customStyle="1">
    <w:name w:val="Standardtext Tabelle"/>
    <w:basedOn w:val="Normal"/>
    <w:qFormat/>
    <w:rsid w:val="007910c7"/>
    <w:pPr>
      <w:spacing w:lineRule="atLeast" w:line="240" w:before="60" w:after="60"/>
    </w:pPr>
    <w:rPr>
      <w:rFonts w:eastAsia="Times New Roman"/>
      <w:szCs w:val="24"/>
      <w:lang w:eastAsia="de-D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7910c7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10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97ab5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8458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10c7"/>
    <w:pPr>
      <w:spacing w:before="100" w:after="100" w:line="360" w:lineRule="auto"/>
    </w:pPr>
    <w:rPr>
      <w:lang w:val="en-GB"/>
      <w:sz w:val="32"/>
      <w:szCs w:val="24"/>
    </w:rPr>
    <w:tblPr>
      <w:tblBorders>
        <w:top w:val="single" w:color="404040" w:themeColor="text1" w:themeTint="bf" w:sz="4" w:space="0"/>
        <w:left w:val="single" w:color="404040" w:themeColor="text1" w:themeTint="bf" w:sz="4" w:space="0"/>
        <w:bottom w:val="single" w:color="404040" w:themeColor="text1" w:themeTint="bf" w:sz="4" w:space="0"/>
        <w:right w:val="single" w:color="404040" w:themeColor="text1" w:themeTint="bf" w:sz="4" w:space="0"/>
        <w:insideH w:val="single" w:color="404040" w:themeColor="text1" w:themeTint="bf" w:sz="4" w:space="0"/>
        <w:insideV w:val="single" w:color="404040" w:themeColor="text1" w:themeTint="bf" w:sz="4" w:space="0"/>
      </w:tblBorders>
    </w:tblPr>
    <w:tcPr>
      <w:vAlign w:val="center"/>
    </w:tcPr>
    <w:tblStylePr w:type="firstRow">
      <w:rPr>
        <w:b/>
        <w:sz w:val="32"/>
      </w:rPr>
      <w:tblPr/>
      <w:tcPr>
        <w:shd w:val="clear" w:color="auto" w:fill="002E6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9EF354982F4083AA59F93A5B26D3" ma:contentTypeVersion="13" ma:contentTypeDescription="Een nieuw document maken." ma:contentTypeScope="" ma:versionID="4c88bd9cfd8bfc70583054b9311b33db">
  <xsd:schema xmlns:xsd="http://www.w3.org/2001/XMLSchema" xmlns:xs="http://www.w3.org/2001/XMLSchema" xmlns:p="http://schemas.microsoft.com/office/2006/metadata/properties" xmlns:ns3="ddabbc37-7fcf-47d3-b4b9-fd61fccab652" xmlns:ns4="93ef2867-8537-4b93-8b0c-dd6e7141b2ab" targetNamespace="http://schemas.microsoft.com/office/2006/metadata/properties" ma:root="true" ma:fieldsID="7b0f596aef43dc573c1b3509b89326a0" ns3:_="" ns4:_="">
    <xsd:import namespace="ddabbc37-7fcf-47d3-b4b9-fd61fccab652"/>
    <xsd:import namespace="93ef2867-8537-4b93-8b0c-dd6e7141b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bc37-7fcf-47d3-b4b9-fd61fccab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2867-8537-4b93-8b0c-dd6e7141b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C7EA-AB21-42AC-AFBB-88476A980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21890-8664-490A-B6BE-DB04B68DD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bbc37-7fcf-47d3-b4b9-fd61fccab652"/>
    <ds:schemaRef ds:uri="93ef2867-8537-4b93-8b0c-dd6e7141b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A0723-1923-474F-8B3A-BB0B1BC9A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31695F-E71C-4457-BC44-CA69B266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Application>LibreOffice/7.3.6.2$Linux_X86_64 LibreOffice_project/30$Build-2</Application>
  <AppVersion>15.0000</AppVersion>
  <Pages>11</Pages>
  <Words>1036</Words>
  <Characters>6865</Characters>
  <CharactersWithSpaces>7701</CharactersWithSpaces>
  <Paragraphs>319</Paragraphs>
  <Company>TU Delft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2021-11-17T06:54:00Z</dcterms:created>
  <dc:creator>Rodrigo Tapia</dc:creator>
  <dc:description/>
  <dc:language>en-US</dc:language>
  <cp:lastModifiedBy/>
  <dcterms:modified xsi:type="dcterms:W3CDTF">2022-09-19T13:16:40Z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0x01010028DB9EF354982F4083AA59F93A5B26D3</vt:lpwstr>
  </property>
</Properties>
</file>