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complète de configuration – Switch Cisco SWT-16</w:t>
      </w:r>
    </w:p>
    <w:p>
      <w:pPr>
        <w:pStyle w:val="Heading2"/>
      </w:pPr>
      <w:r>
        <w:t>1. Présentation générale</w:t>
      </w:r>
    </w:p>
    <w:p>
      <w:r>
        <w:t>Ce document présente la configuration complète du switch Cisco SWT-16 (Catalyst 3750), avec l’explication des protocoles utilisés, des commandes Cisco et de leur rôle.</w:t>
        <w:br/>
        <w:br/>
        <w:t>Équipement : Cisco Catalyst 3750</w:t>
        <w:br/>
        <w:t>Nom d’hôte : SWT-16</w:t>
        <w:br/>
        <w:t>IOS : Version 12.2</w:t>
        <w:br/>
        <w:t>Fonction : Switch Layer 3 (routage inter-VLAN)</w:t>
      </w:r>
    </w:p>
    <w:p>
      <w:pPr>
        <w:pStyle w:val="Heading2"/>
      </w:pPr>
      <w:r>
        <w:t>2. Configuration système de base</w:t>
      </w:r>
    </w:p>
    <w:p>
      <w:r>
        <w:t>Commandes utilisées :</w:t>
        <w:br/>
        <w:t>version 12.2</w:t>
        <w:br/>
        <w:t>no service pad</w:t>
        <w:br/>
        <w:t>service timestamps debug datetime msec</w:t>
        <w:br/>
        <w:t>service timestamps log datetime msec</w:t>
        <w:br/>
        <w:t>no service password-encryption</w:t>
        <w:br/>
        <w:t>no logging console</w:t>
        <w:br/>
        <w:br/>
        <w:t>Explication :</w:t>
        <w:br/>
        <w:t>Ces commandes permettent de définir la version IOS, désactiver des services inutiles, activer l’horodatage des logs et améliorer la lisibilité et la gestion du système.</w:t>
      </w:r>
    </w:p>
    <w:p>
      <w:pPr>
        <w:pStyle w:val="Heading2"/>
      </w:pPr>
      <w:r>
        <w:t>3. Sécurité et accès administrateur</w:t>
      </w:r>
    </w:p>
    <w:p>
      <w:r>
        <w:t>Commandes utilisées :</w:t>
        <w:br/>
        <w:t>enable secret &lt;hash&gt;</w:t>
        <w:br/>
        <w:t>username admin privilege 15 secret &lt;hash&gt;</w:t>
        <w:br/>
        <w:t>line con 0</w:t>
        <w:br/>
        <w:t xml:space="preserve"> password Cisco</w:t>
        <w:br/>
        <w:t xml:space="preserve"> login</w:t>
        <w:br/>
        <w:t>line vty 0 15</w:t>
        <w:br/>
        <w:t xml:space="preserve"> login</w:t>
        <w:br/>
        <w:br/>
        <w:t>Explication :</w:t>
        <w:br/>
        <w:t>Un mot de passe chiffré protège le mode privilégié. L’utilisateur admin dispose de tous les droits (niveau 15). L’accès console et distant est sécurisé par authentification.</w:t>
      </w:r>
    </w:p>
    <w:p>
      <w:pPr>
        <w:pStyle w:val="Heading2"/>
      </w:pPr>
      <w:r>
        <w:t>4. Activation du routage (Layer 3)</w:t>
      </w:r>
    </w:p>
    <w:p>
      <w:r>
        <w:t>Commandes utilisées :</w:t>
        <w:br/>
        <w:t>ip routing</w:t>
        <w:br/>
        <w:t>ip classless</w:t>
        <w:br/>
        <w:br/>
        <w:t>Explication :</w:t>
        <w:br/>
        <w:t>La commande ip routing active le routage inter-VLAN. Le mode classless permet l’utilisation du CIDR et du routage moderne.</w:t>
      </w:r>
    </w:p>
    <w:p>
      <w:pPr>
        <w:pStyle w:val="Heading2"/>
      </w:pPr>
      <w:r>
        <w:t>5. VLAN et interfaces VLAN (SVI)</w:t>
      </w:r>
    </w:p>
    <w:p>
      <w:r>
        <w:t>Commandes utilisées :</w:t>
        <w:br/>
        <w:t>interface Vlan10</w:t>
        <w:br/>
        <w:t xml:space="preserve"> ip address 10.10.10.1 255.255.255.240</w:t>
        <w:br/>
        <w:t>interface Vlan20</w:t>
        <w:br/>
        <w:t xml:space="preserve"> ip address 10.20.20.1 255.255.255.224</w:t>
        <w:br/>
        <w:t>interface Vlan30</w:t>
        <w:br/>
        <w:t xml:space="preserve"> ip address 10.30.30.1 255.255.255.224</w:t>
        <w:br/>
        <w:t>interface Vlan40</w:t>
        <w:br/>
        <w:t xml:space="preserve"> ip address 10.40.40.1 255.255.255.0</w:t>
        <w:br/>
        <w:t>interface Vlan50</w:t>
        <w:br/>
        <w:t xml:space="preserve"> ip address 10.50.50.10 255.255.255.0</w:t>
        <w:br/>
        <w:t>interface Vlan99</w:t>
        <w:br/>
        <w:t xml:space="preserve"> ip address 10.1.1.2 255.255.255.248</w:t>
        <w:br/>
        <w:br/>
        <w:t>Explication :</w:t>
        <w:br/>
        <w:t>Chaque interface VLAN sert de passerelle par défaut pour les machines du VLAN concerné.</w:t>
      </w:r>
    </w:p>
    <w:p>
      <w:pPr>
        <w:pStyle w:val="Heading2"/>
      </w:pPr>
      <w:r>
        <w:t>6. Spanning Tree Protocol – Rapid PVST</w:t>
      </w:r>
    </w:p>
    <w:p>
      <w:r>
        <w:t>Commandes utilisées :</w:t>
        <w:br/>
        <w:t>spanning-tree mode rapid-pvst</w:t>
        <w:br/>
        <w:t>spanning-tree extend system-id</w:t>
        <w:br/>
        <w:t>spanning-tree vlan 10,20,30,40,99 priority 0</w:t>
        <w:br/>
        <w:br/>
        <w:t>Explication :</w:t>
        <w:br/>
        <w:t>Le protocole STP empêche les boucles réseau. Rapid-PVST améliore la vitesse de convergence. La priorité basse force SWT-16 à devenir Root Bridge.</w:t>
      </w:r>
    </w:p>
    <w:p>
      <w:pPr>
        <w:pStyle w:val="Heading2"/>
      </w:pPr>
      <w:r>
        <w:t>7. Trunking – IEEE 802.1Q</w:t>
      </w:r>
    </w:p>
    <w:p>
      <w:r>
        <w:t>Commandes utilisées :</w:t>
        <w:br/>
        <w:t>switchport trunk encapsulation dot1q</w:t>
        <w:br/>
        <w:t>switchport trunk native vlan 99</w:t>
        <w:br/>
        <w:t>switchport trunk allowed vlan 10,20,30,40,99</w:t>
        <w:br/>
        <w:t>switchport mode trunk</w:t>
        <w:br/>
        <w:br/>
        <w:t>Explication :</w:t>
        <w:br/>
        <w:t>Le protocole 802.1Q permet le transport de plusieurs VLANs sur un seul lien physique.</w:t>
      </w:r>
    </w:p>
    <w:p>
      <w:pPr>
        <w:pStyle w:val="Heading2"/>
      </w:pPr>
      <w:r>
        <w:t>8. EtherChannel – LACP</w:t>
      </w:r>
    </w:p>
    <w:p>
      <w:r>
        <w:t>Commandes utilisées :</w:t>
        <w:br/>
        <w:t>interface Port-channel1</w:t>
        <w:br/>
        <w:t xml:space="preserve"> switchport mode trunk</w:t>
        <w:br/>
        <w:t>interface FastEthernet2/0/1</w:t>
        <w:br/>
        <w:t xml:space="preserve"> channel-group 1 mode active</w:t>
        <w:br/>
        <w:t>interface FastEthernet2/0/2</w:t>
        <w:br/>
        <w:t xml:space="preserve"> channel-group 1 mode active</w:t>
        <w:br/>
        <w:br/>
        <w:t>Explication :</w:t>
        <w:br/>
        <w:t>EtherChannel agrège plusieurs liens physiques en un lien logique. LACP (mode active) négocie automatiquement l’agrégation.</w:t>
      </w:r>
    </w:p>
    <w:p>
      <w:pPr>
        <w:pStyle w:val="Heading2"/>
      </w:pPr>
      <w:r>
        <w:t>9. Ports d’accès</w:t>
      </w:r>
    </w:p>
    <w:p>
      <w:r>
        <w:t>Commandes utilisées :</w:t>
        <w:br/>
        <w:t>interface FastEthernet2/0/7</w:t>
        <w:br/>
        <w:t xml:space="preserve"> switchport mode access</w:t>
        <w:br/>
        <w:t xml:space="preserve"> switchport access vlan 20</w:t>
        <w:br/>
        <w:t>interface FastEthernet2/0/5</w:t>
        <w:br/>
        <w:t xml:space="preserve"> switchport mode access</w:t>
        <w:br/>
        <w:t xml:space="preserve"> switchport access vlan 99</w:t>
        <w:br/>
        <w:br/>
        <w:t>Explication :</w:t>
        <w:br/>
        <w:t>Les ports en mode access appartiennent à un seul VLAN et connectent les postes utilisateurs et serveurs.</w:t>
      </w:r>
    </w:p>
    <w:p>
      <w:pPr>
        <w:pStyle w:val="Heading2"/>
      </w:pPr>
      <w:r>
        <w:t>10. Routage par défaut</w:t>
      </w:r>
    </w:p>
    <w:p>
      <w:r>
        <w:t>Commandes utilisées :</w:t>
        <w:br/>
        <w:t>ip route 0.0.0.0 0.0.0.0 10.1.1.1</w:t>
        <w:br/>
        <w:br/>
        <w:t>Explication :</w:t>
        <w:br/>
        <w:t>Cette route permet d’envoyer tout trafic inconnu vers le routeur principal.</w:t>
      </w:r>
    </w:p>
    <w:p>
      <w:pPr>
        <w:pStyle w:val="Heading2"/>
      </w:pPr>
      <w:r>
        <w:t>11. Services supplémentaires</w:t>
      </w:r>
    </w:p>
    <w:p>
      <w:r>
        <w:t>Commandes utilisées :</w:t>
        <w:br/>
        <w:t>ip http server</w:t>
        <w:br/>
        <w:br/>
        <w:t>Explication :</w:t>
        <w:br/>
        <w:t>Active une interface web d’administration, utile en laboratoire mais déconseillée en production.</w:t>
      </w:r>
    </w:p>
    <w:p>
      <w:pPr>
        <w:pStyle w:val="Heading2"/>
      </w:pPr>
      <w:r>
        <w:t>12. Conclusion</w:t>
      </w:r>
    </w:p>
    <w:p>
      <w:r>
        <w:t>Cette configuration fournit un réseau performant, segmenté et sécurisé. L’utilisation combinée des VLANs, du routage inter-VLAN, du STP et de l’EtherChannel assure une infrastructure fiable et évolutive.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