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tiff" ContentType="image/tiff"/>
  <Override PartName="/word/media/rId71.tiff" ContentType="image/tiff"/>
  <Override PartName="/word/media/rId48.tiff" ContentType="image/tiff"/>
  <Override PartName="/word/media/rId58.tiff" ContentType="image/tiff"/>
  <Override PartName="/word/media/rId66.tiff" ContentType="image/tiff"/>
  <Override PartName="/word/media/rId40.tiff" ContentType="image/tiff"/>
  <Override PartName="/word/media/rId53.tiff" ContentType="image/tiff"/>
  <Override PartName="/word/media/rId3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30"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t>
      </w:r>
      <w:hyperlink r:id="rId22">
        <w:r>
          <w:rPr>
            <w:rStyle w:val="Hyperlink"/>
          </w:rPr>
          <w:t xml:space="preserve">33 USC § 1251 et seq.</w:t>
        </w:r>
      </w:hyperlink>
      <w:r>
        <w:t xml:space="preserve">)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 (Directive 2000/60/EC of the European Parliament and of the Council of 23 October 2000)</w:t>
      </w:r>
      <w:r>
        <w:t xml:space="preserve"> </w:t>
      </w:r>
      <w:r>
        <w:t xml:space="preserve">[1]</w:t>
      </w:r>
      <w:r>
        <w:t xml:space="preserve">.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[2,3]</w:t>
      </w:r>
      <w:r>
        <w:t xml:space="preserve">, or data collected</w:t>
      </w:r>
      <w:r>
        <w:t xml:space="preserve"> </w:t>
      </w:r>
      <w:r>
        <w:rPr>
          <w:iCs/>
          <w:i/>
        </w:rPr>
        <w:t xml:space="preserve">ad hoc</w:t>
      </w:r>
      <w:r>
        <w:t xml:space="preserve"> </w:t>
      </w:r>
      <w:r>
        <w:t xml:space="preserve">from multiple assessment endpoints</w:t>
      </w:r>
      <w:r>
        <w:t xml:space="preserve"> </w:t>
      </w:r>
      <w:r>
        <w:t xml:space="preserve">[4–6]</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[7,8]</w:t>
      </w:r>
      <w:r>
        <w:t xml:space="preserve">. Use of these monitoring data in a regulatory context is not possible unless standard operating procedures are adopted and the data fulfill quality control (QC) requirements</w:t>
      </w:r>
      <w:r>
        <w:t xml:space="preserve"> </w:t>
      </w:r>
      <w:r>
        <w:t xml:space="preserve">[e.g., 9,10,11]</w:t>
      </w:r>
      <w:r>
        <w:t xml:space="preserve">.</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[12]</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[13]</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[14]</w:t>
      </w:r>
      <w:r>
        <w:t xml:space="preserve"> </w:t>
      </w:r>
      <w:r>
        <w:t xml:space="preserve">with document generation systems offered through packages like</w:t>
      </w:r>
      <w:r>
        <w:t xml:space="preserve"> </w:t>
      </w:r>
      <w:r>
        <w:rPr>
          <w:iCs/>
          <w:i/>
        </w:rPr>
        <w:t xml:space="preserve">knitr</w:t>
      </w:r>
      <w:r>
        <w:t xml:space="preserve"> </w:t>
      </w:r>
      <w:r>
        <w:t xml:space="preserve">[15]</w:t>
      </w:r>
      <w:r>
        <w:t xml:space="preserve"> </w:t>
      </w:r>
      <w:r>
        <w:t xml:space="preserve">and</w:t>
      </w:r>
      <w:r>
        <w:t xml:space="preserve"> </w:t>
      </w:r>
      <w:r>
        <w:rPr>
          <w:iCs/>
          <w:i/>
        </w:rPr>
        <w:t xml:space="preserve">rmarkdown</w:t>
      </w:r>
      <w:r>
        <w:t xml:space="preserve"> </w:t>
      </w:r>
      <w:r>
        <w:t xml:space="preserve">[16]</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[17]</w:t>
      </w:r>
      <w:r>
        <w:t xml:space="preserve"> </w:t>
      </w:r>
      <w:r>
        <w:t xml:space="preserve">and others in the</w:t>
      </w:r>
      <w:r>
        <w:t xml:space="preserve"> </w:t>
      </w:r>
      <w:r>
        <w:rPr>
          <w:iCs/>
          <w:i/>
        </w:rPr>
        <w:t xml:space="preserve">tidyverse</w:t>
      </w:r>
      <w:r>
        <w:t xml:space="preserve"> </w:t>
      </w:r>
      <w:r>
        <w:t xml:space="preserve">[18]</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To our knowledge, there are no existing R packages on the Comprehensive R Archive Network (</w:t>
      </w:r>
      <w:hyperlink r:id="rId23">
        <w:r>
          <w:rPr>
            <w:rStyle w:val="Hyperlink"/>
          </w:rPr>
          <w:t xml:space="preserve">CRAN</w:t>
        </w:r>
      </w:hyperlink>
      <w:r>
        <w:t xml:space="preserve">)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4">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R package</w:t>
      </w:r>
      <w:r>
        <w:t xml:space="preserve"> </w:t>
      </w:r>
      <w:r>
        <w:t xml:space="preserve">[19]</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The</w:t>
      </w:r>
      <w:r>
        <w:t xml:space="preserve"> </w:t>
      </w:r>
      <w:r>
        <w:rPr>
          <w:iCs/>
          <w:i/>
        </w:rPr>
        <w:t xml:space="preserve">TADA</w:t>
      </w:r>
      <w:r>
        <w:t xml:space="preserve"> </w:t>
      </w:r>
      <w:r>
        <w:t xml:space="preserve">R package</w:t>
      </w:r>
      <w:r>
        <w:t xml:space="preserve"> </w:t>
      </w:r>
      <w:r>
        <w:t xml:space="preserve">[20]</w:t>
      </w:r>
      <w:r>
        <w:t xml:space="preserve"> </w:t>
      </w:r>
      <w:r>
        <w:t xml:space="preserve">is also currently under development as a resource for compiling and evaluating data from the WQP.</w:t>
      </w:r>
      <w:r>
        <w:t xml:space="preserve"> </w:t>
      </w:r>
      <w:r>
        <w:rPr>
          <w:iCs/>
          <w:i/>
        </w:rPr>
        <w:t xml:space="preserve">TADA</w:t>
      </w:r>
      <w:r>
        <w:t xml:space="preserve"> </w:t>
      </w:r>
      <w:r>
        <w:t xml:space="preserve">is similar to</w:t>
      </w:r>
      <w:r>
        <w:t xml:space="preserve"> </w:t>
      </w:r>
      <w:r>
        <w:rPr>
          <w:iCs/>
          <w:i/>
        </w:rPr>
        <w:t xml:space="preserve">dataRetrieval</w:t>
      </w:r>
      <w:r>
        <w:t xml:space="preserve"> </w:t>
      </w:r>
      <w:r>
        <w:t xml:space="preserve">in that it can be used for importing data, but the package is also expected to provide more comprehensive methods for cleaning, filtering, and processing data using the rich qualifier codes provided by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and</w:t>
      </w:r>
      <w:r>
        <w:t xml:space="preserve"> </w:t>
      </w:r>
      <w:r>
        <w:rPr>
          <w:iCs/>
          <w:i/>
        </w:rPr>
        <w:t xml:space="preserve">TADA</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Other software platforms outside of the R environment provide various services for quality control of water quality data. For example, the</w:t>
      </w:r>
      <w:r>
        <w:t xml:space="preserve"> </w:t>
      </w:r>
      <w:hyperlink r:id="rId25">
        <w:r>
          <w:rPr>
            <w:rStyle w:val="Hyperlink"/>
          </w:rPr>
          <w:t xml:space="preserve">Aquarius</w:t>
        </w:r>
      </w:hyperlink>
      <w:r>
        <w:t xml:space="preserve"> </w:t>
      </w:r>
      <w:r>
        <w:t xml:space="preserve">software environment is a proprietary resource for managing hydrologic and water quality data and is used by several private and public institutions. Functionality is provided to pre-process and synthesize multiple data streams, manually correct erroneous values, and to visualize results for decision-making. A graphical user interface is provided to access the various features of the software, as compared to a programmatic approach for building custom routines. The software is not open-source, which implicitly limits its development to a core set of maintainers and is not freely accessible to the broader community</w:t>
      </w:r>
      <w:r>
        <w:t xml:space="preserve"> </w:t>
      </w:r>
      <w:r>
        <w:t xml:space="preserve">[e.g., 21]</w:t>
      </w:r>
      <w:r>
        <w:t xml:space="preserve">. Similar platforms are available from companies that manufacture data loggers (e.g.,</w:t>
      </w:r>
      <w:r>
        <w:t xml:space="preserve"> </w:t>
      </w:r>
      <w:hyperlink r:id="rId26">
        <w:r>
          <w:rPr>
            <w:rStyle w:val="Hyperlink"/>
          </w:rPr>
          <w:t xml:space="preserve">YSI</w:t>
        </w:r>
      </w:hyperlink>
      <w:r>
        <w:t xml:space="preserve">,</w:t>
      </w:r>
      <w:r>
        <w:t xml:space="preserve"> </w:t>
      </w:r>
      <w:hyperlink r:id="rId27">
        <w:r>
          <w:rPr>
            <w:rStyle w:val="Hyperlink"/>
          </w:rPr>
          <w:t xml:space="preserve">HOBO</w:t>
        </w:r>
      </w:hyperlink>
      <w:r>
        <w:t xml:space="preserve">), all of which are specific to the monitoring equipment and not broadly transferable. Alternative publicly funded software and data services are provided by the Consortium of Universities for the Advancement of Hydrologic Science (</w:t>
      </w:r>
      <w:hyperlink r:id="rId28">
        <w:r>
          <w:rPr>
            <w:rStyle w:val="Hyperlink"/>
          </w:rPr>
          <w:t xml:space="preserve">CUAHSI</w:t>
        </w:r>
      </w:hyperlink>
      <w:r>
        <w:t xml:space="preserve">). Services provided by CUAHSI include data discovery, archiving, cloud computing, and analysis, with many of the services available in open source environments (e.g.,</w:t>
      </w:r>
      <w:r>
        <w:t xml:space="preserve"> </w:t>
      </w:r>
      <w:hyperlink r:id="rId29">
        <w:r>
          <w:rPr>
            <w:rStyle w:val="Hyperlink"/>
          </w:rPr>
          <w:t xml:space="preserve">Python</w:t>
        </w:r>
      </w:hyperlink>
      <w:r>
        <w:t xml:space="preserve">). However, the services provided by CUAHSI are meant to address a variety of different resources and use cases, none of which are immediately related to quality control reporting and data submission to public institutions. As such, specific software solutions to address these needs and that leverage existing tools available in a rich open-source environment are clearly needed.</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30"/>
    <w:bookmarkStart w:id="39" w:name="requirements-for-use"/>
    <w:p>
      <w:pPr>
        <w:pStyle w:val="Heading1"/>
      </w:pPr>
      <w:r>
        <w:t xml:space="preserve">2. Requirements for use</w:t>
      </w:r>
    </w:p>
    <w:p>
      <w:pPr>
        <w:pStyle w:val="FirstParagraph"/>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in several ways. The first step, QC screening, is often iterative as a user can modify parts of the raw data based on messages from the data import functions or checks for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jc w:val="start"/>
        <w:tblLayout w:type="fixed"/>
      </w:tblPr>
      <w:tblGrid>
        <w:gridCol w:w="7920"/>
      </w:tblGrid>
      <w:tr>
        <w:tc>
          <w:tcPr/>
          <w:bookmarkStart w:id="34" w:name="fig-workflow"/>
          <w:p>
            <w:pPr>
              <w:jc w:val="center"/>
            </w:pPr>
            <w:r>
              <w:drawing>
                <wp:inline>
                  <wp:extent cx="5581497" cy="2490825"/>
                  <wp:effectExtent b="0" l="0" r="0" t="0"/>
                  <wp:docPr descr="" title="" id="32" name="Picture"/>
                  <a:graphic>
                    <a:graphicData uri="http://schemas.openxmlformats.org/drawingml/2006/picture">
                      <pic:pic>
                        <pic:nvPicPr>
                          <pic:cNvPr descr="images/workflow.tif" id="33" name="Picture"/>
                          <pic:cNvPicPr>
                            <a:picLocks noChangeArrowheads="1" noChangeAspect="1"/>
                          </pic:cNvPicPr>
                        </pic:nvPicPr>
                        <pic:blipFill>
                          <a:blip r:embed="rId31"/>
                          <a:stretch>
                            <a:fillRect/>
                          </a:stretch>
                        </pic:blipFill>
                        <pic:spPr bwMode="auto">
                          <a:xfrm>
                            <a:off x="0" y="0"/>
                            <a:ext cx="5581497" cy="2490825"/>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DQO: Data Quality Objectives; QC: Quality Control; WQX: Water Quality Exchange.</w:t>
            </w:r>
          </w:p>
          <w:bookmarkEnd w:id="34"/>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35">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36">
        <w:r>
          <w:rPr>
            <w:rStyle w:val="Hyperlink"/>
          </w:rPr>
          <w:t xml:space="preserve">website</w:t>
        </w:r>
      </w:hyperlink>
      <w:r>
        <w:t xml:space="preserve"> </w:t>
      </w:r>
      <w:r>
        <w:t xml:space="preserve">[22]</w:t>
      </w:r>
      <w:r>
        <w:t xml:space="preserve">, and</w:t>
      </w:r>
      <w:r>
        <w:t xml:space="preserve"> </w:t>
      </w:r>
      <w:hyperlink r:id="rId37">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8"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jc w:val="start"/>
        <w:tblLayout w:type="fixed"/>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8"/>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9"/>
    <w:bookmarkStart w:id="79" w:name="package-workflow"/>
    <w:p>
      <w:pPr>
        <w:pStyle w:val="Heading1"/>
      </w:pPr>
      <w:r>
        <w:t xml:space="preserve">3. Package workflow</w:t>
      </w:r>
    </w:p>
    <w:bookmarkStart w:id="47"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[23]</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jc w:val="start"/>
        <w:tblLayout w:type="fixed"/>
      </w:tblPr>
      <w:tblGrid>
        <w:gridCol w:w="7920"/>
      </w:tblGrid>
      <w:tr>
        <w:tc>
          <w:tcPr/>
          <w:bookmarkStart w:id="43" w:name="fig-importflow"/>
          <w:p>
            <w:pPr>
              <w:jc w:val="center"/>
            </w:pPr>
            <w:r>
              <w:drawing>
                <wp:inline>
                  <wp:extent cx="5943600" cy="3425171"/>
                  <wp:effectExtent b="0" l="0" r="0" t="0"/>
                  <wp:docPr descr="" title="" id="41" name="Picture"/>
                  <a:graphic>
                    <a:graphicData uri="http://schemas.openxmlformats.org/drawingml/2006/picture">
                      <pic:pic>
                        <pic:nvPicPr>
                          <pic:cNvPr descr="images/importflow.tif" id="42" name="Picture"/>
                          <pic:cNvPicPr>
                            <a:picLocks noChangeArrowheads="1" noChangeAspect="1"/>
                          </pic:cNvPicPr>
                        </pic:nvPicPr>
                        <pic:blipFill>
                          <a:blip r:embed="rId40"/>
                          <a:stretch>
                            <a:fillRect/>
                          </a:stretch>
                        </pic:blipFill>
                        <pic:spPr bwMode="auto">
                          <a:xfrm>
                            <a:off x="0" y="0"/>
                            <a:ext cx="5943600" cy="3425171"/>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43"/>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44">
        <w:r>
          <w:rPr>
            <w:rStyle w:val="Hyperlink"/>
          </w:rPr>
          <w:t xml:space="preserve">help documentation</w:t>
        </w:r>
      </w:hyperlink>
      <w:r>
        <w:t xml:space="preserve"> </w:t>
      </w:r>
      <w:r>
        <w:t xml:space="preserve">and</w:t>
      </w:r>
      <w:r>
        <w:t xml:space="preserve"> </w:t>
      </w:r>
      <w:hyperlink r:id="rId45">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46">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(see the supplement for the example data quality objective files for accuracy, frequency and completeness),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(see supplement).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7"/>
    <w:bookmarkStart w:id="52"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outlier"/>
          <w:p>
            <w:pPr>
              <w:jc w:val="center"/>
            </w:pPr>
            <w:r>
              <w:drawing>
                <wp:inline>
                  <wp:extent cx="3810000" cy="2540000"/>
                  <wp:effectExtent b="0" l="0" r="0" t="0"/>
                  <wp:docPr descr="" title="" id="49" name="Picture"/>
                  <a:graphic>
                    <a:graphicData uri="http://schemas.openxmlformats.org/drawingml/2006/picture">
                      <pic:pic>
                        <pic:nvPicPr>
                          <pic:cNvPr descr="images/fig-outlier-1.tif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51"/>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&lt;dttm&gt;                &lt;chr&gt;                </w:t>
      </w:r>
      <w:r>
        <w:br/>
      </w:r>
      <w:r>
        <w:rPr>
          <w:rStyle w:val="VerbatimChar"/>
        </w:rPr>
        <w:t xml:space="preserve">1 ELZ-004                  2022-05-15 00:00:00   06:50                </w:t>
      </w:r>
      <w:r>
        <w:br/>
      </w:r>
      <w:r>
        <w:rPr>
          <w:rStyle w:val="VerbatimChar"/>
        </w:rPr>
        <w:t xml:space="preserve">2 HOP-011                  2022-05-15 00:00:00   06:55                </w:t>
      </w:r>
      <w:r>
        <w:br/>
      </w:r>
      <w:r>
        <w:rPr>
          <w:rStyle w:val="VerbatimChar"/>
        </w:rPr>
        <w:t xml:space="preserve">3 ELZ-004                  2022-09-11 00:00:00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52"/>
    <w:bookmarkStart w:id="57"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see the supplement for the sample file included with the package) and frequency and completeness (</w:t>
      </w:r>
      <w:r>
        <w:rPr>
          <w:rStyle w:val="VerbatimChar"/>
        </w:rPr>
        <w:t xml:space="preserve">frecomdat</w:t>
      </w:r>
      <w:r>
        <w:t xml:space="preserve">, see the supplement for the sample file included with the package) files. In general, the QC checks for accuracy evaluate if laboratory and field duplicates, blanks, or spikes are within acceptable ranges. The QC checks for frequency and completeness can be used to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that the parameter is below a certain threshold, e.g., below the detection limit of the field equipment</w:t>
      </w:r>
    </w:p>
    <w:p>
      <w:pPr>
        <w:numPr>
          <w:ilvl w:val="0"/>
          <w:numId w:val="1003"/>
        </w:numPr>
        <w:pStyle w:val="Compact"/>
      </w:pPr>
      <w:r>
        <w:rPr>
          <w:iCs/>
          <w:i/>
        </w:rPr>
        <w:t xml:space="preserve">Lab Blanks</w:t>
      </w:r>
      <w:r>
        <w:t xml:space="preserve">: Laboratory samples to verify that the parameter is below a certain threshold, e.g., below the detection limit of the laboratory analysis method</w:t>
      </w:r>
    </w:p>
    <w:p>
      <w:pPr>
        <w:numPr>
          <w:ilvl w:val="0"/>
          <w:numId w:val="1003"/>
        </w:numPr>
        <w:pStyle w:val="Compact"/>
      </w:pPr>
      <w:r>
        <w:rPr>
          <w:iCs/>
          <w:i/>
        </w:rPr>
        <w:t xml:space="preserve">Field Duplicates</w:t>
      </w:r>
      <w:r>
        <w:t xml:space="preserve">: Duplicate measurements in the field to assess the similarity of values, i.e. precision is high</w:t>
      </w:r>
    </w:p>
    <w:p>
      <w:pPr>
        <w:numPr>
          <w:ilvl w:val="0"/>
          <w:numId w:val="1003"/>
        </w:numPr>
        <w:pStyle w:val="Compact"/>
      </w:pPr>
      <w:r>
        <w:rPr>
          <w:iCs/>
          <w:i/>
        </w:rPr>
        <w:t xml:space="preserve">Lab Duplicates</w:t>
      </w:r>
      <w:r>
        <w:t xml:space="preserve">: Duplicate laboratory samples to assess the similarity of values, i.e., precision is high</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jc w:val="start"/>
        <w:tblLayout w:type="fixed"/>
      </w:tblPr>
      <w:tblGrid>
        <w:gridCol w:w="7920"/>
      </w:tblGrid>
      <w:tr>
        <w:tc>
          <w:tcPr/>
          <w:bookmarkStart w:id="56" w:name="fig-qcex"/>
          <w:p>
            <w:pPr>
              <w:jc w:val="center"/>
            </w:pPr>
            <w:r>
              <w:drawing>
                <wp:inline>
                  <wp:extent cx="5943600" cy="3845858"/>
                  <wp:effectExtent b="0" l="0" r="0" t="0"/>
                  <wp:docPr descr="" title="" id="54" name="Picture"/>
                  <a:graphic>
                    <a:graphicData uri="http://schemas.openxmlformats.org/drawingml/2006/picture">
                      <pic:pic>
                        <pic:nvPicPr>
                          <pic:cNvPr descr="images/qcex.tif" id="55" name="Picture"/>
                          <pic:cNvPicPr>
                            <a:picLocks noChangeArrowheads="1" noChangeAspect="1"/>
                          </pic:cNvPicPr>
                        </pic:nvPicPr>
                        <pic:blipFill>
                          <a:blip r:embed="rId53"/>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56"/>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[24]</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in Table 3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7"/>
    <w:bookmarkStart w:id="75"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1" w:name="fig-season"/>
          <w:p>
            <w:pPr>
              <w:jc w:val="center"/>
            </w:pPr>
            <w:r>
              <w:drawing>
                <wp:inline>
                  <wp:extent cx="3810000" cy="2540000"/>
                  <wp:effectExtent b="0" l="0" r="0" t="0"/>
                  <wp:docPr descr="" title="" id="59" name="Picture"/>
                  <a:graphic>
                    <a:graphicData uri="http://schemas.openxmlformats.org/drawingml/2006/picture">
                      <pic:pic>
                        <pic:nvPicPr>
                          <pic:cNvPr descr="images/fig-season-1.tif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61"/>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be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5" w:name="fig-date"/>
          <w:p>
            <w:pPr>
              <w:jc w:val="center"/>
            </w:pPr>
            <w:r>
              <w:drawing>
                <wp:inline>
                  <wp:extent cx="3810000" cy="2540000"/>
                  <wp:effectExtent b="0" l="0" r="0" t="0"/>
                  <wp:docPr descr="" title="" id="63" name="Picture"/>
                  <a:graphic>
                    <a:graphicData uri="http://schemas.openxmlformats.org/drawingml/2006/picture">
                      <pic:pic>
                        <pic:nvPicPr>
                          <pic:cNvPr descr="images/fig-date-1.tif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65"/>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9" w:name="fig-site"/>
          <w:p>
            <w:pPr>
              <w:jc w:val="center"/>
            </w:pPr>
            <w:r>
              <w:drawing>
                <wp:inline>
                  <wp:extent cx="3810000" cy="2540000"/>
                  <wp:effectExtent b="0" l="0" r="0" t="0"/>
                  <wp:docPr descr="" title="" id="67" name="Picture"/>
                  <a:graphic>
                    <a:graphicData uri="http://schemas.openxmlformats.org/drawingml/2006/picture">
                      <pic:pic>
                        <pic:nvPicPr>
                          <pic:cNvPr descr="images/fig-site-1.tif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69"/>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[25]</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70">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4" w:name="fig-map"/>
          <w:p>
            <w:pPr>
              <w:jc w:val="center"/>
            </w:pPr>
            <w:r>
              <w:drawing>
                <wp:inline>
                  <wp:extent cx="3810000" cy="2540000"/>
                  <wp:effectExtent b="0" l="0" r="0" t="0"/>
                  <wp:docPr descr="" title="" id="72" name="Picture"/>
                  <a:graphic>
                    <a:graphicData uri="http://schemas.openxmlformats.org/drawingml/2006/picture">
                      <pic:pic>
                        <pic:nvPicPr>
                          <pic:cNvPr descr="images/fig-map-1.tiff" id="73"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74"/>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75"/>
    <w:bookmarkStart w:id="78"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35">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for public use.</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76">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7">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8"/>
    <w:bookmarkEnd w:id="79"/>
    <w:bookmarkStart w:id="84"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w:t>
      </w:r>
      <w:r>
        <w:t xml:space="preserve"> </w:t>
      </w:r>
      <w:r>
        <w:t xml:space="preserve">[e.g., 26]</w:t>
      </w:r>
      <w:r>
        <w:t xml:space="preserve"> </w:t>
      </w:r>
      <w:r>
        <w:t xml:space="preserve">was established during package development and following its initial release on CRAN (January, 2023). This included several beta testing and training workshops to gather feedback on anticipated data analysis workflows and to educate potential users on appropriate use of the package</w:t>
      </w:r>
      <w:r>
        <w:t xml:space="preserve"> </w:t>
      </w:r>
      <w:r>
        <w:t xml:space="preserve">[27,28]</w:t>
      </w:r>
      <w:r>
        <w:t xml:space="preserve">. Many users have not previously been exposed to R for data analysis and a substantial portion of the trainings included an</w:t>
      </w:r>
      <w:r>
        <w:t xml:space="preserve"> </w:t>
      </w:r>
      <w:hyperlink r:id="rId80">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[17]</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81">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82">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w:t>
      </w:r>
      <w:r>
        <w:t xml:space="preserve"> </w:t>
      </w:r>
      <w:hyperlink r:id="rId83">
        <w:r>
          <w:rPr>
            <w:rStyle w:val="Hyperlink"/>
          </w:rPr>
          <w:t xml:space="preserve">StackOverflow</w:t>
        </w:r>
      </w:hyperlink>
      <w:r>
        <w:t xml:space="preserve">)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[29]</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w:t>
      </w:r>
      <w:r>
        <w:t xml:space="preserve"> </w:t>
      </w:r>
      <w:r>
        <w:t xml:space="preserve">[e.g.,</w:t>
      </w:r>
      <w:r>
        <w:t xml:space="preserve"> </w:t>
      </w:r>
      <w:r>
        <w:rPr>
          <w:iCs/>
          <w:i/>
        </w:rPr>
        <w:t xml:space="preserve">dataRetrieval,</w:t>
      </w:r>
      <w:r>
        <w:t xml:space="preserve"> </w:t>
      </w:r>
      <w:r>
        <w:t xml:space="preserve">19]</w:t>
      </w:r>
      <w:r>
        <w:t xml:space="preserve"> </w:t>
      </w:r>
      <w:r>
        <w:t xml:space="preserve">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w:t>
      </w:r>
      <w:r>
        <w:t xml:space="preserve">[e.g., 10]</w:t>
      </w:r>
      <w:r>
        <w:t xml:space="preserve">. These data present additional challenges not encountered with routine samples collected at longer time intervals, including increased data volume and additional QC needs</w:t>
      </w:r>
      <w:r>
        <w:t xml:space="preserve"> </w:t>
      </w:r>
      <w:r>
        <w:t xml:space="preserve">[10,30]</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[31]</w:t>
      </w:r>
      <w:r>
        <w:t xml:space="preserve">.</w:t>
      </w:r>
    </w:p>
    <w:bookmarkEnd w:id="84"/>
    <w:bookmarkStart w:id="85"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85"/>
    <w:bookmarkStart w:id="86"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 We also thank two reviewers and the academic editor of the journal for helpful comments that improved the manuscript.</w:t>
      </w:r>
    </w:p>
    <w:bookmarkEnd w:id="86"/>
    <w:bookmarkStart w:id="150" w:name="references"/>
    <w:p>
      <w:pPr>
        <w:pStyle w:val="Heading1"/>
      </w:pPr>
      <w:r>
        <w:t xml:space="preserve">References</w:t>
      </w:r>
    </w:p>
    <w:bookmarkStart w:id="149" w:name="refs"/>
    <w:bookmarkStart w:id="88" w:name="ref-pollard1998"/>
    <w:p>
      <w:pPr>
        <w:pStyle w:val="Bibliography"/>
      </w:pPr>
      <w:r>
        <w:t xml:space="preserve">1.</w:t>
      </w:r>
      <w:r>
        <w:t xml:space="preserve"> </w:t>
      </w:r>
      <w:r>
        <w:t xml:space="preserve">	</w:t>
      </w:r>
      <w:r>
        <w:t xml:space="preserve">Pollard P, Huxham M. The European Water Framework Directive: a new era in the management of aquatic ecosystem health? Aquatic Conservation: Marine and Freshwater Ecosystems. 1998;8: 773–792. doi:</w:t>
      </w:r>
      <w:hyperlink r:id="rId87">
        <w:r>
          <w:rPr>
            <w:rStyle w:val="Hyperlink"/>
          </w:rPr>
          <w:t xml:space="preserve">10.1002/(sici)1099-0755(1998110)8:6&lt;773::aid-aqc313&gt;3.0.co;2-r</w:t>
        </w:r>
      </w:hyperlink>
    </w:p>
    <w:bookmarkEnd w:id="88"/>
    <w:bookmarkStart w:id="90" w:name="ref-Schiff16"/>
    <w:p>
      <w:pPr>
        <w:pStyle w:val="Bibliography"/>
      </w:pPr>
      <w:r>
        <w:t xml:space="preserve">2.</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89">
        <w:r>
          <w:rPr>
            <w:rStyle w:val="Hyperlink"/>
          </w:rPr>
          <w:t xml:space="preserve">10.1016/j.rsma.2015.11.007</w:t>
        </w:r>
      </w:hyperlink>
    </w:p>
    <w:bookmarkEnd w:id="90"/>
    <w:bookmarkStart w:id="92" w:name="ref-Tango13"/>
    <w:p>
      <w:pPr>
        <w:pStyle w:val="Bibliography"/>
      </w:pPr>
      <w:r>
        <w:t xml:space="preserve">3.</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91">
        <w:r>
          <w:rPr>
            <w:rStyle w:val="Hyperlink"/>
          </w:rPr>
          <w:t xml:space="preserve">10.1111/jawr.12108</w:t>
        </w:r>
      </w:hyperlink>
    </w:p>
    <w:bookmarkEnd w:id="92"/>
    <w:bookmarkStart w:id="94" w:name="ref-Stein09"/>
    <w:p>
      <w:pPr>
        <w:pStyle w:val="Bibliography"/>
      </w:pPr>
      <w:r>
        <w:t xml:space="preserve">4.</w:t>
      </w:r>
      <w:r>
        <w:t xml:space="preserve"> </w:t>
      </w:r>
      <w:r>
        <w:t xml:space="preserve">	</w:t>
      </w:r>
      <w:r>
        <w:t xml:space="preserve">Stein ED, Cadien DB. Ecosystem response to regulatory and management actions: The southern</w:t>
      </w:r>
      <w:r>
        <w:t xml:space="preserve"> </w:t>
      </w:r>
      <w:r>
        <w:t xml:space="preserve">C</w:t>
      </w:r>
      <w:r>
        <w:t xml:space="preserve">alifornia experience in long-term monitoring. Marine Pollution Bulletin. 2009;59: 91–100. doi:</w:t>
      </w:r>
      <w:hyperlink r:id="rId93">
        <w:r>
          <w:rPr>
            <w:rStyle w:val="Hyperlink"/>
          </w:rPr>
          <w:t xml:space="preserve">10.1016/j.marpolbul.2009.02.025</w:t>
        </w:r>
      </w:hyperlink>
    </w:p>
    <w:bookmarkEnd w:id="94"/>
    <w:bookmarkStart w:id="96" w:name="ref-Behmel16"/>
    <w:p>
      <w:pPr>
        <w:pStyle w:val="Bibliography"/>
      </w:pPr>
      <w:r>
        <w:t xml:space="preserve">5.</w:t>
      </w:r>
      <w:r>
        <w:t xml:space="preserve"> </w:t>
      </w:r>
      <w:r>
        <w:t xml:space="preserve">	</w:t>
      </w:r>
      <w:r>
        <w:t xml:space="preserve">Behmel S, Damour M, Ludwig R, Rodriguez M. Water quality monitoring strategies—a review and future perspectives. Science of the Total Environment. 2016;571: 1312–1329. doi:</w:t>
      </w:r>
      <w:hyperlink r:id="rId95">
        <w:r>
          <w:rPr>
            <w:rStyle w:val="Hyperlink"/>
          </w:rPr>
          <w:t xml:space="preserve">10.1016/j.scitotenv.2016.06.235</w:t>
        </w:r>
      </w:hyperlink>
    </w:p>
    <w:bookmarkEnd w:id="96"/>
    <w:bookmarkStart w:id="98" w:name="ref-Kumpel20"/>
    <w:p>
      <w:pPr>
        <w:pStyle w:val="Bibliography"/>
      </w:pPr>
      <w:r>
        <w:t xml:space="preserve">6.</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97">
        <w:r>
          <w:rPr>
            <w:rStyle w:val="Hyperlink"/>
          </w:rPr>
          <w:t xml:space="preserve">10.1038/s41545-020-00084-0</w:t>
        </w:r>
      </w:hyperlink>
    </w:p>
    <w:bookmarkEnd w:id="98"/>
    <w:bookmarkStart w:id="100" w:name="ref-Buytaert14"/>
    <w:p>
      <w:pPr>
        <w:pStyle w:val="Bibliography"/>
      </w:pPr>
      <w:r>
        <w:t xml:space="preserve">7.</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99">
        <w:r>
          <w:rPr>
            <w:rStyle w:val="Hyperlink"/>
          </w:rPr>
          <w:t xml:space="preserve">10.3389/feart.2014.00026</w:t>
        </w:r>
      </w:hyperlink>
    </w:p>
    <w:bookmarkEnd w:id="100"/>
    <w:bookmarkStart w:id="102" w:name="ref-Kelly22"/>
    <w:p>
      <w:pPr>
        <w:pStyle w:val="Bibliography"/>
      </w:pPr>
      <w:r>
        <w:t xml:space="preserve">8.</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101">
        <w:r>
          <w:rPr>
            <w:rStyle w:val="Hyperlink"/>
          </w:rPr>
          <w:t xml:space="preserve">10.1007/s10750-022-04973-y</w:t>
        </w:r>
      </w:hyperlink>
    </w:p>
    <w:bookmarkEnd w:id="102"/>
    <w:bookmarkStart w:id="104" w:name="ref-kinzelman2003"/>
    <w:p>
      <w:pPr>
        <w:pStyle w:val="Bibliography"/>
      </w:pPr>
      <w:r>
        <w:t xml:space="preserve">9.</w:t>
      </w:r>
      <w:r>
        <w:t xml:space="preserve"> </w:t>
      </w:r>
      <w:r>
        <w:t xml:space="preserve">	</w:t>
      </w:r>
      <w:r>
        <w:t xml:space="preserve">Kinzelman J, Ng C, Jackson E, Gradus S, Bagley R. Enterococci as indicators of</w:t>
      </w:r>
      <w:r>
        <w:t xml:space="preserve"> </w:t>
      </w:r>
      <w:r>
        <w:t xml:space="preserve">Lake Michigan</w:t>
      </w:r>
      <w:r>
        <w:t xml:space="preserve"> </w:t>
      </w:r>
      <w:r>
        <w:t xml:space="preserve">recreational water quality: Comparison of two methodologies and their impacts on public health regulatory events. Applied and Environmental Microbiology. 2003;69: 92–96. doi:</w:t>
      </w:r>
      <w:hyperlink r:id="rId103">
        <w:r>
          <w:rPr>
            <w:rStyle w:val="Hyperlink"/>
          </w:rPr>
          <w:t xml:space="preserve">10.1128/aem.69.1.92-96.2003</w:t>
        </w:r>
      </w:hyperlink>
    </w:p>
    <w:bookmarkEnd w:id="104"/>
    <w:bookmarkStart w:id="106" w:name="ref-Wagner06"/>
    <w:p>
      <w:pPr>
        <w:pStyle w:val="Bibliography"/>
      </w:pPr>
      <w:r>
        <w:t xml:space="preserve">10.</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05">
        <w:r>
          <w:rPr>
            <w:rStyle w:val="Hyperlink"/>
          </w:rPr>
          <w:t xml:space="preserve">10.3133/tm1D3</w:t>
        </w:r>
      </w:hyperlink>
    </w:p>
    <w:bookmarkEnd w:id="106"/>
    <w:bookmarkStart w:id="108" w:name="ref-zhang2006"/>
    <w:p>
      <w:pPr>
        <w:pStyle w:val="Bibliography"/>
      </w:pPr>
      <w:r>
        <w:t xml:space="preserve">11.</w:t>
      </w:r>
      <w:r>
        <w:t xml:space="preserve"> </w:t>
      </w:r>
      <w:r>
        <w:t xml:space="preserve">	</w:t>
      </w:r>
      <w:r>
        <w:t xml:space="preserve">Zhang C. Fundamentals of environmental sampling and analysis. Wiley; 2006. doi:</w:t>
      </w:r>
      <w:hyperlink r:id="rId107">
        <w:r>
          <w:rPr>
            <w:rStyle w:val="Hyperlink"/>
          </w:rPr>
          <w:t xml:space="preserve">10.1002/0470120681</w:t>
        </w:r>
      </w:hyperlink>
    </w:p>
    <w:bookmarkEnd w:id="108"/>
    <w:bookmarkStart w:id="110" w:name="ref-Arndt22"/>
    <w:p>
      <w:pPr>
        <w:pStyle w:val="Bibliography"/>
      </w:pPr>
      <w:r>
        <w:t xml:space="preserve">12.</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109">
        <w:r>
          <w:rPr>
            <w:rStyle w:val="Hyperlink"/>
          </w:rPr>
          <w:t xml:space="preserve">10.1016/j.watres.2022.118168</w:t>
        </w:r>
      </w:hyperlink>
    </w:p>
    <w:bookmarkEnd w:id="110"/>
    <w:bookmarkStart w:id="112" w:name="ref-Wilde02"/>
    <w:p>
      <w:pPr>
        <w:pStyle w:val="Bibliography"/>
      </w:pPr>
      <w:r>
        <w:t xml:space="preserve">13.</w:t>
      </w:r>
      <w:r>
        <w:t xml:space="preserve"> </w:t>
      </w:r>
      <w:r>
        <w:t xml:space="preserve">	</w:t>
      </w:r>
      <w:r>
        <w:t xml:space="preserve">Wilde FD, U.S. Geological Survey. Chapter A5. Processing of water samples. Version 2.2, Revised February 2009. Reston, VA: U.S. Geological Survey; 2002. Report No.: 09-A5. doi:</w:t>
      </w:r>
      <w:hyperlink r:id="rId111">
        <w:r>
          <w:rPr>
            <w:rStyle w:val="Hyperlink"/>
          </w:rPr>
          <w:t xml:space="preserve">10.3133/twri09A5</w:t>
        </w:r>
      </w:hyperlink>
    </w:p>
    <w:bookmarkEnd w:id="112"/>
    <w:bookmarkStart w:id="114" w:name="ref-RCT2023"/>
    <w:p>
      <w:pPr>
        <w:pStyle w:val="Bibliography"/>
      </w:pPr>
      <w:r>
        <w:t xml:space="preserve">14.</w:t>
      </w:r>
      <w:r>
        <w:t xml:space="preserve"> </w:t>
      </w:r>
      <w:r>
        <w:t xml:space="preserve">	</w:t>
      </w:r>
      <w:r>
        <w:t xml:space="preserve">R Core Team. R: A language and environment for statistical computing. Vienna, Austria: R Foundation for Statistical Computing; 2023. Available:</w:t>
      </w:r>
      <w:r>
        <w:t xml:space="preserve"> </w:t>
      </w:r>
      <w:hyperlink r:id="rId113">
        <w:r>
          <w:rPr>
            <w:rStyle w:val="Hyperlink"/>
          </w:rPr>
          <w:t xml:space="preserve">https://www.R-project.org/</w:t>
        </w:r>
      </w:hyperlink>
    </w:p>
    <w:bookmarkEnd w:id="114"/>
    <w:bookmarkStart w:id="116" w:name="ref-Xie15"/>
    <w:p>
      <w:pPr>
        <w:pStyle w:val="Bibliography"/>
      </w:pPr>
      <w:r>
        <w:t xml:space="preserve">15.</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115">
        <w:r>
          <w:rPr>
            <w:rStyle w:val="Hyperlink"/>
          </w:rPr>
          <w:t xml:space="preserve">https://yihui.org/knitr/</w:t>
        </w:r>
      </w:hyperlink>
    </w:p>
    <w:bookmarkEnd w:id="116"/>
    <w:bookmarkStart w:id="118" w:name="ref-Allaire23"/>
    <w:p>
      <w:pPr>
        <w:pStyle w:val="Bibliography"/>
      </w:pPr>
      <w:r>
        <w:t xml:space="preserve">16.</w:t>
      </w:r>
      <w:r>
        <w:t xml:space="preserve"> </w:t>
      </w:r>
      <w:r>
        <w:t xml:space="preserve">	</w:t>
      </w:r>
      <w:r>
        <w:t xml:space="preserve">Allaire J, Xie Y, Dervieux C, McPherson J, Luraschi J, Ushey K, et al.</w:t>
      </w:r>
      <w:r>
        <w:t xml:space="preserve"> </w:t>
      </w:r>
      <w:r>
        <w:t xml:space="preserve">rmarkdown: Dynamic Documents for R</w:t>
      </w:r>
      <w:r>
        <w:t xml:space="preserve">. 2023. Available:</w:t>
      </w:r>
      <w:r>
        <w:t xml:space="preserve"> </w:t>
      </w:r>
      <w:hyperlink r:id="rId117">
        <w:r>
          <w:rPr>
            <w:rStyle w:val="Hyperlink"/>
          </w:rPr>
          <w:t xml:space="preserve">https://github.com/rstudio/rmarkdown</w:t>
        </w:r>
      </w:hyperlink>
    </w:p>
    <w:bookmarkEnd w:id="118"/>
    <w:bookmarkStart w:id="120" w:name="ref-Wickham16"/>
    <w:p>
      <w:pPr>
        <w:pStyle w:val="Bibliography"/>
      </w:pPr>
      <w:r>
        <w:t xml:space="preserve">17.</w:t>
      </w:r>
      <w:r>
        <w:t xml:space="preserve"> </w:t>
      </w:r>
      <w:r>
        <w:t xml:space="preserve">	</w:t>
      </w:r>
      <w:r>
        <w:t xml:space="preserve">Wickham H. ggplot2: Elegant graphics for data analysis. Springer-Verlag New York; 2016. Available:</w:t>
      </w:r>
      <w:r>
        <w:t xml:space="preserve"> </w:t>
      </w:r>
      <w:hyperlink r:id="rId119">
        <w:r>
          <w:rPr>
            <w:rStyle w:val="Hyperlink"/>
          </w:rPr>
          <w:t xml:space="preserve">https://ggplot2.tidyverse.org</w:t>
        </w:r>
      </w:hyperlink>
    </w:p>
    <w:bookmarkEnd w:id="120"/>
    <w:bookmarkStart w:id="122" w:name="ref-Wickham19"/>
    <w:p>
      <w:pPr>
        <w:pStyle w:val="Bibliography"/>
      </w:pPr>
      <w:r>
        <w:t xml:space="preserve">18.</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21">
        <w:r>
          <w:rPr>
            <w:rStyle w:val="Hyperlink"/>
          </w:rPr>
          <w:t xml:space="preserve">10.21105/joss.01686</w:t>
        </w:r>
      </w:hyperlink>
    </w:p>
    <w:bookmarkEnd w:id="122"/>
    <w:bookmarkStart w:id="124" w:name="ref-DeCicco22"/>
    <w:p>
      <w:pPr>
        <w:pStyle w:val="Bibliography"/>
      </w:pPr>
      <w:r>
        <w:t xml:space="preserve">19.</w:t>
      </w:r>
      <w:r>
        <w:t xml:space="preserve"> </w:t>
      </w:r>
      <w:r>
        <w:t xml:space="preserve">	</w:t>
      </w:r>
      <w:r>
        <w:t xml:space="preserve">DeCicco LA, Lorenz D, Hirsch RM, Watkins W, Johnson M.</w:t>
      </w:r>
      <w:r>
        <w:t xml:space="preserve"> </w:t>
      </w:r>
      <w:r>
        <w:t xml:space="preserve">dataRetrieval: R packages for discovering and retrieving water data available from U.S. federal hydrologic web services</w:t>
      </w:r>
      <w:r>
        <w:t xml:space="preserve">. Reston, VA: U.S. Geological Survey; U.S. Geological Survey; 2022. doi:</w:t>
      </w:r>
      <w:hyperlink r:id="rId123">
        <w:r>
          <w:rPr>
            <w:rStyle w:val="Hyperlink"/>
          </w:rPr>
          <w:t xml:space="preserve">10.5066/P9X4L3GE</w:t>
        </w:r>
      </w:hyperlink>
    </w:p>
    <w:bookmarkEnd w:id="124"/>
    <w:bookmarkStart w:id="126" w:name="ref-Mullin22"/>
    <w:p>
      <w:pPr>
        <w:pStyle w:val="Bibliography"/>
      </w:pPr>
      <w:r>
        <w:t xml:space="preserve">20.</w:t>
      </w:r>
      <w:r>
        <w:t xml:space="preserve"> </w:t>
      </w:r>
      <w:r>
        <w:t xml:space="preserve">	</w:t>
      </w:r>
      <w:r>
        <w:t xml:space="preserve">Mullin CA, Greif J, Thawley M, Shumway L, Bousquin J, Decicco L, et al.</w:t>
      </w:r>
      <w:r>
        <w:t xml:space="preserve"> </w:t>
      </w:r>
      <w:r>
        <w:t xml:space="preserve">Water Quality Portal (WQP) Tools for Automated Data Analysis (TADA)</w:t>
      </w:r>
      <w:r>
        <w:t xml:space="preserve">. Washington, DC: U.S. Environmental Protection Agency; 2022. Available:</w:t>
      </w:r>
      <w:r>
        <w:t xml:space="preserve"> </w:t>
      </w:r>
      <w:hyperlink r:id="rId125">
        <w:r>
          <w:rPr>
            <w:rStyle w:val="Hyperlink"/>
          </w:rPr>
          <w:t xml:space="preserve">https://github.com/USEPA/TADA</w:t>
        </w:r>
      </w:hyperlink>
    </w:p>
    <w:bookmarkEnd w:id="126"/>
    <w:bookmarkStart w:id="128" w:name="ref-schrape2017a"/>
    <w:p>
      <w:pPr>
        <w:pStyle w:val="Bibliography"/>
      </w:pPr>
      <w:r>
        <w:t xml:space="preserve">21.</w:t>
      </w:r>
      <w:r>
        <w:t xml:space="preserve"> </w:t>
      </w:r>
      <w:r>
        <w:t xml:space="preserve">	</w:t>
      </w:r>
      <w:r>
        <w:t xml:space="preserve">Schrape J-F. Open-source projects as incubators of innovation: From niche phenomenon to integral part of the industry. Convergence: The International Journal of Research into New Media Technologies. 2017;25: 409–427. doi:</w:t>
      </w:r>
      <w:hyperlink r:id="rId127">
        <w:r>
          <w:rPr>
            <w:rStyle w:val="Hyperlink"/>
          </w:rPr>
          <w:t xml:space="preserve">10.1177/1354856517735795</w:t>
        </w:r>
      </w:hyperlink>
    </w:p>
    <w:bookmarkEnd w:id="128"/>
    <w:bookmarkStart w:id="130" w:name="ref-Wickham22"/>
    <w:p>
      <w:pPr>
        <w:pStyle w:val="Bibliography"/>
      </w:pPr>
      <w:r>
        <w:t xml:space="preserve">22.</w:t>
      </w:r>
      <w:r>
        <w:t xml:space="preserve"> </w:t>
      </w:r>
      <w:r>
        <w:t xml:space="preserve">	</w:t>
      </w:r>
      <w:r>
        <w:t xml:space="preserve">Wickham H, Hesselberth J, Salmon M.</w:t>
      </w:r>
      <w:r>
        <w:t xml:space="preserve"> </w:t>
      </w:r>
      <w:r>
        <w:t xml:space="preserve">pkgdown: Make static HTML documentation for a package</w:t>
      </w:r>
      <w:r>
        <w:t xml:space="preserve">. 2022. Available:</w:t>
      </w:r>
      <w:r>
        <w:t xml:space="preserve"> </w:t>
      </w:r>
      <w:hyperlink r:id="rId129">
        <w:r>
          <w:rPr>
            <w:rStyle w:val="Hyperlink"/>
          </w:rPr>
          <w:t xml:space="preserve">https://CRAN.R-project.org/package=pkgdown</w:t>
        </w:r>
      </w:hyperlink>
    </w:p>
    <w:bookmarkEnd w:id="130"/>
    <w:bookmarkStart w:id="132" w:name="ref-Wickham23"/>
    <w:p>
      <w:pPr>
        <w:pStyle w:val="Bibliography"/>
      </w:pPr>
      <w:r>
        <w:t xml:space="preserve">23.</w:t>
      </w:r>
      <w:r>
        <w:t xml:space="preserve"> </w:t>
      </w:r>
      <w:r>
        <w:t xml:space="preserve">	</w:t>
      </w:r>
      <w:r>
        <w:t xml:space="preserve">Wickham H, Bryan J.</w:t>
      </w:r>
      <w:r>
        <w:t xml:space="preserve"> </w:t>
      </w:r>
      <w:r>
        <w:t xml:space="preserve">readxl: Read Excel files</w:t>
      </w:r>
      <w:r>
        <w:t xml:space="preserve">. 2023. Available:</w:t>
      </w:r>
      <w:r>
        <w:t xml:space="preserve"> </w:t>
      </w:r>
      <w:hyperlink r:id="rId131">
        <w:r>
          <w:rPr>
            <w:rStyle w:val="Hyperlink"/>
          </w:rPr>
          <w:t xml:space="preserve">https://CRAN.R-project.org/package=readxl</w:t>
        </w:r>
      </w:hyperlink>
    </w:p>
    <w:bookmarkEnd w:id="132"/>
    <w:bookmarkStart w:id="134" w:name="ref-Gohel23"/>
    <w:p>
      <w:pPr>
        <w:pStyle w:val="Bibliography"/>
      </w:pPr>
      <w:r>
        <w:t xml:space="preserve">24.</w:t>
      </w:r>
      <w:r>
        <w:t xml:space="preserve"> </w:t>
      </w:r>
      <w:r>
        <w:t xml:space="preserve">	</w:t>
      </w:r>
      <w:r>
        <w:t xml:space="preserve">Gohel D, Skintzos P.</w:t>
      </w:r>
      <w:r>
        <w:t xml:space="preserve"> </w:t>
      </w:r>
      <w:r>
        <w:t xml:space="preserve">flextable: Functions for tabular reporting</w:t>
      </w:r>
      <w:r>
        <w:t xml:space="preserve">. 2023. Available:</w:t>
      </w:r>
      <w:r>
        <w:t xml:space="preserve"> </w:t>
      </w:r>
      <w:hyperlink r:id="rId133">
        <w:r>
          <w:rPr>
            <w:rStyle w:val="Hyperlink"/>
          </w:rPr>
          <w:t xml:space="preserve">https://CRAN.R-project.org/package=flextable</w:t>
        </w:r>
      </w:hyperlink>
    </w:p>
    <w:bookmarkEnd w:id="134"/>
    <w:bookmarkStart w:id="136" w:name="ref-Kahle13"/>
    <w:p>
      <w:pPr>
        <w:pStyle w:val="Bibliography"/>
      </w:pPr>
      <w:r>
        <w:t xml:space="preserve">25.</w:t>
      </w:r>
      <w:r>
        <w:t xml:space="preserve"> </w:t>
      </w:r>
      <w:r>
        <w:t xml:space="preserve">	</w:t>
      </w:r>
      <w:r>
        <w:t xml:space="preserve">Kahle D, Wickham H.</w:t>
      </w:r>
      <w:r>
        <w:t xml:space="preserve"> </w:t>
      </w:r>
      <w:r>
        <w:t xml:space="preserve">ggmap: Spatial visualization with ggplot2</w:t>
      </w:r>
      <w:r>
        <w:t xml:space="preserve">. The R Journal. 2013;5: 144–161. Available:</w:t>
      </w:r>
      <w:r>
        <w:t xml:space="preserve"> </w:t>
      </w:r>
      <w:hyperlink r:id="rId135">
        <w:r>
          <w:rPr>
            <w:rStyle w:val="Hyperlink"/>
          </w:rPr>
          <w:t xml:space="preserve">https://journal.r-project.org/archive/2013-1/kahle-wickham.pdf</w:t>
        </w:r>
      </w:hyperlink>
    </w:p>
    <w:bookmarkEnd w:id="136"/>
    <w:bookmarkStart w:id="138" w:name="ref-Meyer22"/>
    <w:p>
      <w:pPr>
        <w:pStyle w:val="Bibliography"/>
      </w:pPr>
      <w:r>
        <w:t xml:space="preserve">26.</w:t>
      </w:r>
      <w:r>
        <w:t xml:space="preserve"> </w:t>
      </w:r>
      <w:r>
        <w:t xml:space="preserve">	</w:t>
      </w:r>
      <w:r>
        <w:t xml:space="preserve">Meyer MF, Barbosa CC, Ladwig R, Mesman JP, Börekçi NS, Cawley K, et al. Hacking limnology workshop and</w:t>
      </w:r>
      <w:r>
        <w:t xml:space="preserve"> </w:t>
      </w:r>
      <w:r>
        <w:t xml:space="preserve">DSOS22</w:t>
      </w:r>
      <w:r>
        <w:t xml:space="preserve">: Creating a community of practice for the nexus of data science, open science, and the aquatic sciences. Limnology &amp; Oceanography Bulletin. 2022;31: 123–126. doi:</w:t>
      </w:r>
      <w:hyperlink r:id="rId137">
        <w:r>
          <w:rPr>
            <w:rStyle w:val="Hyperlink"/>
          </w:rPr>
          <w:t xml:space="preserve">10.1002/lob.10525</w:t>
        </w:r>
      </w:hyperlink>
    </w:p>
    <w:bookmarkEnd w:id="138"/>
    <w:bookmarkStart w:id="140" w:name="ref-whitehead2007"/>
    <w:p>
      <w:pPr>
        <w:pStyle w:val="Bibliography"/>
      </w:pPr>
      <w:r>
        <w:t xml:space="preserve">27.</w:t>
      </w:r>
      <w:r>
        <w:t xml:space="preserve"> </w:t>
      </w:r>
      <w:r>
        <w:t xml:space="preserve">	</w:t>
      </w:r>
      <w:r>
        <w:t xml:space="preserve">Whitehead J. Collaboration in software engineering: A roadmap. Future of Software Engineering (FOSE ’07). 2007. doi:</w:t>
      </w:r>
      <w:hyperlink r:id="rId139">
        <w:r>
          <w:rPr>
            <w:rStyle w:val="Hyperlink"/>
          </w:rPr>
          <w:t xml:space="preserve">10.1109/fose.2007.4</w:t>
        </w:r>
      </w:hyperlink>
    </w:p>
    <w:bookmarkEnd w:id="140"/>
    <w:bookmarkStart w:id="142" w:name="ref-list2017"/>
    <w:p>
      <w:pPr>
        <w:pStyle w:val="Bibliography"/>
      </w:pPr>
      <w:r>
        <w:t xml:space="preserve">28.</w:t>
      </w:r>
      <w:r>
        <w:t xml:space="preserve"> </w:t>
      </w:r>
      <w:r>
        <w:t xml:space="preserve">	</w:t>
      </w:r>
      <w:r>
        <w:t xml:space="preserve">List M, Ebert P, Albrecht F. Ten simple rules for developing usable software in computational biology. Markel S, editor. PLOS Computational Biology. 2017;13: e1005265. doi:</w:t>
      </w:r>
      <w:hyperlink r:id="rId141">
        <w:r>
          <w:rPr>
            <w:rStyle w:val="Hyperlink"/>
          </w:rPr>
          <w:t xml:space="preserve">10.1371/journal.pcbi.1005265</w:t>
        </w:r>
      </w:hyperlink>
    </w:p>
    <w:bookmarkEnd w:id="142"/>
    <w:bookmarkStart w:id="144" w:name="ref-Pebesma23"/>
    <w:p>
      <w:pPr>
        <w:pStyle w:val="Bibliography"/>
      </w:pPr>
      <w:r>
        <w:t xml:space="preserve">29.</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43">
        <w:r>
          <w:rPr>
            <w:rStyle w:val="Hyperlink"/>
          </w:rPr>
          <w:t xml:space="preserve">https://r-spatial.org/book/</w:t>
        </w:r>
      </w:hyperlink>
    </w:p>
    <w:bookmarkEnd w:id="144"/>
    <w:bookmarkStart w:id="146" w:name="ref-Horsburgh15"/>
    <w:p>
      <w:pPr>
        <w:pStyle w:val="Bibliography"/>
      </w:pPr>
      <w:r>
        <w:t xml:space="preserve">30.</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45">
        <w:r>
          <w:rPr>
            <w:rStyle w:val="Hyperlink"/>
          </w:rPr>
          <w:t xml:space="preserve">10.1016/j.envsoft.2015.04.002</w:t>
        </w:r>
      </w:hyperlink>
    </w:p>
    <w:bookmarkEnd w:id="146"/>
    <w:bookmarkStart w:id="148" w:name="ref-Leigh19"/>
    <w:p>
      <w:pPr>
        <w:pStyle w:val="Bibliography"/>
      </w:pPr>
      <w:r>
        <w:t xml:space="preserve">31.</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47">
        <w:r>
          <w:rPr>
            <w:rStyle w:val="Hyperlink"/>
          </w:rPr>
          <w:t xml:space="preserve">10.1016/j.scitotenv.2019.02.085</w:t>
        </w:r>
      </w:hyperlink>
    </w:p>
    <w:bookmarkEnd w:id="148"/>
    <w:bookmarkEnd w:id="149"/>
    <w:bookmarkEnd w:id="150"/>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2" Target="media/rId62.tiff" /><Relationship Type="http://schemas.openxmlformats.org/officeDocument/2006/relationships/image" Id="rId71" Target="media/rId71.tiff" /><Relationship Type="http://schemas.openxmlformats.org/officeDocument/2006/relationships/image" Id="rId48" Target="media/rId48.tiff" /><Relationship Type="http://schemas.openxmlformats.org/officeDocument/2006/relationships/image" Id="rId58" Target="media/rId58.tiff" /><Relationship Type="http://schemas.openxmlformats.org/officeDocument/2006/relationships/image" Id="rId66" Target="media/rId66.tiff" /><Relationship Type="http://schemas.openxmlformats.org/officeDocument/2006/relationships/image" Id="rId40" Target="media/rId40.tiff" /><Relationship Type="http://schemas.openxmlformats.org/officeDocument/2006/relationships/image" Id="rId53" Target="media/rId53.tiff" /><Relationship Type="http://schemas.openxmlformats.org/officeDocument/2006/relationships/image" Id="rId31" Target="media/rId31.tiff" /><Relationship Type="http://schemas.openxmlformats.org/officeDocument/2006/relationships/hyperlink" Id="rId133" Target="https://CRAN.R-project.org/package=flextable" TargetMode="External" /><Relationship Type="http://schemas.openxmlformats.org/officeDocument/2006/relationships/hyperlink" Id="rId129" Target="https://CRAN.R-project.org/package=pkgdown" TargetMode="External" /><Relationship Type="http://schemas.openxmlformats.org/officeDocument/2006/relationships/hyperlink" Id="rId131"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7" Target="https://doi.org/10.1002/(sici)1099-0755(1998110)8:6&lt;773::aid-aqc313&gt;3.0.co;2-r" TargetMode="External" /><Relationship Type="http://schemas.openxmlformats.org/officeDocument/2006/relationships/hyperlink" Id="rId107" Target="https://doi.org/10.1002/0470120681" TargetMode="External" /><Relationship Type="http://schemas.openxmlformats.org/officeDocument/2006/relationships/hyperlink" Id="rId137" Target="https://doi.org/10.1002/lob.10525" TargetMode="External" /><Relationship Type="http://schemas.openxmlformats.org/officeDocument/2006/relationships/hyperlink" Id="rId101" Target="https://doi.org/10.1007/s10750-022-04973-y" TargetMode="External" /><Relationship Type="http://schemas.openxmlformats.org/officeDocument/2006/relationships/hyperlink" Id="rId145" Target="https://doi.org/10.1016/j.envsoft.2015.04.002" TargetMode="External" /><Relationship Type="http://schemas.openxmlformats.org/officeDocument/2006/relationships/hyperlink" Id="rId93" Target="https://doi.org/10.1016/j.marpolbul.2009.02.025" TargetMode="External" /><Relationship Type="http://schemas.openxmlformats.org/officeDocument/2006/relationships/hyperlink" Id="rId89" Target="https://doi.org/10.1016/j.rsma.2015.11.007" TargetMode="External" /><Relationship Type="http://schemas.openxmlformats.org/officeDocument/2006/relationships/hyperlink" Id="rId95" Target="https://doi.org/10.1016/j.scitotenv.2016.06.235" TargetMode="External" /><Relationship Type="http://schemas.openxmlformats.org/officeDocument/2006/relationships/hyperlink" Id="rId147" Target="https://doi.org/10.1016/j.scitotenv.2019.02.085" TargetMode="External" /><Relationship Type="http://schemas.openxmlformats.org/officeDocument/2006/relationships/hyperlink" Id="rId109" Target="https://doi.org/10.1016/j.watres.2022.118168" TargetMode="External" /><Relationship Type="http://schemas.openxmlformats.org/officeDocument/2006/relationships/hyperlink" Id="rId97" Target="https://doi.org/10.1038/s41545-020-00084-0" TargetMode="External" /><Relationship Type="http://schemas.openxmlformats.org/officeDocument/2006/relationships/hyperlink" Id="rId139" Target="https://doi.org/10.1109/fose.2007.4" TargetMode="External" /><Relationship Type="http://schemas.openxmlformats.org/officeDocument/2006/relationships/hyperlink" Id="rId91" Target="https://doi.org/10.1111/jawr.12108" TargetMode="External" /><Relationship Type="http://schemas.openxmlformats.org/officeDocument/2006/relationships/hyperlink" Id="rId103" Target="https://doi.org/10.1128/aem.69.1.92-96.2003" TargetMode="External" /><Relationship Type="http://schemas.openxmlformats.org/officeDocument/2006/relationships/hyperlink" Id="rId127" Target="https://doi.org/10.1177/1354856517735795" TargetMode="External" /><Relationship Type="http://schemas.openxmlformats.org/officeDocument/2006/relationships/hyperlink" Id="rId141" Target="https://doi.org/10.1371/journal.pcbi.1005265" TargetMode="External" /><Relationship Type="http://schemas.openxmlformats.org/officeDocument/2006/relationships/hyperlink" Id="rId121" Target="https://doi.org/10.21105/joss.01686" TargetMode="External" /><Relationship Type="http://schemas.openxmlformats.org/officeDocument/2006/relationships/hyperlink" Id="rId105" Target="https://doi.org/10.3133/tm1D3" TargetMode="External" /><Relationship Type="http://schemas.openxmlformats.org/officeDocument/2006/relationships/hyperlink" Id="rId111" Target="https://doi.org/10.3133/twri09A5" TargetMode="External" /><Relationship Type="http://schemas.openxmlformats.org/officeDocument/2006/relationships/hyperlink" Id="rId99" Target="https://doi.org/10.3389/feart.2014.00026" TargetMode="External" /><Relationship Type="http://schemas.openxmlformats.org/officeDocument/2006/relationships/hyperlink" Id="rId123" Target="https://doi.org/10.5066/P9X4L3GE" TargetMode="External" /><Relationship Type="http://schemas.openxmlformats.org/officeDocument/2006/relationships/hyperlink" Id="rId119" Target="https://ggplot2.tidyverse.org" TargetMode="External" /><Relationship Type="http://schemas.openxmlformats.org/officeDocument/2006/relationships/hyperlink" Id="rId125" Target="https://github.com/USEPA/TADA" TargetMode="External" /><Relationship Type="http://schemas.openxmlformats.org/officeDocument/2006/relationships/hyperlink" Id="rId117" Target="https://github.com/rstudio/rmarkdown" TargetMode="External" /><Relationship Type="http://schemas.openxmlformats.org/officeDocument/2006/relationships/hyperlink" Id="rId135"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3" Target="https://r-spatial.org/book/" TargetMode="External" /><Relationship Type="http://schemas.openxmlformats.org/officeDocument/2006/relationships/hyperlink" Id="rId83" Target="https://stackoverflow.com/"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3"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5"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33" Target="https://CRAN.R-project.org/package=flextable" TargetMode="External" /><Relationship Type="http://schemas.openxmlformats.org/officeDocument/2006/relationships/hyperlink" Id="rId129" Target="https://CRAN.R-project.org/package=pkgdown" TargetMode="External" /><Relationship Type="http://schemas.openxmlformats.org/officeDocument/2006/relationships/hyperlink" Id="rId131"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7" Target="https://doi.org/10.1002/(sici)1099-0755(1998110)8:6&lt;773::aid-aqc313&gt;3.0.co;2-r" TargetMode="External" /><Relationship Type="http://schemas.openxmlformats.org/officeDocument/2006/relationships/hyperlink" Id="rId107" Target="https://doi.org/10.1002/0470120681" TargetMode="External" /><Relationship Type="http://schemas.openxmlformats.org/officeDocument/2006/relationships/hyperlink" Id="rId137" Target="https://doi.org/10.1002/lob.10525" TargetMode="External" /><Relationship Type="http://schemas.openxmlformats.org/officeDocument/2006/relationships/hyperlink" Id="rId101" Target="https://doi.org/10.1007/s10750-022-04973-y" TargetMode="External" /><Relationship Type="http://schemas.openxmlformats.org/officeDocument/2006/relationships/hyperlink" Id="rId145" Target="https://doi.org/10.1016/j.envsoft.2015.04.002" TargetMode="External" /><Relationship Type="http://schemas.openxmlformats.org/officeDocument/2006/relationships/hyperlink" Id="rId93" Target="https://doi.org/10.1016/j.marpolbul.2009.02.025" TargetMode="External" /><Relationship Type="http://schemas.openxmlformats.org/officeDocument/2006/relationships/hyperlink" Id="rId89" Target="https://doi.org/10.1016/j.rsma.2015.11.007" TargetMode="External" /><Relationship Type="http://schemas.openxmlformats.org/officeDocument/2006/relationships/hyperlink" Id="rId95" Target="https://doi.org/10.1016/j.scitotenv.2016.06.235" TargetMode="External" /><Relationship Type="http://schemas.openxmlformats.org/officeDocument/2006/relationships/hyperlink" Id="rId147" Target="https://doi.org/10.1016/j.scitotenv.2019.02.085" TargetMode="External" /><Relationship Type="http://schemas.openxmlformats.org/officeDocument/2006/relationships/hyperlink" Id="rId109" Target="https://doi.org/10.1016/j.watres.2022.118168" TargetMode="External" /><Relationship Type="http://schemas.openxmlformats.org/officeDocument/2006/relationships/hyperlink" Id="rId97" Target="https://doi.org/10.1038/s41545-020-00084-0" TargetMode="External" /><Relationship Type="http://schemas.openxmlformats.org/officeDocument/2006/relationships/hyperlink" Id="rId139" Target="https://doi.org/10.1109/fose.2007.4" TargetMode="External" /><Relationship Type="http://schemas.openxmlformats.org/officeDocument/2006/relationships/hyperlink" Id="rId91" Target="https://doi.org/10.1111/jawr.12108" TargetMode="External" /><Relationship Type="http://schemas.openxmlformats.org/officeDocument/2006/relationships/hyperlink" Id="rId103" Target="https://doi.org/10.1128/aem.69.1.92-96.2003" TargetMode="External" /><Relationship Type="http://schemas.openxmlformats.org/officeDocument/2006/relationships/hyperlink" Id="rId127" Target="https://doi.org/10.1177/1354856517735795" TargetMode="External" /><Relationship Type="http://schemas.openxmlformats.org/officeDocument/2006/relationships/hyperlink" Id="rId141" Target="https://doi.org/10.1371/journal.pcbi.1005265" TargetMode="External" /><Relationship Type="http://schemas.openxmlformats.org/officeDocument/2006/relationships/hyperlink" Id="rId121" Target="https://doi.org/10.21105/joss.01686" TargetMode="External" /><Relationship Type="http://schemas.openxmlformats.org/officeDocument/2006/relationships/hyperlink" Id="rId105" Target="https://doi.org/10.3133/tm1D3" TargetMode="External" /><Relationship Type="http://schemas.openxmlformats.org/officeDocument/2006/relationships/hyperlink" Id="rId111" Target="https://doi.org/10.3133/twri09A5" TargetMode="External" /><Relationship Type="http://schemas.openxmlformats.org/officeDocument/2006/relationships/hyperlink" Id="rId99" Target="https://doi.org/10.3389/feart.2014.00026" TargetMode="External" /><Relationship Type="http://schemas.openxmlformats.org/officeDocument/2006/relationships/hyperlink" Id="rId123" Target="https://doi.org/10.5066/P9X4L3GE" TargetMode="External" /><Relationship Type="http://schemas.openxmlformats.org/officeDocument/2006/relationships/hyperlink" Id="rId119" Target="https://ggplot2.tidyverse.org" TargetMode="External" /><Relationship Type="http://schemas.openxmlformats.org/officeDocument/2006/relationships/hyperlink" Id="rId125" Target="https://github.com/USEPA/TADA" TargetMode="External" /><Relationship Type="http://schemas.openxmlformats.org/officeDocument/2006/relationships/hyperlink" Id="rId117" Target="https://github.com/rstudio/rmarkdown" TargetMode="External" /><Relationship Type="http://schemas.openxmlformats.org/officeDocument/2006/relationships/hyperlink" Id="rId135"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3" Target="https://r-spatial.org/book/" TargetMode="External" /><Relationship Type="http://schemas.openxmlformats.org/officeDocument/2006/relationships/hyperlink" Id="rId83" Target="https://stackoverflow.com/"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3"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5"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2023-09-26T20:48:20Z</dcterms:created>
  <dcterms:modified xsi:type="dcterms:W3CDTF">2023-09-26T20:48:20Z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