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 We hope that these responses and changes to the manuscript are satisfactory.</w:t>
      </w:r>
    </w:p>
    <w:bookmarkStart w:id="26"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of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[1]</w:t>
      </w:r>
      <w:r>
        <w:t xml:space="preserve"> </w:t>
      </w:r>
      <w:r>
        <w:t xml:space="preserve">is also currently under development as a resource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For example,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Moreover, the software is not open-source, which implicitly limits its development to a core set of maintainers and is not freely accessible to the broader community</w:t>
      </w:r>
      <w:r>
        <w:t xml:space="preserve"> </w:t>
      </w:r>
      <w:r>
        <w:t xml:space="preserve">[e.g., 2]</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w:t>
      </w:r>
    </w:p>
    <w:p>
      <w:pPr>
        <w:pStyle w:val="BodyText"/>
      </w:pPr>
      <w:r>
        <w:t xml:space="preserve">Line 26 includes a link to a description of the US Clean Water Act (</w:t>
      </w:r>
      <w:hyperlink r:id="rId25">
        <w:r>
          <w:rPr>
            <w:rStyle w:val="Hyperlink"/>
          </w:rPr>
          <w:t xml:space="preserve">33 USC § 1251 et seq.</w:t>
        </w:r>
      </w:hyperlink>
      <w:r>
        <w:t xml:space="preserve">, note that there is no citation provided in the references because this is legislative code).</w:t>
      </w:r>
    </w:p>
    <w:p>
      <w:pPr>
        <w:pStyle w:val="BodyText"/>
      </w:pPr>
      <w:r>
        <w:t xml:space="preserve">Line 29 includes a citation to the European Water Framework Directive</w:t>
      </w:r>
      <w:r>
        <w:t xml:space="preserve"> </w:t>
      </w:r>
      <w:r>
        <w:t xml:space="preserve">[Directive 2000/60/EC of the European Parliament and of the Council of 23 October 2000, 3]</w:t>
      </w:r>
    </w:p>
    <w:p>
      <w:pPr>
        <w:pStyle w:val="BodyText"/>
      </w:pPr>
      <w:r>
        <w:t xml:space="preserve">Line 40 includes the following citations:</w:t>
      </w:r>
      <w:r>
        <w:t xml:space="preserve"> </w:t>
      </w:r>
      <w:r>
        <w:t xml:space="preserve">[4]</w:t>
      </w:r>
      <w:r>
        <w:t xml:space="preserve">,</w:t>
      </w:r>
      <w:r>
        <w:t xml:space="preserve"> </w:t>
      </w:r>
      <w:r>
        <w:t xml:space="preserve">[5]</w:t>
      </w:r>
      <w:r>
        <w:t xml:space="preserve">,</w:t>
      </w:r>
      <w:r>
        <w:t xml:space="preserve"> </w:t>
      </w:r>
      <w:r>
        <w:t xml:space="preserve">[6]</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can engage with the package using one to any of the steps in the diagram.</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w:t>
      </w:r>
    </w:p>
    <w:bookmarkEnd w:id="26"/>
    <w:bookmarkStart w:id="27"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27"/>
    <w:bookmarkStart w:id="29"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28">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transferibility of the software. We are confident that the software can be broadly applied given the relatively minor limitations for its use outside of Massachusetts. Additionally, the software has been downloaded over 4000 times from CRAN as of this wwriting,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29"/>
    <w:bookmarkStart w:id="43" w:name="references"/>
    <w:p>
      <w:pPr>
        <w:pStyle w:val="Heading1"/>
      </w:pPr>
      <w:r>
        <w:t xml:space="preserve">References</w:t>
      </w:r>
    </w:p>
    <w:bookmarkStart w:id="42" w:name="refs"/>
    <w:bookmarkStart w:id="31" w:name="ref-Mullin22"/>
    <w:p>
      <w:pPr>
        <w:pStyle w:val="Bibliography"/>
      </w:pPr>
      <w:r>
        <w:t xml:space="preserve">1.</w:t>
      </w:r>
      <w:r>
        <w:t xml:space="preserve"> </w:t>
      </w:r>
      <w:r>
        <w:t xml:space="preserve">	</w:t>
      </w:r>
      <w:r>
        <w:t xml:space="preserve">Mullin CA, Greif J, Thawley M, Shumway L, Bousquin J, Decicco L, et al.</w:t>
      </w:r>
      <w:r>
        <w:t xml:space="preserve"> </w:t>
      </w:r>
      <w:r>
        <w:t xml:space="preserve">Water Quality Portal (WQP) Tools for Automated Data Analysis (TADA)</w:t>
      </w:r>
      <w:r>
        <w:t xml:space="preserve">. Washington, DC: U.S. Environmental Protection Agency; 2022. Available:</w:t>
      </w:r>
      <w:r>
        <w:t xml:space="preserve"> </w:t>
      </w:r>
      <w:hyperlink r:id="rId30">
        <w:r>
          <w:rPr>
            <w:rStyle w:val="Hyperlink"/>
          </w:rPr>
          <w:t xml:space="preserve">https://github.com/USEPA/TADA</w:t>
        </w:r>
      </w:hyperlink>
    </w:p>
    <w:bookmarkEnd w:id="31"/>
    <w:bookmarkStart w:id="33" w:name="ref-schrape2017a"/>
    <w:p>
      <w:pPr>
        <w:pStyle w:val="Bibliography"/>
      </w:pPr>
      <w:r>
        <w:t xml:space="preserve">2.</w:t>
      </w:r>
      <w:r>
        <w:t xml:space="preserve"> </w:t>
      </w:r>
      <w:r>
        <w:t xml:space="preserve">	</w:t>
      </w:r>
      <w:r>
        <w:t xml:space="preserve">Schrape J-F. Open-source projects as incubators of innovation: From niche phenomenon to integral part of the industry. Convergence: The International Journal of Research into New Media Technologies. 2017;25: 409–427. doi:</w:t>
      </w:r>
      <w:hyperlink r:id="rId32">
        <w:r>
          <w:rPr>
            <w:rStyle w:val="Hyperlink"/>
          </w:rPr>
          <w:t xml:space="preserve">10.1177/1354856517735795</w:t>
        </w:r>
      </w:hyperlink>
    </w:p>
    <w:bookmarkEnd w:id="33"/>
    <w:bookmarkStart w:id="35" w:name="ref-pollard1998"/>
    <w:p>
      <w:pPr>
        <w:pStyle w:val="Bibliography"/>
      </w:pPr>
      <w:r>
        <w:t xml:space="preserve">3.</w:t>
      </w:r>
      <w:r>
        <w:t xml:space="preserve"> </w:t>
      </w:r>
      <w:r>
        <w:t xml:space="preserve">	</w:t>
      </w:r>
      <w:r>
        <w:t xml:space="preserve">Pollard P, Huxham M. The European Water Framework Directive: a new era in the management of aquatic ecosystem health? Aquatic Conservation: Marine and Freshwater Ecosystems. 1998;8: 773–792. doi:</w:t>
      </w:r>
      <w:hyperlink r:id="rId34">
        <w:r>
          <w:rPr>
            <w:rStyle w:val="Hyperlink"/>
          </w:rPr>
          <w:t xml:space="preserve">10.1002/(sici)1099-0755(1998110)8:6&lt;773::aid-aqc313&gt;3.0.co;2-r</w:t>
        </w:r>
      </w:hyperlink>
    </w:p>
    <w:bookmarkEnd w:id="35"/>
    <w:bookmarkStart w:id="37" w:name="ref-kinzelman2003"/>
    <w:p>
      <w:pPr>
        <w:pStyle w:val="Bibliography"/>
      </w:pPr>
      <w:r>
        <w:t xml:space="preserve">4.</w:t>
      </w:r>
      <w:r>
        <w:t xml:space="preserve"> </w:t>
      </w:r>
      <w:r>
        <w:t xml:space="preserve">	</w:t>
      </w:r>
      <w:r>
        <w:t xml:space="preserve">Kinzelman J, Ng C, Jackson E, Gradus S, Bagley R. Enterococci as Indicators of Lake Michigan Recreational Water Quality: Comparison of Two Methodologies and Their Impacts on Public Health Regulatory Events. Applied and Environmental Microbiology. 2003;69: 92–96. doi:</w:t>
      </w:r>
      <w:hyperlink r:id="rId36">
        <w:r>
          <w:rPr>
            <w:rStyle w:val="Hyperlink"/>
          </w:rPr>
          <w:t xml:space="preserve">10.1128/aem.69.1.92-96.2003</w:t>
        </w:r>
      </w:hyperlink>
    </w:p>
    <w:bookmarkEnd w:id="37"/>
    <w:bookmarkStart w:id="39" w:name="ref-Wagner06"/>
    <w:p>
      <w:pPr>
        <w:pStyle w:val="Bibliography"/>
      </w:pPr>
      <w:r>
        <w:t xml:space="preserve">5.</w:t>
      </w:r>
      <w:r>
        <w:t xml:space="preserve"> </w:t>
      </w:r>
      <w:r>
        <w:t xml:space="preserve">	</w:t>
      </w:r>
      <w:r>
        <w:t xml:space="preserve">Wagner RJ, Boulger Jr RW, Oblinger CJ, Smith BA. Guidelines and standard procedures for continuous water-quality monitors: Station operation, record computation, and data reporting. Version 1.0. Reston, VA: U.S. Geological Survey; 2006. Report No.: 1-D3. doi:</w:t>
      </w:r>
      <w:hyperlink r:id="rId38">
        <w:r>
          <w:rPr>
            <w:rStyle w:val="Hyperlink"/>
          </w:rPr>
          <w:t xml:space="preserve">10.3133/tm1D3</w:t>
        </w:r>
      </w:hyperlink>
    </w:p>
    <w:bookmarkEnd w:id="39"/>
    <w:bookmarkStart w:id="41" w:name="ref-zhang2006"/>
    <w:p>
      <w:pPr>
        <w:pStyle w:val="Bibliography"/>
      </w:pPr>
      <w:r>
        <w:t xml:space="preserve">6.</w:t>
      </w:r>
      <w:r>
        <w:t xml:space="preserve"> </w:t>
      </w:r>
      <w:r>
        <w:t xml:space="preserve">	</w:t>
      </w:r>
      <w:r>
        <w:t xml:space="preserve">Zhang C(Carl). Fundamentals of environmental sampling and analysis. 2006. doi:</w:t>
      </w:r>
      <w:hyperlink r:id="rId40">
        <w:r>
          <w:rPr>
            <w:rStyle w:val="Hyperlink"/>
          </w:rPr>
          <w:t xml:space="preserve">10.1002/0470120681</w:t>
        </w:r>
      </w:hyperlink>
    </w:p>
    <w:bookmarkEnd w:id="41"/>
    <w:bookmarkEnd w:id="42"/>
    <w:bookmarkEnd w:id="43"/>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4" Target="https://doi.org/10.1002/(sici)1099-0755(1998110)8:6&lt;773::aid-aqc313&gt;3.0.co;2-r" TargetMode="External" /><Relationship Type="http://schemas.openxmlformats.org/officeDocument/2006/relationships/hyperlink" Id="rId40" Target="https://doi.org/10.1002/0470120681" TargetMode="External" /><Relationship Type="http://schemas.openxmlformats.org/officeDocument/2006/relationships/hyperlink" Id="rId36" Target="https://doi.org/10.1128/aem.69.1.92-96.2003" TargetMode="External" /><Relationship Type="http://schemas.openxmlformats.org/officeDocument/2006/relationships/hyperlink" Id="rId32" Target="https://doi.org/10.1177/1354856517735795" TargetMode="External" /><Relationship Type="http://schemas.openxmlformats.org/officeDocument/2006/relationships/hyperlink" Id="rId38" Target="https://doi.org/10.3133/tm1D3"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4" Target="https://doi.org/10.1002/(sici)1099-0755(1998110)8:6&lt;773::aid-aqc313&gt;3.0.co;2-r" TargetMode="External" /><Relationship Type="http://schemas.openxmlformats.org/officeDocument/2006/relationships/hyperlink" Id="rId40" Target="https://doi.org/10.1002/0470120681" TargetMode="External" /><Relationship Type="http://schemas.openxmlformats.org/officeDocument/2006/relationships/hyperlink" Id="rId36" Target="https://doi.org/10.1128/aem.69.1.92-96.2003" TargetMode="External" /><Relationship Type="http://schemas.openxmlformats.org/officeDocument/2006/relationships/hyperlink" Id="rId32" Target="https://doi.org/10.1177/1354856517735795" TargetMode="External" /><Relationship Type="http://schemas.openxmlformats.org/officeDocument/2006/relationships/hyperlink" Id="rId38" Target="https://doi.org/10.3133/tm1D3"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2023-09-18T20:50:12Z</dcterms:created>
  <dcterms:modified xsi:type="dcterms:W3CDTF">2023-09-18T20:50:12Z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../plos-one.csl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