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Response</w:t>
      </w:r>
      <w:r>
        <w:t xml:space="preserve">: We sincerely thank the academic editor and two reviewers for providing thoughtful comments on our manuscript. We provide a point-by-point response to these comments below. We hope that these responses and changes to the manuscript are satisfactory.</w:t>
      </w:r>
    </w:p>
    <w:bookmarkStart w:id="29"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for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(Mullin et al. 2022)</w:t>
      </w:r>
      <w:r>
        <w:t xml:space="preserve"> </w:t>
      </w:r>
      <w:r>
        <w:t xml:space="preserve">is also currently under development as a resource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be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For example,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open-source, which implicitly limits its development to a core set of maintainers and is not freely accessible to the broader community</w:t>
      </w:r>
      <w:r>
        <w:t xml:space="preserve"> </w:t>
      </w:r>
      <w:r>
        <w:t xml:space="preserve">(e.g., Schrape 2017)</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w:t>
      </w:r>
    </w:p>
    <w:p>
      <w:pPr>
        <w:pStyle w:val="BodyText"/>
      </w:pPr>
      <w:r>
        <w:t xml:space="preserve">Line 26 includes a link to a description of the US Clean Water Act legislation (</w:t>
      </w:r>
      <w:hyperlink r:id="rId25">
        <w:r>
          <w:rPr>
            <w:rStyle w:val="Hyperlink"/>
          </w:rPr>
          <w:t xml:space="preserve">33 USC § 1251 et seq.</w:t>
        </w:r>
      </w:hyperlink>
      <w:r>
        <w:t xml:space="preserve">, note that there is no citation provided in the references because this is legislative code).</w:t>
      </w:r>
    </w:p>
    <w:p>
      <w:pPr>
        <w:pStyle w:val="BodyText"/>
      </w:pPr>
      <w:r>
        <w:t xml:space="preserve">Line 29 includes a citation to the European Water Framework Directive</w:t>
      </w:r>
      <w:r>
        <w:t xml:space="preserve"> </w:t>
      </w:r>
      <w:r>
        <w:t xml:space="preserve">(Directive 2000/60/EC of the European Parliament and of the Council of 23 October 2000, Pollard and Huxham 1998)</w:t>
      </w:r>
    </w:p>
    <w:p>
      <w:pPr>
        <w:pStyle w:val="BodyText"/>
      </w:pPr>
      <w:r>
        <w:t xml:space="preserve">Line 40 includes the following citations:</w:t>
      </w:r>
      <w:r>
        <w:t xml:space="preserve"> </w:t>
      </w:r>
      <w:r>
        <w:t xml:space="preserve">Kinzelman et al. (2003)</w:t>
      </w:r>
      <w:r>
        <w:t xml:space="preserve">,</w:t>
      </w:r>
      <w:r>
        <w:t xml:space="preserve"> </w:t>
      </w:r>
      <w:r>
        <w:t xml:space="preserve">Wagner et al. (2006)</w:t>
      </w:r>
      <w:r>
        <w:t xml:space="preserve">,</w:t>
      </w:r>
      <w:r>
        <w:t xml:space="preserve"> </w:t>
      </w:r>
      <w:r>
        <w:t xml:space="preserve">Zhang (n.d.)</w:t>
      </w:r>
      <w:r>
        <w:t xml:space="preserve">.</w:t>
      </w:r>
    </w:p>
    <w:p>
      <w:pPr>
        <w:pStyle w:val="BodyText"/>
      </w:pPr>
      <w:r>
        <w:t xml:space="preserve">Lines 521-537 include the following citations:</w:t>
      </w:r>
      <w:r>
        <w:t xml:space="preserve"> </w:t>
      </w:r>
      <w:r>
        <w:t xml:space="preserve">Meyer et al. (2022)</w:t>
      </w:r>
      <w:r>
        <w:t xml:space="preserve">,</w:t>
      </w:r>
      <w:r>
        <w:t xml:space="preserve"> </w:t>
      </w:r>
      <w:r>
        <w:t xml:space="preserve">Whitehead (2007)</w:t>
      </w:r>
      <w:r>
        <w:t xml:space="preserve">,</w:t>
      </w:r>
      <w:r>
        <w:t xml:space="preserve"> </w:t>
      </w:r>
      <w:r>
        <w:t xml:space="preserve">List, Ebert, and Albrecht (2017)</w:t>
      </w:r>
      <w:r>
        <w:t xml:space="preserve">,</w:t>
      </w:r>
      <w:r>
        <w:t xml:space="preserve"> </w:t>
      </w:r>
      <w:r>
        <w:t xml:space="preserve">Wickham (2016)</w:t>
      </w:r>
    </w:p>
    <w:p>
      <w:pPr>
        <w:pStyle w:val="BodyText"/>
      </w:pPr>
      <w:r>
        <w:t xml:space="preserve">Additional citations were added later in the discussion:</w:t>
      </w:r>
      <w:r>
        <w:t xml:space="preserve"> </w:t>
      </w:r>
      <w:r>
        <w:t xml:space="preserve">De Cicco et al. (2022)</w:t>
      </w:r>
      <w:r>
        <w:t xml:space="preserve">,</w:t>
      </w:r>
      <w:r>
        <w:t xml:space="preserve"> </w:t>
      </w:r>
      <w:r>
        <w:t xml:space="preserve">Wagner et al. (2006)</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does not have to engage in all steps of the workflow.</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 A supplement file was created to accompany the main manuscript, including tables for the parameters used by MassWateR and the sample files included with the package for the data quality objectives for accuracy, frequency, and completeness. Also note that the specific QC checks used by the package were previously described in the main text (e.g., lab spikes, lab blanks, etc.).</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 We have verified that our manuscript adheres to the utility, validation, and availability criteria for the article type. Below are descriptions of how these criteria are met:</w:t>
      </w:r>
    </w:p>
    <w:p>
      <w:pPr>
        <w:pStyle w:val="BodyText"/>
      </w:pPr>
      <w:r>
        <w:rPr>
          <w:iCs/>
          <w:i/>
        </w:rPr>
        <w:t xml:space="preserve">Utility:</w:t>
      </w:r>
      <w:r>
        <w:t xml:space="preserve"> </w:t>
      </w:r>
      <w:r>
        <w:t xml:space="preserve">The MassWateR package provides needed utility for the community, as established in the introductory text, both in the original submission and the additions provided in the revision. In particular, the package provides a repeatable and efficient means for generating QC reports to ensure water quality data are of sufficient accuracy and precision needed for integration into larger databases (i.e., WQX) or additional applications (e.g., regulatory, assessment). As noted, we are unaware of any existing tools that provide this functionality.</w:t>
      </w:r>
    </w:p>
    <w:p>
      <w:pPr>
        <w:pStyle w:val="BodyText"/>
      </w:pPr>
      <w:r>
        <w:rPr>
          <w:iCs/>
          <w:i/>
        </w:rPr>
        <w:t xml:space="preserve">Validation</w:t>
      </w:r>
      <w:r>
        <w:t xml:space="preserve">: MassWateR achieves its intended uses as verified by adoption by the larger community of practice, detailed in the text. In addition, the package has been downloaded over 4000 times since its availability on CRAN in January 2023. This provides a robust indication that those outside of our community of practice are also applying MassWateR for its intended use. Finally, we describe the possible applications for the package in detail in the manuscript (e.g., QC report generation including a figure showing a portion of the report, submission to WQX, etc.).</w:t>
      </w:r>
    </w:p>
    <w:p>
      <w:pPr>
        <w:pStyle w:val="BodyText"/>
      </w:pPr>
      <w:r>
        <w:rPr>
          <w:iCs/>
          <w:i/>
        </w:rPr>
        <w:t xml:space="preserve">Availability</w:t>
      </w:r>
      <w:r>
        <w:t xml:space="preserve">: The software is entirely open-source and available for download through</w:t>
      </w:r>
      <w:r>
        <w:t xml:space="preserve"> </w:t>
      </w:r>
      <w:hyperlink r:id="rId26">
        <w:r>
          <w:rPr>
            <w:rStyle w:val="Hyperlink"/>
          </w:rPr>
          <w:t xml:space="preserve">CRAN</w:t>
        </w:r>
      </w:hyperlink>
      <w:r>
        <w:t xml:space="preserve">,</w:t>
      </w:r>
      <w:r>
        <w:t xml:space="preserve"> </w:t>
      </w:r>
      <w:hyperlink r:id="rId27">
        <w:r>
          <w:rPr>
            <w:rStyle w:val="Hyperlink"/>
          </w:rPr>
          <w:t xml:space="preserve">GitHub</w:t>
        </w:r>
      </w:hyperlink>
      <w:r>
        <w:t xml:space="preserve">, and</w:t>
      </w:r>
      <w:r>
        <w:t xml:space="preserve"> </w:t>
      </w:r>
      <w:hyperlink r:id="rId28">
        <w:r>
          <w:rPr>
            <w:rStyle w:val="Hyperlink"/>
          </w:rPr>
          <w:t xml:space="preserve">R-Universe</w:t>
        </w:r>
      </w:hyperlink>
      <w:r>
        <w:t xml:space="preserve"> </w:t>
      </w:r>
      <w:r>
        <w:t xml:space="preserve">Numerous links and citations are included throughout the text. The license applied to MassWateR is CC0 1.0, making the code available to the world-wide public domain.</w:t>
      </w:r>
    </w:p>
    <w:bookmarkEnd w:id="29"/>
    <w:bookmarkStart w:id="30"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30"/>
    <w:bookmarkStart w:id="32"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31">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transferability of the software. We are confident that the software can be broadly applied given the relatively minor limitations for its use outside of Massachusetts. Additionally, the software has been downloaded over 4000 times from CRAN as of this 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32"/>
    <w:bookmarkStart w:id="55" w:name="references"/>
    <w:p>
      <w:pPr>
        <w:pStyle w:val="Heading1"/>
      </w:pPr>
      <w:r>
        <w:t xml:space="preserve">References</w:t>
      </w:r>
    </w:p>
    <w:bookmarkStart w:id="54" w:name="refs"/>
    <w:bookmarkStart w:id="34" w:name="ref-DeCicco22"/>
    <w:p>
      <w:pPr>
        <w:pStyle w:val="Bibliography"/>
      </w:pPr>
      <w:r>
        <w:t xml:space="preserve">De Cicco, Laura A., David Lorenz, Robert M. Hirsch, William Watkins, and Mike Johnson. 2022.</w:t>
      </w:r>
      <w:r>
        <w:t xml:space="preserve"> </w:t>
      </w:r>
      <w:r>
        <w:rPr>
          <w:iCs/>
          <w:i/>
        </w:rPr>
        <w:t xml:space="preserve">dataRetrieval: R Packages for Discovering and Retrieving Water Data Available from u.s. Federal Hydrologic Web Services</w:t>
      </w:r>
      <w:r>
        <w:t xml:space="preserve"> </w:t>
      </w:r>
      <w:r>
        <w:t xml:space="preserve">(version 2.7.12). Reston, VA: U.S. Geological Survey; U.S. Geological Survey.</w:t>
      </w:r>
      <w:r>
        <w:t xml:space="preserve"> </w:t>
      </w:r>
      <w:hyperlink r:id="rId33">
        <w:r>
          <w:rPr>
            <w:rStyle w:val="Hyperlink"/>
          </w:rPr>
          <w:t xml:space="preserve">https://doi.org/10.5066/P9X4L3GE</w:t>
        </w:r>
      </w:hyperlink>
      <w:r>
        <w:t xml:space="preserve">.</w:t>
      </w:r>
    </w:p>
    <w:bookmarkEnd w:id="34"/>
    <w:bookmarkStart w:id="36" w:name="ref-kinzelman2003"/>
    <w:p>
      <w:pPr>
        <w:pStyle w:val="Bibliography"/>
      </w:pPr>
      <w:r>
        <w:t xml:space="preserve">Kinzelman, Julie, Clement Ng, Emma Jackson, Stephen Gradus, and Robert Bagley. 2003.</w:t>
      </w:r>
      <w:r>
        <w:t xml:space="preserve"> </w:t>
      </w:r>
      <w:r>
        <w:t xml:space="preserve">“Enterococci as Indicators of Lake Michigan Recreational Water Quality: Comparison of Two Methodologies and Their Impacts on Public Health Regulatory Events.”</w:t>
      </w:r>
      <w:r>
        <w:t xml:space="preserve"> </w:t>
      </w:r>
      <w:r>
        <w:rPr>
          <w:iCs/>
          <w:i/>
        </w:rPr>
        <w:t xml:space="preserve">Applied and Environmental Microbiology</w:t>
      </w:r>
      <w:r>
        <w:t xml:space="preserve"> </w:t>
      </w:r>
      <w:r>
        <w:t xml:space="preserve">69 (1): 92–96.</w:t>
      </w:r>
      <w:r>
        <w:t xml:space="preserve"> </w:t>
      </w:r>
      <w:hyperlink r:id="rId35">
        <w:r>
          <w:rPr>
            <w:rStyle w:val="Hyperlink"/>
          </w:rPr>
          <w:t xml:space="preserve">https://doi.org/10.1128/aem.69.1.92-96.2003</w:t>
        </w:r>
      </w:hyperlink>
      <w:r>
        <w:t xml:space="preserve">.</w:t>
      </w:r>
    </w:p>
    <w:bookmarkEnd w:id="36"/>
    <w:bookmarkStart w:id="38" w:name="ref-list2017"/>
    <w:p>
      <w:pPr>
        <w:pStyle w:val="Bibliography"/>
      </w:pPr>
      <w:r>
        <w:t xml:space="preserve">List, Markus, Peter Ebert, and Felipe Albrecht. 2017.</w:t>
      </w:r>
      <w:r>
        <w:t xml:space="preserve"> </w:t>
      </w:r>
      <w:r>
        <w:t xml:space="preserve">“Ten Simple Rules for Developing Usable Software in Computational Biology.”</w:t>
      </w:r>
      <w:r>
        <w:t xml:space="preserve"> </w:t>
      </w:r>
      <w:r>
        <w:t xml:space="preserve">Edited by Scott Markel.</w:t>
      </w:r>
      <w:r>
        <w:t xml:space="preserve"> </w:t>
      </w:r>
      <w:r>
        <w:rPr>
          <w:iCs/>
          <w:i/>
        </w:rPr>
        <w:t xml:space="preserve">PLOS Computational Biology</w:t>
      </w:r>
      <w:r>
        <w:t xml:space="preserve"> </w:t>
      </w:r>
      <w:r>
        <w:t xml:space="preserve">13 (1): e1005265.</w:t>
      </w:r>
      <w:r>
        <w:t xml:space="preserve"> </w:t>
      </w:r>
      <w:hyperlink r:id="rId37">
        <w:r>
          <w:rPr>
            <w:rStyle w:val="Hyperlink"/>
          </w:rPr>
          <w:t xml:space="preserve">https://doi.org/10.1371/journal.pcbi.1005265</w:t>
        </w:r>
      </w:hyperlink>
      <w:r>
        <w:t xml:space="preserve">.</w:t>
      </w:r>
    </w:p>
    <w:bookmarkEnd w:id="38"/>
    <w:bookmarkStart w:id="40" w:name="ref-Meyer22"/>
    <w:p>
      <w:pPr>
        <w:pStyle w:val="Bibliography"/>
      </w:pPr>
      <w:r>
        <w:t xml:space="preserve">Meyer, Michael F, Carolina C Barbosa, Robert Ladwig, Jorrit P Mesman, Nahit Soner Börekçi, Kaelin Cawley, Johannes Feldbauer, et al. 2022.</w:t>
      </w:r>
      <w:r>
        <w:t xml:space="preserve"> </w:t>
      </w:r>
      <w:r>
        <w:t xml:space="preserve">“Hacking Limnology Workshop and</w:t>
      </w:r>
      <w:r>
        <w:t xml:space="preserve"> </w:t>
      </w:r>
      <w:r>
        <w:t xml:space="preserve">DSOS22</w:t>
      </w:r>
      <w:r>
        <w:t xml:space="preserve">: Creating a Community of Practice for the Nexus of Data Science, Open Science, and the Aquatic Sciences.”</w:t>
      </w:r>
      <w:r>
        <w:t xml:space="preserve"> </w:t>
      </w:r>
      <w:r>
        <w:rPr>
          <w:iCs/>
          <w:i/>
        </w:rPr>
        <w:t xml:space="preserve">Limnology &amp; Oceanography Bulletin</w:t>
      </w:r>
      <w:r>
        <w:t xml:space="preserve"> </w:t>
      </w:r>
      <w:r>
        <w:t xml:space="preserve">31 (4): 123–26.</w:t>
      </w:r>
      <w:r>
        <w:t xml:space="preserve"> </w:t>
      </w:r>
      <w:hyperlink r:id="rId39">
        <w:r>
          <w:rPr>
            <w:rStyle w:val="Hyperlink"/>
          </w:rPr>
          <w:t xml:space="preserve">https://doi.org/10.1002/lob.10525</w:t>
        </w:r>
      </w:hyperlink>
      <w:r>
        <w:t xml:space="preserve">.</w:t>
      </w:r>
    </w:p>
    <w:bookmarkEnd w:id="40"/>
    <w:bookmarkStart w:id="42" w:name="ref-Mullin22"/>
    <w:p>
      <w:pPr>
        <w:pStyle w:val="Bibliography"/>
      </w:pPr>
      <w:r>
        <w:t xml:space="preserve">Mullin, Cristina A., Jacob Greif, Michelle Thawley, Laura Shumway, Justin Bousquin, Laura Decicco, Katie Healy, Zach Smith, Florian Rupprecht, and Brad Cooper. 2022.</w:t>
      </w:r>
      <w:r>
        <w:t xml:space="preserve"> </w:t>
      </w:r>
      <w:r>
        <w:rPr>
          <w:iCs/>
          <w:i/>
        </w:rPr>
        <w:t xml:space="preserve">Water Quality Portal (WQP) Tools for Automated Data Analysis (TADA)</w:t>
      </w:r>
      <w:r>
        <w:t xml:space="preserve">. Washington, DC: U.S. Environmental Protection Agency.</w:t>
      </w:r>
      <w:r>
        <w:t xml:space="preserve"> </w:t>
      </w:r>
      <w:hyperlink r:id="rId41">
        <w:r>
          <w:rPr>
            <w:rStyle w:val="Hyperlink"/>
          </w:rPr>
          <w:t xml:space="preserve">https://github.com/USEPA/TADA</w:t>
        </w:r>
      </w:hyperlink>
      <w:r>
        <w:t xml:space="preserve">.</w:t>
      </w:r>
    </w:p>
    <w:bookmarkEnd w:id="42"/>
    <w:bookmarkStart w:id="44" w:name="ref-pollard1998"/>
    <w:p>
      <w:pPr>
        <w:pStyle w:val="Bibliography"/>
      </w:pPr>
      <w:r>
        <w:t xml:space="preserve">Pollard, Peter, and Mark Huxham. 1998.</w:t>
      </w:r>
      <w:r>
        <w:t xml:space="preserve"> </w:t>
      </w:r>
      <w:r>
        <w:t xml:space="preserve">“The European Water Framework Directive: A New Era in the Management of Aquatic Ecosystem Health?”</w:t>
      </w:r>
      <w:r>
        <w:t xml:space="preserve"> </w:t>
      </w:r>
      <w:r>
        <w:rPr>
          <w:iCs/>
          <w:i/>
        </w:rPr>
        <w:t xml:space="preserve">Aquatic Conservation: Marine and Freshwater Ecosystems</w:t>
      </w:r>
      <w:r>
        <w:t xml:space="preserve"> </w:t>
      </w:r>
      <w:r>
        <w:t xml:space="preserve">8 (6): 773–92.</w:t>
      </w:r>
      <w:r>
        <w:t xml:space="preserve"> </w:t>
      </w:r>
      <w:hyperlink r:id="rId43">
        <w:r>
          <w:rPr>
            <w:rStyle w:val="Hyperlink"/>
          </w:rPr>
          <w:t xml:space="preserve">https://doi.org/10.1002/(sici)1099-0755(1998110)8:6&lt;773::aid-aqc313&gt;3.0.co;2-r</w:t>
        </w:r>
      </w:hyperlink>
      <w:r>
        <w:t xml:space="preserve">.</w:t>
      </w:r>
    </w:p>
    <w:bookmarkEnd w:id="44"/>
    <w:bookmarkStart w:id="46" w:name="ref-schrape2017a"/>
    <w:p>
      <w:pPr>
        <w:pStyle w:val="Bibliography"/>
      </w:pPr>
      <w:r>
        <w:t xml:space="preserve">Schrape, Jan-Felix. 2017.</w:t>
      </w:r>
      <w:r>
        <w:t xml:space="preserve"> </w:t>
      </w:r>
      <w:r>
        <w:t xml:space="preserve">“Open-Source Projects as Incubators of Innovation: From Niche Phenomenon to Integral Part of the Industry.”</w:t>
      </w:r>
      <w:r>
        <w:t xml:space="preserve"> </w:t>
      </w:r>
      <w:r>
        <w:rPr>
          <w:iCs/>
          <w:i/>
        </w:rPr>
        <w:t xml:space="preserve">Convergence: The International Journal of Research into New Media Technologies</w:t>
      </w:r>
      <w:r>
        <w:t xml:space="preserve"> </w:t>
      </w:r>
      <w:r>
        <w:t xml:space="preserve">25 (3): 409–27.</w:t>
      </w:r>
      <w:r>
        <w:t xml:space="preserve"> </w:t>
      </w:r>
      <w:hyperlink r:id="rId45">
        <w:r>
          <w:rPr>
            <w:rStyle w:val="Hyperlink"/>
          </w:rPr>
          <w:t xml:space="preserve">https://doi.org/10.1177/1354856517735795</w:t>
        </w:r>
      </w:hyperlink>
      <w:r>
        <w:t xml:space="preserve">.</w:t>
      </w:r>
    </w:p>
    <w:bookmarkEnd w:id="46"/>
    <w:bookmarkStart w:id="48" w:name="ref-Wagner06"/>
    <w:p>
      <w:pPr>
        <w:pStyle w:val="Bibliography"/>
      </w:pPr>
      <w:r>
        <w:t xml:space="preserve">Wagner, Richard J, Robert W Boulger Jr, Carolyn J Oblinger, and Brett A Smith. 2006.</w:t>
      </w:r>
      <w:r>
        <w:t xml:space="preserve"> </w:t>
      </w:r>
      <w:r>
        <w:t xml:space="preserve">“Guidelines and Standard Procedures for Continuous Water-Quality Monitors: Station Operation, Record Computation, and Data Reporting.”</w:t>
      </w:r>
      <w:r>
        <w:t xml:space="preserve"> </w:t>
      </w:r>
      <w:r>
        <w:t xml:space="preserve">Techniques and Methods 1-D3. Version 1.0. Reston, VA: U.S. Geological Survey.</w:t>
      </w:r>
      <w:r>
        <w:t xml:space="preserve"> </w:t>
      </w:r>
      <w:hyperlink r:id="rId47">
        <w:r>
          <w:rPr>
            <w:rStyle w:val="Hyperlink"/>
          </w:rPr>
          <w:t xml:space="preserve">https://doi.org/10.3133/tm1D3</w:t>
        </w:r>
      </w:hyperlink>
      <w:r>
        <w:t xml:space="preserve">.</w:t>
      </w:r>
    </w:p>
    <w:bookmarkEnd w:id="48"/>
    <w:bookmarkStart w:id="50" w:name="ref-whitehead2007"/>
    <w:p>
      <w:pPr>
        <w:pStyle w:val="Bibliography"/>
      </w:pPr>
      <w:r>
        <w:t xml:space="preserve">Whitehead, Jim. 2007.</w:t>
      </w:r>
      <w:r>
        <w:t xml:space="preserve"> </w:t>
      </w:r>
      <w:r>
        <w:t xml:space="preserve">“Collaboration in Software Engineering: A Roadmap.”</w:t>
      </w:r>
      <w:r>
        <w:t xml:space="preserve"> </w:t>
      </w:r>
      <w:r>
        <w:rPr>
          <w:iCs/>
          <w:i/>
        </w:rPr>
        <w:t xml:space="preserve">Future of Software Engineering (FOSE ’07)</w:t>
      </w:r>
      <w:r>
        <w:t xml:space="preserve">, May.</w:t>
      </w:r>
      <w:r>
        <w:t xml:space="preserve"> </w:t>
      </w:r>
      <w:hyperlink r:id="rId49">
        <w:r>
          <w:rPr>
            <w:rStyle w:val="Hyperlink"/>
          </w:rPr>
          <w:t xml:space="preserve">https://doi.org/10.1109/fose.2007.4</w:t>
        </w:r>
      </w:hyperlink>
      <w:r>
        <w:t xml:space="preserve">.</w:t>
      </w:r>
    </w:p>
    <w:bookmarkEnd w:id="50"/>
    <w:bookmarkStart w:id="52" w:name="ref-Wickham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1">
        <w:r>
          <w:rPr>
            <w:rStyle w:val="Hyperlink"/>
          </w:rPr>
          <w:t xml:space="preserve">https://ggplot2.tidyverse.org</w:t>
        </w:r>
      </w:hyperlink>
      <w:r>
        <w:t xml:space="preserve">.</w:t>
      </w:r>
    </w:p>
    <w:bookmarkEnd w:id="52"/>
    <w:bookmarkStart w:id="53" w:name="ref-zhang2006"/>
    <w:p>
      <w:pPr>
        <w:pStyle w:val="Bibliography"/>
      </w:pPr>
      <w:r>
        <w:t xml:space="preserve">Zhang, C. n.d.</w:t>
      </w:r>
      <w:r>
        <w:t xml:space="preserve"> </w:t>
      </w:r>
      <w:r>
        <w:t xml:space="preserve">“Fundamentals of Environmental Sampling and Analysis.”</w:t>
      </w:r>
    </w:p>
    <w:bookmarkEnd w:id="53"/>
    <w:bookmarkEnd w:id="54"/>
    <w:bookmarkEnd w:id="5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2023-09-21T18:54:11Z</dcterms:created>
  <dcterms:modified xsi:type="dcterms:W3CDTF">2023-09-21T18:54:11Z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