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Response</w:t>
      </w:r>
      <w:r>
        <w:t xml:space="preserve">: We again thank the reviewers for evaluating our manuscript. Please see our responses below. Note that reviewer 1 suggested publication without further comment.</w:t>
      </w:r>
    </w:p>
    <w:bookmarkStart w:id="24" w:name="reviewer-2"/>
    <w:p>
      <w:pPr>
        <w:pStyle w:val="Heading2"/>
      </w:pPr>
      <w:r>
        <w:t xml:space="preserve">Reviewer 2</w:t>
      </w:r>
    </w:p>
    <w:p>
      <w:pPr>
        <w:pStyle w:val="FirstParagraph"/>
      </w:pPr>
      <w:r>
        <w:t xml:space="preserve">The authors have improved over the previous version, but there are still some issues that need to be revised, the main comments are as follows:</w:t>
      </w:r>
    </w:p>
    <w:p>
      <w:pPr>
        <w:numPr>
          <w:ilvl w:val="0"/>
          <w:numId w:val="1001"/>
        </w:numPr>
      </w:pPr>
      <w:r>
        <w:t xml:space="preserve">It is recommended to add information about the data of the mean values as well as information about the true values in Figures 3 and 6, so that the reader can understand more information;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Response</w:t>
      </w:r>
      <w:r>
        <w:t xml:space="preserve">: Figure 3 shows boxplot distributions of selected parameters to aid package users in identifying potential outlier observations. Boxplots are common visualization tools that can quickly demonstrate central tendency and spread of a group of observations</w:t>
      </w:r>
      <w:r>
        <w:t xml:space="preserve"> </w:t>
      </w:r>
      <w:r>
        <w:t xml:space="preserve">(Tukey et al. 1977; McGill, Tukey, and Larsen 1978)</w:t>
      </w:r>
      <w:r>
        <w:t xml:space="preserve">, in addition to outliers as intended by the plot in Figure 3. Therefore, we do not consider it necessary to show mean values in this plot. Further, Figure 6 currently shows mean values. The values shown are considered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as these are sampled values from</w:t>
      </w:r>
      <w:r>
        <w:t xml:space="preserve"> </w:t>
      </w:r>
      <w:r>
        <w:rPr>
          <w:iCs/>
          <w:i/>
        </w:rPr>
        <w:t xml:space="preserve">in situ</w:t>
      </w:r>
      <w:r>
        <w:t xml:space="preserve"> </w:t>
      </w:r>
      <w:r>
        <w:t xml:space="preserve">or laboratory-based methods and not those from modeled or other predictive techniques.</w:t>
      </w:r>
    </w:p>
    <w:p>
      <w:pPr>
        <w:numPr>
          <w:ilvl w:val="0"/>
          <w:numId w:val="1001"/>
        </w:numPr>
      </w:pPr>
      <w:r>
        <w:t xml:space="preserve">The quality of Figure 4 is very low and it is not even possible to see any content information;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Response</w:t>
      </w:r>
      <w:r>
        <w:t xml:space="preserve">: As noted in our responses to comments in the previous revision, the figure quality is substantially reduced in the PDF that is generated by the article submission system. High-resolution figures were included with the submission and can be downloaded by selecting the link that appears at the top-right of each page for each figure.</w:t>
      </w:r>
    </w:p>
    <w:p>
      <w:pPr>
        <w:numPr>
          <w:ilvl w:val="0"/>
          <w:numId w:val="1001"/>
        </w:numPr>
      </w:pPr>
      <w:r>
        <w:t xml:space="preserve">The dimensions of Figure 8 are recommended to use vertical arrangement; and the scale labeling form is not standardized; the DO color labeling colors of the sites are more distinguishable;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Response</w:t>
      </w:r>
      <w:r>
        <w:t xml:space="preserve">: The figures produced by</w:t>
      </w:r>
      <w:r>
        <w:t xml:space="preserve"> </w:t>
      </w:r>
      <w:r>
        <w:rPr>
          <w:iCs/>
          <w:i/>
        </w:rPr>
        <w:t xml:space="preserve">MassWateR</w:t>
      </w:r>
      <w:r>
        <w:t xml:space="preserve"> </w:t>
      </w:r>
      <w:r>
        <w:t xml:space="preserve">are all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class objects and can be modified using conventional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functions. A vertical arrangement can be achieved as follows, assuming the reviewer means that the legend should appear above and arranged horizontally on the plot.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anlzMWRmap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fset =</w:t>
      </w:r>
      <w:r>
        <w:rPr>
          <w:rStyle w:val="NormalTok"/>
        </w:rPr>
        <w:t xml:space="preserve"> fsetls, </w:t>
      </w:r>
      <w:r>
        <w:rPr>
          <w:rStyle w:val="Attribut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addwater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Ind w:w="720" w:type="dxa"/>
        <w:tblLayout w:type="fixed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4620126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review-response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46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0"/>
        </w:numPr>
      </w:pPr>
      <w:r>
        <w:t xml:space="preserve">The online website includes a vignette about modifying</w:t>
      </w:r>
      <w:r>
        <w:t xml:space="preserve"> </w:t>
      </w:r>
      <w:r>
        <w:rPr>
          <w:iCs/>
          <w:i/>
        </w:rPr>
        <w:t xml:space="preserve">MassWateR</w:t>
      </w:r>
      <w:r>
        <w:t xml:space="preserve"> </w:t>
      </w:r>
      <w:r>
        <w:t xml:space="preserve">plots with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code. We have added the following text on line 445 to make this clear.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Additionally, all plots returned by</w:t>
      </w:r>
      <w:r>
        <w:t xml:space="preserve"> </w:t>
      </w:r>
      <w:r>
        <w:rPr>
          <w:iCs/>
          <w:i/>
        </w:rPr>
        <w:t xml:space="preserve">MassWateR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class objects and can be modified accordingly using conventional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functions (see the website</w:t>
      </w:r>
      <w:r>
        <w:t xml:space="preserve"> </w:t>
      </w:r>
      <w:hyperlink r:id="rId23">
        <w:r>
          <w:rPr>
            <w:rStyle w:val="Hyperlink"/>
          </w:rPr>
          <w:t xml:space="preserve">vignette</w:t>
        </w:r>
      </w:hyperlink>
      <w:r>
        <w:t xml:space="preserve">).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How do the predictions of water quality parameters in this study compare with other common models?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Response</w:t>
      </w:r>
      <w:r>
        <w:t xml:space="preserve">: The functions in</w:t>
      </w:r>
      <w:r>
        <w:t xml:space="preserve"> </w:t>
      </w:r>
      <w:r>
        <w:rPr>
          <w:iCs/>
          <w:i/>
        </w:rPr>
        <w:t xml:space="preserve">MassWateR</w:t>
      </w:r>
      <w:r>
        <w:t xml:space="preserve"> </w:t>
      </w:r>
      <w:r>
        <w:t xml:space="preserve">rely on data collected</w:t>
      </w:r>
      <w:r>
        <w:t xml:space="preserve"> </w:t>
      </w:r>
      <w:r>
        <w:rPr>
          <w:iCs/>
          <w:i/>
        </w:rPr>
        <w:t xml:space="preserve">in situ</w:t>
      </w:r>
      <w:r>
        <w:t xml:space="preserve"> </w:t>
      </w:r>
      <w:r>
        <w:t xml:space="preserve">and there are no aspects related to predictive modeling included in the package. The primary goals of</w:t>
      </w:r>
      <w:r>
        <w:t xml:space="preserve"> </w:t>
      </w:r>
      <w:r>
        <w:rPr>
          <w:iCs/>
          <w:i/>
        </w:rPr>
        <w:t xml:space="preserve">MassWateR</w:t>
      </w:r>
      <w:r>
        <w:t xml:space="preserve"> </w:t>
      </w:r>
      <w:r>
        <w:t xml:space="preserve">are to improve how environmental professionals perform quality control, analysis, and sharing of monitoring data. As such, the intent is to support the use of data for environmental decision-making. No predictions are provided by the package.</w:t>
      </w:r>
    </w:p>
    <w:p>
      <w:pPr>
        <w:numPr>
          <w:ilvl w:val="0"/>
          <w:numId w:val="1001"/>
        </w:numPr>
      </w:pPr>
      <w:r>
        <w:t xml:space="preserve">Some recent deep learning models for water quality prediction should be mentioned, e.g., 10.1016/j.ejrh.2023.101331; 10.1007/s11783-023-1688-y; 10.1016/j.ecolind.2023.109882; 10.1016/j.jhydrol.2023. 129649.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Response</w:t>
      </w:r>
      <w:r>
        <w:t xml:space="preserve">: Please see our response to the previous comment.</w:t>
      </w:r>
    </w:p>
    <w:bookmarkEnd w:id="24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6" w:name="ref-mcgill1978"/>
    <w:p>
      <w:pPr>
        <w:pStyle w:val="Bibliography"/>
      </w:pPr>
      <w:r>
        <w:t xml:space="preserve">McGill, Robert, John W. Tukey, and Wayne A. Larsen. 1978.</w:t>
      </w:r>
      <w:r>
        <w:t xml:space="preserve"> </w:t>
      </w:r>
      <w:r>
        <w:t xml:space="preserve">“Variations of Box Plots.”</w:t>
      </w:r>
      <w:r>
        <w:t xml:space="preserve"> </w:t>
      </w:r>
      <w:r>
        <w:rPr>
          <w:iCs/>
          <w:i/>
        </w:rPr>
        <w:t xml:space="preserve">The American Statistician</w:t>
      </w:r>
      <w:r>
        <w:t xml:space="preserve"> </w:t>
      </w:r>
      <w:r>
        <w:t xml:space="preserve">32 (1): 12.</w:t>
      </w:r>
      <w:r>
        <w:t xml:space="preserve"> </w:t>
      </w:r>
      <w:hyperlink r:id="rId25">
        <w:r>
          <w:rPr>
            <w:rStyle w:val="Hyperlink"/>
          </w:rPr>
          <w:t xml:space="preserve">https://doi.org/10.2307/2683468</w:t>
        </w:r>
      </w:hyperlink>
      <w:r>
        <w:t xml:space="preserve">.</w:t>
      </w:r>
    </w:p>
    <w:bookmarkEnd w:id="26"/>
    <w:bookmarkStart w:id="27" w:name="ref-tukey1977"/>
    <w:p>
      <w:pPr>
        <w:pStyle w:val="Bibliography"/>
      </w:pPr>
      <w:r>
        <w:t xml:space="preserve">Tukey, John W et al. 1977.</w:t>
      </w:r>
      <w:r>
        <w:t xml:space="preserve"> </w:t>
      </w:r>
      <w:r>
        <w:rPr>
          <w:iCs/>
          <w:i/>
        </w:rPr>
        <w:t xml:space="preserve">Exploratory Data Analysis</w:t>
      </w:r>
      <w:r>
        <w:t xml:space="preserve">. Vol. 2. Reading, MA.</w:t>
      </w:r>
    </w:p>
    <w:bookmarkEnd w:id="27"/>
    <w:bookmarkEnd w:id="28"/>
    <w:bookmarkEnd w:id="29"/>
    <w:sectPr w:rsidR="00537D25" w:rsidRPr="00D40009" w:rsidSect="00BF16E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16154767" w:numId="1">
    <w:abstractNumId w:val="1"/>
  </w:num>
  <w:num w16cid:durableId="734427407" w:numId="2">
    <w:abstractNumId w:val="0"/>
  </w:num>
  <w:num w16cid:durableId="573782877" w:numId="3">
    <w:abstractNumId w:val="11"/>
  </w:num>
  <w:num w16cid:durableId="1928533377" w:numId="4">
    <w:abstractNumId w:val="9"/>
  </w:num>
  <w:num w16cid:durableId="941301551" w:numId="5">
    <w:abstractNumId w:val="8"/>
  </w:num>
  <w:num w16cid:durableId="184952932" w:numId="6">
    <w:abstractNumId w:val="7"/>
  </w:num>
  <w:num w16cid:durableId="958487772" w:numId="7">
    <w:abstractNumId w:val="6"/>
  </w:num>
  <w:num w16cid:durableId="95753852" w:numId="8">
    <w:abstractNumId w:val="10"/>
  </w:num>
  <w:num w16cid:durableId="1849518749" w:numId="9">
    <w:abstractNumId w:val="5"/>
  </w:num>
  <w:num w16cid:durableId="1637177958" w:numId="10">
    <w:abstractNumId w:val="4"/>
  </w:num>
  <w:num w16cid:durableId="1650477053" w:numId="11">
    <w:abstractNumId w:val="3"/>
  </w:num>
  <w:num w16cid:durableId="2134715495" w:numId="12">
    <w:abstractNumId w:val="2"/>
  </w:num>
  <w:num w16cid:durableId="404647980"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35B9"/>
    <w:pPr>
      <w:keepNext/>
      <w:keepLines/>
      <w:spacing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9205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9205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9205D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5" Target="https://doi.org/10.2307/2683468" TargetMode="External" /><Relationship Type="http://schemas.openxmlformats.org/officeDocument/2006/relationships/hyperlink" Id="rId23" Target="https://massbays-tech.github.io/MassWateR/articles/modify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2307/2683468" TargetMode="External" /><Relationship Type="http://schemas.openxmlformats.org/officeDocument/2006/relationships/hyperlink" Id="rId23" Target="https://massbays-tech.github.io/MassWateR/articles/modify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2023-10-08T15:43:41Z</dcterms:created>
  <dcterms:modified xsi:type="dcterms:W3CDTF">2023-10-08T15:43:41Z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../refs.bib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