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8"/>
        </w:rPr>
        <w:t>STELLA Production Voice Translation Pipeline</w:t>
      </w:r>
    </w:p>
    <w:p>
      <w:pPr>
        <w:jc w:val="center"/>
      </w:pPr>
      <w:r>
        <w:rPr>
          <w:rFonts w:ascii="Arial" w:hAnsi="Arial" w:eastAsia="Arial"/>
          <w:i/>
          <w:sz w:val="21"/>
        </w:rPr>
        <w:t>Design Document for Achieving Under 500ms p99 Voice-to-Voice Translation for 1000+ Concurrent Requests</w:t>
      </w:r>
    </w:p>
    <w:p>
      <w:pPr>
        <w:pStyle w:val="Heading1"/>
      </w:pPr>
      <w:r>
        <w:t>1. Executive Summary and Recommendation</w:t>
      </w:r>
    </w:p>
    <w:p>
      <w:pPr>
        <w:spacing w:after="100"/>
      </w:pPr>
      <w:r>
        <w:t>Recommendation. I recommend using a two-level production architecture. The first level should be a fast default translation path using NLLB-200 distilled, or a similar multilingual encoder-decoder model, optimized with CTranslate2 or TensorRT-LLM and INT8/FP16 quantization. The second level should focus on domain quality, using LoRA-merged adapters, terminology injection, and glossary support through retrieval for areas such as healthcare, hospitality, and education. The serving layer should decide which path to use based on the language pair, domain, confidence score, and current system load.</w:t>
      </w:r>
    </w:p>
    <w:p>
      <w:pPr>
        <w:spacing w:after="100"/>
      </w:pPr>
      <w:r>
        <w:t>Why this design. The full voice-to-voice pipeline has a very tight latency budget, so the translation component can only use around 150ms inside a 500-550ms total pipeline. A large general-purpose model may give better translation quality in some cases, but it is usually too slow and too expensive for real-time room conversations. A distilled multilingual model with optimized inference is a better starting point for production. Then, domain adaptation can improve quality where it matters, without sending every request to a large and costly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rFonts w:ascii="Arial" w:hAnsi="Arial" w:eastAsia="Arial"/>
                <w:b/>
                <w:sz w:val="16"/>
              </w:rPr>
              <w:t>Constraint</w:t>
            </w:r>
          </w:p>
        </w:tc>
        <w:tc>
          <w:tcPr>
            <w:tcW w:type="dxa" w:w="3408"/>
            <w:vAlign w:val="top"/>
            <w:shd w:fill="D9EAF7"/>
          </w:tcPr>
          <w:p>
            <w:pPr>
              <w:spacing w:after="0"/>
            </w:pPr>
            <w:r/>
            <w:r>
              <w:rPr>
                <w:rFonts w:ascii="Arial" w:hAnsi="Arial" w:eastAsia="Arial"/>
                <w:b/>
                <w:sz w:val="16"/>
              </w:rPr>
              <w:t>Target</w:t>
            </w:r>
          </w:p>
        </w:tc>
        <w:tc>
          <w:tcPr>
            <w:tcW w:type="dxa" w:w="3408"/>
            <w:vAlign w:val="top"/>
            <w:shd w:fill="D9EAF7"/>
          </w:tcPr>
          <w:p>
            <w:pPr>
              <w:spacing w:after="0"/>
            </w:pPr>
            <w:r/>
            <w:r>
              <w:rPr>
                <w:rFonts w:ascii="Arial" w:hAnsi="Arial" w:eastAsia="Arial"/>
                <w:b/>
                <w:sz w:val="16"/>
              </w:rPr>
              <w:t>How the design addresses it</w:t>
            </w:r>
          </w:p>
        </w:tc>
      </w:tr>
      <w:tr>
        <w:tc>
          <w:tcPr>
            <w:tcW w:type="dxa" w:w="3408"/>
            <w:vAlign w:val="top"/>
          </w:tcPr>
          <w:p>
            <w:pPr>
              <w:spacing w:after="0"/>
            </w:pPr>
            <w:r/>
            <w:r>
              <w:rPr>
                <w:rFonts w:ascii="Arial" w:hAnsi="Arial" w:eastAsia="Arial"/>
                <w:b w:val="0"/>
                <w:sz w:val="16"/>
              </w:rPr>
              <w:t>End-to-end latency</w:t>
            </w:r>
          </w:p>
        </w:tc>
        <w:tc>
          <w:tcPr>
            <w:tcW w:type="dxa" w:w="3408"/>
            <w:vAlign w:val="top"/>
          </w:tcPr>
          <w:p>
            <w:pPr>
              <w:spacing w:after="0"/>
            </w:pPr>
            <w:r/>
            <w:r>
              <w:rPr>
                <w:rFonts w:ascii="Arial" w:hAnsi="Arial" w:eastAsia="Arial"/>
                <w:b w:val="0"/>
                <w:sz w:val="16"/>
              </w:rPr>
              <w:t>&lt;500ms p99</w:t>
            </w:r>
          </w:p>
        </w:tc>
        <w:tc>
          <w:tcPr>
            <w:tcW w:type="dxa" w:w="3408"/>
            <w:vAlign w:val="top"/>
          </w:tcPr>
          <w:p>
            <w:pPr>
              <w:spacing w:after="0"/>
            </w:pPr>
            <w:r/>
            <w:r>
              <w:rPr>
                <w:rFonts w:ascii="Arial" w:hAnsi="Arial" w:eastAsia="Arial"/>
                <w:b w:val="0"/>
                <w:sz w:val="16"/>
              </w:rPr>
              <w:t>Allocate around 180-200ms for ASR, 60-120ms for NMT, and 180-200ms for TTS. If queue delay becomes too high, the system should route or reject requests to protect the SLA.</w:t>
            </w:r>
          </w:p>
        </w:tc>
      </w:tr>
      <w:tr>
        <w:tc>
          <w:tcPr>
            <w:tcW w:type="dxa" w:w="3408"/>
            <w:vAlign w:val="top"/>
          </w:tcPr>
          <w:p>
            <w:pPr>
              <w:spacing w:after="0"/>
            </w:pPr>
            <w:r/>
            <w:r>
              <w:rPr>
                <w:rFonts w:ascii="Arial" w:hAnsi="Arial" w:eastAsia="Arial"/>
                <w:b w:val="0"/>
                <w:sz w:val="16"/>
              </w:rPr>
              <w:t>Domain accuracy</w:t>
            </w:r>
          </w:p>
        </w:tc>
        <w:tc>
          <w:tcPr>
            <w:tcW w:type="dxa" w:w="3408"/>
            <w:vAlign w:val="top"/>
          </w:tcPr>
          <w:p>
            <w:pPr>
              <w:spacing w:after="0"/>
            </w:pPr>
            <w:r/>
            <w:r>
              <w:rPr>
                <w:rFonts w:ascii="Arial" w:hAnsi="Arial" w:eastAsia="Arial"/>
                <w:b w:val="0"/>
                <w:sz w:val="16"/>
              </w:rPr>
              <w:t>85 BLEU target</w:t>
            </w:r>
          </w:p>
        </w:tc>
        <w:tc>
          <w:tcPr>
            <w:tcW w:type="dxa" w:w="3408"/>
            <w:vAlign w:val="top"/>
          </w:tcPr>
          <w:p>
            <w:pPr>
              <w:spacing w:after="0"/>
            </w:pPr>
            <w:r/>
            <w:r>
              <w:rPr>
                <w:rFonts w:ascii="Arial" w:hAnsi="Arial" w:eastAsia="Arial"/>
                <w:b w:val="0"/>
                <w:sz w:val="16"/>
              </w:rPr>
              <w:t>Measure accuracy separately for each domain. Use LoRA adapters, medical or domain-specific corpora, and glossary constraints. Generic BLEU alone should not be the only quality measure.</w:t>
            </w:r>
          </w:p>
        </w:tc>
      </w:tr>
      <w:tr>
        <w:tc>
          <w:tcPr>
            <w:tcW w:type="dxa" w:w="3408"/>
            <w:vAlign w:val="top"/>
          </w:tcPr>
          <w:p>
            <w:pPr>
              <w:spacing w:after="0"/>
            </w:pPr>
            <w:r/>
            <w:r>
              <w:rPr>
                <w:rFonts w:ascii="Arial" w:hAnsi="Arial" w:eastAsia="Arial"/>
                <w:b w:val="0"/>
                <w:sz w:val="16"/>
              </w:rPr>
              <w:t>Cost</w:t>
            </w:r>
          </w:p>
        </w:tc>
        <w:tc>
          <w:tcPr>
            <w:tcW w:type="dxa" w:w="3408"/>
            <w:vAlign w:val="top"/>
          </w:tcPr>
          <w:p>
            <w:pPr>
              <w:spacing w:after="0"/>
            </w:pPr>
            <w:r/>
            <w:r>
              <w:rPr>
                <w:rFonts w:ascii="Arial" w:hAnsi="Arial" w:eastAsia="Arial"/>
                <w:b w:val="0"/>
                <w:sz w:val="16"/>
              </w:rPr>
              <w:t>&lt;$0.001 per inference</w:t>
            </w:r>
          </w:p>
        </w:tc>
        <w:tc>
          <w:tcPr>
            <w:tcW w:type="dxa" w:w="3408"/>
            <w:vAlign w:val="top"/>
          </w:tcPr>
          <w:p>
            <w:pPr>
              <w:spacing w:after="0"/>
            </w:pPr>
            <w:r/>
            <w:r>
              <w:rPr>
                <w:rFonts w:ascii="Arial" w:hAnsi="Arial" w:eastAsia="Arial"/>
                <w:b w:val="0"/>
                <w:sz w:val="16"/>
              </w:rPr>
              <w:t>Self-host the optimized NMT models on GPUs such as T4, L4, or A10G. Keep cost low by using micro-batching, high GPU utilization, and cache hits.</w:t>
            </w:r>
          </w:p>
        </w:tc>
      </w:tr>
      <w:tr>
        <w:tc>
          <w:tcPr>
            <w:tcW w:type="dxa" w:w="3408"/>
            <w:vAlign w:val="top"/>
          </w:tcPr>
          <w:p>
            <w:pPr>
              <w:spacing w:after="0"/>
            </w:pPr>
            <w:r/>
            <w:r>
              <w:rPr>
                <w:rFonts w:ascii="Arial" w:hAnsi="Arial" w:eastAsia="Arial"/>
                <w:b w:val="0"/>
                <w:sz w:val="16"/>
              </w:rPr>
              <w:t>Scale</w:t>
            </w:r>
          </w:p>
        </w:tc>
        <w:tc>
          <w:tcPr>
            <w:tcW w:type="dxa" w:w="3408"/>
            <w:vAlign w:val="top"/>
          </w:tcPr>
          <w:p>
            <w:pPr>
              <w:spacing w:after="0"/>
            </w:pPr>
            <w:r/>
            <w:r>
              <w:rPr>
                <w:rFonts w:ascii="Arial" w:hAnsi="Arial" w:eastAsia="Arial"/>
                <w:b w:val="0"/>
                <w:sz w:val="16"/>
              </w:rPr>
              <w:t>1000+ concurrent requests</w:t>
            </w:r>
          </w:p>
        </w:tc>
        <w:tc>
          <w:tcPr>
            <w:tcW w:type="dxa" w:w="3408"/>
            <w:vAlign w:val="top"/>
          </w:tcPr>
          <w:p>
            <w:pPr>
              <w:spacing w:after="0"/>
            </w:pPr>
            <w:r/>
            <w:r>
              <w:rPr>
                <w:rFonts w:ascii="Arial" w:hAnsi="Arial" w:eastAsia="Arial"/>
                <w:b w:val="0"/>
                <w:sz w:val="16"/>
              </w:rPr>
              <w:t>Use stateless API pods, GPU worker pools, Redis caching, priority queues, and autoscaling based on GPU utilization and p99 queue delay.</w:t>
            </w:r>
          </w:p>
        </w:tc>
      </w:tr>
      <w:tr>
        <w:tc>
          <w:tcPr>
            <w:tcW w:type="dxa" w:w="3408"/>
            <w:vAlign w:val="top"/>
          </w:tcPr>
          <w:p>
            <w:pPr>
              <w:spacing w:after="0"/>
            </w:pPr>
            <w:r/>
            <w:r>
              <w:rPr>
                <w:rFonts w:ascii="Arial" w:hAnsi="Arial" w:eastAsia="Arial"/>
                <w:b w:val="0"/>
                <w:sz w:val="16"/>
              </w:rPr>
              <w:t>Language coverage</w:t>
            </w:r>
          </w:p>
        </w:tc>
        <w:tc>
          <w:tcPr>
            <w:tcW w:type="dxa" w:w="3408"/>
            <w:vAlign w:val="top"/>
          </w:tcPr>
          <w:p>
            <w:pPr>
              <w:spacing w:after="0"/>
            </w:pPr>
            <w:r/>
            <w:r>
              <w:rPr>
                <w:rFonts w:ascii="Arial" w:hAnsi="Arial" w:eastAsia="Arial"/>
                <w:b w:val="0"/>
                <w:sz w:val="16"/>
              </w:rPr>
              <w:t>200+ language pairs</w:t>
            </w:r>
          </w:p>
        </w:tc>
        <w:tc>
          <w:tcPr>
            <w:tcW w:type="dxa" w:w="3408"/>
            <w:vAlign w:val="top"/>
          </w:tcPr>
          <w:p>
            <w:pPr>
              <w:spacing w:after="0"/>
            </w:pPr>
            <w:r/>
            <w:r>
              <w:rPr>
                <w:rFonts w:ascii="Arial" w:hAnsi="Arial" w:eastAsia="Arial"/>
                <w:b w:val="0"/>
                <w:sz w:val="16"/>
              </w:rPr>
              <w:t>Use an NLLB-style multilingual model for broad language coverage, and route high-volume language pairs to specialized tuned and quantized models when needed.</w:t>
            </w:r>
          </w:p>
        </w:tc>
      </w:tr>
    </w:tbl>
    <w:p/>
    <w:p>
      <w:pPr>
        <w:spacing w:after="100"/>
      </w:pPr>
      <w:r>
        <w:t>High-level pipeline</w:t>
      </w:r>
    </w:p>
    <w:p>
      <w:pPr>
        <w:pStyle w:val="CodeBlock"/>
        <w:ind w:left="216"/>
      </w:pPr>
      <w:r>
        <w:t>Room audio -&gt; Streaming ASR -&gt; Segmentation/VAD -&gt; Translation Router -&gt; NMT Worker Pool -&gt; TTS -&gt; Room audio</w:t>
        <w:br/>
        <w:t xml:space="preserve">                                      |                  |             |</w:t>
        <w:br/>
        <w:t xml:space="preserve">                                      v                  v             v</w:t>
        <w:br/>
        <w:t xml:space="preserve">                              Redis phrase cache   Glossary/RAG   Metrics + QA logs</w:t>
      </w:r>
    </w:p>
    <w:p>
      <w:pPr>
        <w:pStyle w:val="Heading1"/>
      </w:pPr>
      <w:r>
        <w:t>2. NMT Model and Serving Strategy</w:t>
      </w:r>
    </w:p>
    <w:p>
      <w:pPr>
        <w:spacing w:after="100"/>
      </w:pPr>
      <w:r>
        <w:t>Model choice. The default production model should be NLLB-200 distilled, or a similar multilingual seq2seq NMT model. This is a good fit because it supports many languages, can run efficiently after export, and avoids the high latency and cost of using general LLMs for every request. For high-traffic language pairs, such as English-Spanish, English-Portuguese, and English-Mandarin, I would keep specialized domain-adapted checkpoints. For low-volume or rare pairs, the multilingual default model can be used with tighter confidence and quality monitoring.</w:t>
      </w:r>
    </w:p>
    <w:p>
      <w:pPr>
        <w:spacing w:after="100"/>
      </w:pPr>
      <w:r>
        <w:t>Serving framework. I would use CTranslate2 for the first production version because it is simple, fast for encoder-decoder translation, and supports quantized CPU and GPU inference. For a later high-throughput GPU fleet, TensorRT-LLM can be benchmarked for fixed production models. vLLM is very useful for decoder-only LLMs, but for NLLB-style encoder-decoder NMT, CTranslate2 or TensorRT is more aligned with the model architecture and easier to operate.</w:t>
      </w:r>
    </w:p>
    <w:p>
      <w:pPr>
        <w:spacing w:after="100"/>
      </w:pPr>
      <w:r>
        <w:t>Quantization. INT8 weight quantization with FP16 compute on GPU should be the default option. For very low-cost or edge deployments, INT4 can be tested, but only after strong quality validation, because medical and hospitality terminology can be sensitive to small translation mistakes. For real-time paths, greedy decoding or low-beam decoding is preferred. Beam search above 1 should be reserved for asynchronous traffic or lower-priority requests.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pPr>
              <w:spacing w:after="0"/>
            </w:pPr>
            <w:r/>
            <w:r>
              <w:rPr>
                <w:rFonts w:ascii="Arial" w:hAnsi="Arial" w:eastAsia="Arial"/>
                <w:b/>
                <w:sz w:val="16"/>
              </w:rPr>
              <w:t>Config</w:t>
            </w:r>
          </w:p>
        </w:tc>
        <w:tc>
          <w:tcPr>
            <w:tcW w:type="dxa" w:w="2045"/>
            <w:vAlign w:val="top"/>
            <w:shd w:fill="D9EAF7"/>
          </w:tcPr>
          <w:p>
            <w:pPr>
              <w:spacing w:after="0"/>
            </w:pPr>
            <w:r/>
            <w:r>
              <w:rPr>
                <w:rFonts w:ascii="Arial" w:hAnsi="Arial" w:eastAsia="Arial"/>
                <w:b/>
                <w:sz w:val="16"/>
              </w:rPr>
              <w:t>Use case</w:t>
            </w:r>
          </w:p>
        </w:tc>
        <w:tc>
          <w:tcPr>
            <w:tcW w:type="dxa" w:w="2045"/>
            <w:vAlign w:val="top"/>
            <w:shd w:fill="D9EAF7"/>
          </w:tcPr>
          <w:p>
            <w:pPr>
              <w:spacing w:after="0"/>
            </w:pPr>
            <w:r/>
            <w:r>
              <w:rPr>
                <w:rFonts w:ascii="Arial" w:hAnsi="Arial" w:eastAsia="Arial"/>
                <w:b/>
                <w:sz w:val="16"/>
              </w:rPr>
              <w:t>Expected latency</w:t>
            </w:r>
          </w:p>
        </w:tc>
        <w:tc>
          <w:tcPr>
            <w:tcW w:type="dxa" w:w="2045"/>
            <w:vAlign w:val="top"/>
            <w:shd w:fill="D9EAF7"/>
          </w:tcPr>
          <w:p>
            <w:pPr>
              <w:spacing w:after="0"/>
            </w:pPr>
            <w:r/>
            <w:r>
              <w:rPr>
                <w:rFonts w:ascii="Arial" w:hAnsi="Arial" w:eastAsia="Arial"/>
                <w:b/>
                <w:sz w:val="16"/>
              </w:rPr>
              <w:t>Accuracy profile</w:t>
            </w:r>
          </w:p>
        </w:tc>
        <w:tc>
          <w:tcPr>
            <w:tcW w:type="dxa" w:w="2045"/>
            <w:vAlign w:val="top"/>
            <w:shd w:fill="D9EAF7"/>
          </w:tcPr>
          <w:p>
            <w:pPr>
              <w:spacing w:after="0"/>
            </w:pPr>
            <w:r/>
            <w:r>
              <w:rPr>
                <w:rFonts w:ascii="Arial" w:hAnsi="Arial" w:eastAsia="Arial"/>
                <w:b/>
                <w:sz w:val="16"/>
              </w:rPr>
              <w:t>Operational risk</w:t>
            </w:r>
          </w:p>
        </w:tc>
      </w:tr>
      <w:tr>
        <w:tc>
          <w:tcPr>
            <w:tcW w:type="dxa" w:w="2045"/>
            <w:vAlign w:val="top"/>
          </w:tcPr>
          <w:p>
            <w:pPr>
              <w:spacing w:after="0"/>
            </w:pPr>
            <w:r/>
            <w:r>
              <w:rPr>
                <w:rFonts w:ascii="Arial" w:hAnsi="Arial" w:eastAsia="Arial"/>
                <w:b w:val="0"/>
                <w:sz w:val="16"/>
              </w:rPr>
              <w:t>A. Full FP32 baseline</w:t>
            </w:r>
          </w:p>
        </w:tc>
        <w:tc>
          <w:tcPr>
            <w:tcW w:type="dxa" w:w="2045"/>
            <w:vAlign w:val="top"/>
          </w:tcPr>
          <w:p>
            <w:pPr>
              <w:spacing w:after="0"/>
            </w:pPr>
            <w:r/>
            <w:r>
              <w:rPr>
                <w:rFonts w:ascii="Arial" w:hAnsi="Arial" w:eastAsia="Arial"/>
                <w:b w:val="0"/>
                <w:sz w:val="16"/>
              </w:rPr>
              <w:t>Offline quality reference</w:t>
            </w:r>
          </w:p>
        </w:tc>
        <w:tc>
          <w:tcPr>
            <w:tcW w:type="dxa" w:w="2045"/>
            <w:vAlign w:val="top"/>
          </w:tcPr>
          <w:p>
            <w:pPr>
              <w:spacing w:after="0"/>
            </w:pPr>
            <w:r/>
            <w:r>
              <w:rPr>
                <w:rFonts w:ascii="Arial" w:hAnsi="Arial" w:eastAsia="Arial"/>
                <w:b w:val="0"/>
                <w:sz w:val="16"/>
              </w:rPr>
              <w:t>High, often &gt;500ms</w:t>
            </w:r>
          </w:p>
        </w:tc>
        <w:tc>
          <w:tcPr>
            <w:tcW w:type="dxa" w:w="2045"/>
            <w:vAlign w:val="top"/>
          </w:tcPr>
          <w:p>
            <w:pPr>
              <w:spacing w:after="0"/>
            </w:pPr>
            <w:r/>
            <w:r>
              <w:rPr>
                <w:rFonts w:ascii="Arial" w:hAnsi="Arial" w:eastAsia="Arial"/>
                <w:b w:val="0"/>
                <w:sz w:val="16"/>
              </w:rPr>
              <w:t>Best generic BLEU</w:t>
            </w:r>
          </w:p>
        </w:tc>
        <w:tc>
          <w:tcPr>
            <w:tcW w:type="dxa" w:w="2045"/>
            <w:vAlign w:val="top"/>
          </w:tcPr>
          <w:p>
            <w:pPr>
              <w:spacing w:after="0"/>
            </w:pPr>
            <w:r/>
            <w:r>
              <w:rPr>
                <w:rFonts w:ascii="Arial" w:hAnsi="Arial" w:eastAsia="Arial"/>
                <w:b w:val="0"/>
                <w:sz w:val="16"/>
              </w:rPr>
              <w:t>Too expensive and slow for live rooms</w:t>
            </w:r>
          </w:p>
        </w:tc>
      </w:tr>
      <w:tr>
        <w:tc>
          <w:tcPr>
            <w:tcW w:type="dxa" w:w="2045"/>
            <w:vAlign w:val="top"/>
          </w:tcPr>
          <w:p>
            <w:pPr>
              <w:spacing w:after="0"/>
            </w:pPr>
            <w:r/>
            <w:r>
              <w:rPr>
                <w:rFonts w:ascii="Arial" w:hAnsi="Arial" w:eastAsia="Arial"/>
                <w:b w:val="0"/>
                <w:sz w:val="16"/>
              </w:rPr>
              <w:t>B. Distilled INT8 CTranslate2</w:t>
            </w:r>
          </w:p>
        </w:tc>
        <w:tc>
          <w:tcPr>
            <w:tcW w:type="dxa" w:w="2045"/>
            <w:vAlign w:val="top"/>
          </w:tcPr>
          <w:p>
            <w:pPr>
              <w:spacing w:after="0"/>
            </w:pPr>
            <w:r/>
            <w:r>
              <w:rPr>
                <w:rFonts w:ascii="Arial" w:hAnsi="Arial" w:eastAsia="Arial"/>
                <w:b w:val="0"/>
                <w:sz w:val="16"/>
              </w:rPr>
              <w:t>Default real-time path</w:t>
            </w:r>
          </w:p>
        </w:tc>
        <w:tc>
          <w:tcPr>
            <w:tcW w:type="dxa" w:w="2045"/>
            <w:vAlign w:val="top"/>
          </w:tcPr>
          <w:p>
            <w:pPr>
              <w:spacing w:after="0"/>
            </w:pPr>
            <w:r/>
            <w:r>
              <w:rPr>
                <w:rFonts w:ascii="Arial" w:hAnsi="Arial" w:eastAsia="Arial"/>
                <w:b w:val="0"/>
                <w:sz w:val="16"/>
              </w:rPr>
              <w:t>Target 60-120ms p99 NMT</w:t>
            </w:r>
          </w:p>
        </w:tc>
        <w:tc>
          <w:tcPr>
            <w:tcW w:type="dxa" w:w="2045"/>
            <w:vAlign w:val="top"/>
          </w:tcPr>
          <w:p>
            <w:pPr>
              <w:spacing w:after="0"/>
            </w:pPr>
            <w:r/>
            <w:r>
              <w:rPr>
                <w:rFonts w:ascii="Arial" w:hAnsi="Arial" w:eastAsia="Arial"/>
                <w:b w:val="0"/>
                <w:sz w:val="16"/>
              </w:rPr>
              <w:t>Good generic BLEU, but needs domain support</w:t>
            </w:r>
          </w:p>
        </w:tc>
        <w:tc>
          <w:tcPr>
            <w:tcW w:type="dxa" w:w="2045"/>
            <w:vAlign w:val="top"/>
          </w:tcPr>
          <w:p>
            <w:pPr>
              <w:spacing w:after="0"/>
            </w:pPr>
            <w:r/>
            <w:r>
              <w:rPr>
                <w:rFonts w:ascii="Arial" w:hAnsi="Arial" w:eastAsia="Arial"/>
                <w:b w:val="0"/>
                <w:sz w:val="16"/>
              </w:rPr>
              <w:t>Lowest complexity</w:t>
            </w:r>
          </w:p>
        </w:tc>
      </w:tr>
      <w:tr>
        <w:tc>
          <w:tcPr>
            <w:tcW w:type="dxa" w:w="2045"/>
            <w:vAlign w:val="top"/>
          </w:tcPr>
          <w:p>
            <w:pPr>
              <w:spacing w:after="0"/>
            </w:pPr>
            <w:r/>
            <w:r>
              <w:rPr>
                <w:rFonts w:ascii="Arial" w:hAnsi="Arial" w:eastAsia="Arial"/>
                <w:b w:val="0"/>
                <w:sz w:val="16"/>
              </w:rPr>
              <w:t>C. INT8 + LoRA/domain merge</w:t>
            </w:r>
          </w:p>
        </w:tc>
        <w:tc>
          <w:tcPr>
            <w:tcW w:type="dxa" w:w="2045"/>
            <w:vAlign w:val="top"/>
          </w:tcPr>
          <w:p>
            <w:pPr>
              <w:spacing w:after="0"/>
            </w:pPr>
            <w:r/>
            <w:r>
              <w:rPr>
                <w:rFonts w:ascii="Arial" w:hAnsi="Arial" w:eastAsia="Arial"/>
                <w:b w:val="0"/>
                <w:sz w:val="16"/>
              </w:rPr>
              <w:t>Healthcare and hospitality production</w:t>
            </w:r>
          </w:p>
        </w:tc>
        <w:tc>
          <w:tcPr>
            <w:tcW w:type="dxa" w:w="2045"/>
            <w:vAlign w:val="top"/>
          </w:tcPr>
          <w:p>
            <w:pPr>
              <w:spacing w:after="0"/>
            </w:pPr>
            <w:r/>
            <w:r>
              <w:rPr>
                <w:rFonts w:ascii="Arial" w:hAnsi="Arial" w:eastAsia="Arial"/>
                <w:b w:val="0"/>
                <w:sz w:val="16"/>
              </w:rPr>
              <w:t>Target &lt;150ms p99</w:t>
            </w:r>
          </w:p>
        </w:tc>
        <w:tc>
          <w:tcPr>
            <w:tcW w:type="dxa" w:w="2045"/>
            <w:vAlign w:val="top"/>
          </w:tcPr>
          <w:p>
            <w:pPr>
              <w:spacing w:after="0"/>
            </w:pPr>
            <w:r/>
            <w:r>
              <w:rPr>
                <w:rFonts w:ascii="Arial" w:hAnsi="Arial" w:eastAsia="Arial"/>
                <w:b w:val="0"/>
                <w:sz w:val="16"/>
              </w:rPr>
              <w:t>Best production quality and cost balance</w:t>
            </w:r>
          </w:p>
        </w:tc>
        <w:tc>
          <w:tcPr>
            <w:tcW w:type="dxa" w:w="2045"/>
            <w:vAlign w:val="top"/>
          </w:tcPr>
          <w:p>
            <w:pPr>
              <w:spacing w:after="0"/>
            </w:pPr>
            <w:r/>
            <w:r>
              <w:rPr>
                <w:rFonts w:ascii="Arial" w:hAnsi="Arial" w:eastAsia="Arial"/>
                <w:b w:val="0"/>
                <w:sz w:val="16"/>
              </w:rPr>
              <w:t>Requires a strong evaluation pipeline</w:t>
            </w:r>
          </w:p>
        </w:tc>
      </w:tr>
      <w:tr>
        <w:tc>
          <w:tcPr>
            <w:tcW w:type="dxa" w:w="2045"/>
            <w:vAlign w:val="top"/>
          </w:tcPr>
          <w:p>
            <w:pPr>
              <w:spacing w:after="0"/>
            </w:pPr>
            <w:r/>
            <w:r>
              <w:rPr>
                <w:rFonts w:ascii="Arial" w:hAnsi="Arial" w:eastAsia="Arial"/>
                <w:b w:val="0"/>
                <w:sz w:val="16"/>
              </w:rPr>
              <w:t>D. Ultra-fast small model</w:t>
            </w:r>
          </w:p>
        </w:tc>
        <w:tc>
          <w:tcPr>
            <w:tcW w:type="dxa" w:w="2045"/>
            <w:vAlign w:val="top"/>
          </w:tcPr>
          <w:p>
            <w:pPr>
              <w:spacing w:after="0"/>
            </w:pPr>
            <w:r/>
            <w:r>
              <w:rPr>
                <w:rFonts w:ascii="Arial" w:hAnsi="Arial" w:eastAsia="Arial"/>
                <w:b w:val="0"/>
                <w:sz w:val="16"/>
              </w:rPr>
              <w:t>Edge or overload fallback</w:t>
            </w:r>
          </w:p>
        </w:tc>
        <w:tc>
          <w:tcPr>
            <w:tcW w:type="dxa" w:w="2045"/>
            <w:vAlign w:val="top"/>
          </w:tcPr>
          <w:p>
            <w:pPr>
              <w:spacing w:after="0"/>
            </w:pPr>
            <w:r/>
            <w:r>
              <w:rPr>
                <w:rFonts w:ascii="Arial" w:hAnsi="Arial" w:eastAsia="Arial"/>
                <w:b w:val="0"/>
                <w:sz w:val="16"/>
              </w:rPr>
              <w:t>Target &lt;100ms</w:t>
            </w:r>
          </w:p>
        </w:tc>
        <w:tc>
          <w:tcPr>
            <w:tcW w:type="dxa" w:w="2045"/>
            <w:vAlign w:val="top"/>
          </w:tcPr>
          <w:p>
            <w:pPr>
              <w:spacing w:after="0"/>
            </w:pPr>
            <w:r/>
            <w:r>
              <w:rPr>
                <w:rFonts w:ascii="Arial" w:hAnsi="Arial" w:eastAsia="Arial"/>
                <w:b w:val="0"/>
                <w:sz w:val="16"/>
              </w:rPr>
              <w:t>Lower BLEU, but acceptable for low-risk phrases</w:t>
            </w:r>
          </w:p>
        </w:tc>
        <w:tc>
          <w:tcPr>
            <w:tcW w:type="dxa" w:w="2045"/>
            <w:vAlign w:val="top"/>
          </w:tcPr>
          <w:p>
            <w:pPr>
              <w:spacing w:after="0"/>
            </w:pPr>
            <w:r/>
            <w:r>
              <w:rPr>
                <w:rFonts w:ascii="Arial" w:hAnsi="Arial" w:eastAsia="Arial"/>
                <w:b w:val="0"/>
                <w:sz w:val="16"/>
              </w:rPr>
              <w:t>Quality risk</w:t>
            </w:r>
          </w:p>
        </w:tc>
      </w:tr>
    </w:tbl>
    <w:p/>
    <w:p>
      <w:pPr>
        <w:spacing w:after="100"/>
      </w:pPr>
      <w:r>
        <w:t>Cost model. Cost per inference is mainly controlled by GPU utilization, batching, and cache hit rate. The goal is not only to make a single request very fast. The goal is stable p99 latency under real load. With optimized NMT workers and micro-batching, the serving layer should target less than $0.001 per text translation by keeping GPU occupancy high and avoiding API-based LLM calls in the default path.</w:t>
      </w:r>
    </w:p>
    <w:p>
      <w:pPr>
        <w:pStyle w:val="Heading1"/>
      </w:pPr>
      <w:r>
        <w:t>3. Domain Adaptation</w:t>
      </w:r>
    </w:p>
    <w:p>
      <w:pPr>
        <w:spacing w:after="100"/>
      </w:pPr>
      <w:r>
        <w:t>Problem. Generic translation models can make mistakes on domain-specific language, including medical symptoms, dosage instructions, hotel operations, classroom terminology, proper nouns, and safety-critical instructions. A high generic BLEU score can still hide these domain failures. Because of that, the system needs domain-aware training, testing, and validation.</w:t>
      </w:r>
    </w:p>
    <w:p>
      <w:pPr>
        <w:spacing w:after="100"/>
      </w:pPr>
      <w:r>
        <w:t>Solution. I would use a layered approach: first, LoRA fine-tuning on public and licensed domain parallel corpora; second, terminology injection from curated glossaries; third, retrieval of domain-specific phrase translations; and fourth, post-translation validation for critical terms. The live path should not call a large LLM for every request. Retrieval should return small terminology constraints that can be injected into the NMT request or used in constrained post-processing.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pPr>
              <w:spacing w:after="0"/>
            </w:pPr>
            <w:r/>
            <w:r>
              <w:rPr>
                <w:rFonts w:ascii="Arial" w:hAnsi="Arial" w:eastAsia="Arial"/>
                <w:b/>
                <w:sz w:val="16"/>
              </w:rPr>
              <w:t>Technique</w:t>
            </w:r>
          </w:p>
        </w:tc>
        <w:tc>
          <w:tcPr>
            <w:tcW w:type="dxa" w:w="2045"/>
            <w:vAlign w:val="top"/>
            <w:shd w:fill="D9EAF7"/>
          </w:tcPr>
          <w:p>
            <w:pPr>
              <w:spacing w:after="0"/>
            </w:pPr>
            <w:r/>
            <w:r>
              <w:rPr>
                <w:rFonts w:ascii="Arial" w:hAnsi="Arial" w:eastAsia="Arial"/>
                <w:b/>
                <w:sz w:val="16"/>
              </w:rPr>
              <w:t>Where used</w:t>
            </w:r>
          </w:p>
        </w:tc>
        <w:tc>
          <w:tcPr>
            <w:tcW w:type="dxa" w:w="2045"/>
            <w:vAlign w:val="top"/>
            <w:shd w:fill="D9EAF7"/>
          </w:tcPr>
          <w:p>
            <w:pPr>
              <w:spacing w:after="0"/>
            </w:pPr>
            <w:r/>
            <w:r>
              <w:rPr>
                <w:rFonts w:ascii="Arial" w:hAnsi="Arial" w:eastAsia="Arial"/>
                <w:b/>
                <w:sz w:val="16"/>
              </w:rPr>
              <w:t>Latency impact</w:t>
            </w:r>
          </w:p>
        </w:tc>
        <w:tc>
          <w:tcPr>
            <w:tcW w:type="dxa" w:w="2045"/>
            <w:vAlign w:val="top"/>
            <w:shd w:fill="D9EAF7"/>
          </w:tcPr>
          <w:p>
            <w:pPr>
              <w:spacing w:after="0"/>
            </w:pPr>
            <w:r/>
            <w:r>
              <w:rPr>
                <w:rFonts w:ascii="Arial" w:hAnsi="Arial" w:eastAsia="Arial"/>
                <w:b/>
                <w:sz w:val="16"/>
              </w:rPr>
              <w:t>Quality impact</w:t>
            </w:r>
          </w:p>
        </w:tc>
        <w:tc>
          <w:tcPr>
            <w:tcW w:type="dxa" w:w="2045"/>
            <w:vAlign w:val="top"/>
            <w:shd w:fill="D9EAF7"/>
          </w:tcPr>
          <w:p>
            <w:pPr>
              <w:spacing w:after="0"/>
            </w:pPr>
            <w:r/>
            <w:r>
              <w:rPr>
                <w:rFonts w:ascii="Arial" w:hAnsi="Arial" w:eastAsia="Arial"/>
                <w:b/>
                <w:sz w:val="16"/>
              </w:rPr>
              <w:t>Scaling notes</w:t>
            </w:r>
          </w:p>
        </w:tc>
      </w:tr>
      <w:tr>
        <w:tc>
          <w:tcPr>
            <w:tcW w:type="dxa" w:w="2045"/>
            <w:vAlign w:val="top"/>
          </w:tcPr>
          <w:p>
            <w:pPr>
              <w:spacing w:after="0"/>
            </w:pPr>
            <w:r/>
            <w:r>
              <w:rPr>
                <w:rFonts w:ascii="Arial" w:hAnsi="Arial" w:eastAsia="Arial"/>
                <w:b w:val="0"/>
                <w:sz w:val="16"/>
              </w:rPr>
              <w:t>LoRA/domain fine-tuning</w:t>
            </w:r>
          </w:p>
        </w:tc>
        <w:tc>
          <w:tcPr>
            <w:tcW w:type="dxa" w:w="2045"/>
            <w:vAlign w:val="top"/>
          </w:tcPr>
          <w:p>
            <w:pPr>
              <w:spacing w:after="0"/>
            </w:pPr>
            <w:r/>
            <w:r>
              <w:rPr>
                <w:rFonts w:ascii="Arial" w:hAnsi="Arial" w:eastAsia="Arial"/>
                <w:b w:val="0"/>
                <w:sz w:val="16"/>
              </w:rPr>
              <w:t>High-volume language and domain pairs</w:t>
            </w:r>
          </w:p>
        </w:tc>
        <w:tc>
          <w:tcPr>
            <w:tcW w:type="dxa" w:w="2045"/>
            <w:vAlign w:val="top"/>
          </w:tcPr>
          <w:p>
            <w:pPr>
              <w:spacing w:after="0"/>
            </w:pPr>
            <w:r/>
            <w:r>
              <w:rPr>
                <w:rFonts w:ascii="Arial" w:hAnsi="Arial" w:eastAsia="Arial"/>
                <w:b w:val="0"/>
                <w:sz w:val="16"/>
              </w:rPr>
              <w:t>None after merge/export</w:t>
            </w:r>
          </w:p>
        </w:tc>
        <w:tc>
          <w:tcPr>
            <w:tcW w:type="dxa" w:w="2045"/>
            <w:vAlign w:val="top"/>
          </w:tcPr>
          <w:p>
            <w:pPr>
              <w:spacing w:after="0"/>
            </w:pPr>
            <w:r/>
            <w:r>
              <w:rPr>
                <w:rFonts w:ascii="Arial" w:hAnsi="Arial" w:eastAsia="Arial"/>
                <w:b w:val="0"/>
                <w:sz w:val="16"/>
              </w:rPr>
              <w:t>High for jargon and style</w:t>
            </w:r>
          </w:p>
        </w:tc>
        <w:tc>
          <w:tcPr>
            <w:tcW w:type="dxa" w:w="2045"/>
            <w:vAlign w:val="top"/>
          </w:tcPr>
          <w:p>
            <w:pPr>
              <w:spacing w:after="0"/>
            </w:pPr>
            <w:r/>
            <w:r>
              <w:rPr>
                <w:rFonts w:ascii="Arial" w:hAnsi="Arial" w:eastAsia="Arial"/>
                <w:b w:val="0"/>
                <w:sz w:val="16"/>
              </w:rPr>
              <w:t>Retrain or adapt offline, then deploy as versioned checkpoints</w:t>
            </w:r>
          </w:p>
        </w:tc>
      </w:tr>
      <w:tr>
        <w:tc>
          <w:tcPr>
            <w:tcW w:type="dxa" w:w="2045"/>
            <w:vAlign w:val="top"/>
          </w:tcPr>
          <w:p>
            <w:pPr>
              <w:spacing w:after="0"/>
            </w:pPr>
            <w:r/>
            <w:r>
              <w:rPr>
                <w:rFonts w:ascii="Arial" w:hAnsi="Arial" w:eastAsia="Arial"/>
                <w:b w:val="0"/>
                <w:sz w:val="16"/>
              </w:rPr>
              <w:t>Glossary injection</w:t>
            </w:r>
          </w:p>
        </w:tc>
        <w:tc>
          <w:tcPr>
            <w:tcW w:type="dxa" w:w="2045"/>
            <w:vAlign w:val="top"/>
          </w:tcPr>
          <w:p>
            <w:pPr>
              <w:spacing w:after="0"/>
            </w:pPr>
            <w:r/>
            <w:r>
              <w:rPr>
                <w:rFonts w:ascii="Arial" w:hAnsi="Arial" w:eastAsia="Arial"/>
                <w:b w:val="0"/>
                <w:sz w:val="16"/>
              </w:rPr>
              <w:t>Medical, hotel, and classroom terms</w:t>
            </w:r>
          </w:p>
        </w:tc>
        <w:tc>
          <w:tcPr>
            <w:tcW w:type="dxa" w:w="2045"/>
            <w:vAlign w:val="top"/>
          </w:tcPr>
          <w:p>
            <w:pPr>
              <w:spacing w:after="0"/>
            </w:pPr>
            <w:r/>
            <w:r>
              <w:rPr>
                <w:rFonts w:ascii="Arial" w:hAnsi="Arial" w:eastAsia="Arial"/>
                <w:b w:val="0"/>
                <w:sz w:val="16"/>
              </w:rPr>
              <w:t>Very low through Redis or vector lookup</w:t>
            </w:r>
          </w:p>
        </w:tc>
        <w:tc>
          <w:tcPr>
            <w:tcW w:type="dxa" w:w="2045"/>
            <w:vAlign w:val="top"/>
          </w:tcPr>
          <w:p>
            <w:pPr>
              <w:spacing w:after="0"/>
            </w:pPr>
            <w:r/>
            <w:r>
              <w:rPr>
                <w:rFonts w:ascii="Arial" w:hAnsi="Arial" w:eastAsia="Arial"/>
                <w:b w:val="0"/>
                <w:sz w:val="16"/>
              </w:rPr>
              <w:t>High for critical terms</w:t>
            </w:r>
          </w:p>
        </w:tc>
        <w:tc>
          <w:tcPr>
            <w:tcW w:type="dxa" w:w="2045"/>
            <w:vAlign w:val="top"/>
          </w:tcPr>
          <w:p>
            <w:pPr>
              <w:spacing w:after="0"/>
            </w:pPr>
            <w:r/>
            <w:r>
              <w:rPr>
                <w:rFonts w:ascii="Arial" w:hAnsi="Arial" w:eastAsia="Arial"/>
                <w:b w:val="0"/>
                <w:sz w:val="16"/>
              </w:rPr>
              <w:t>Cache by domain and language pair</w:t>
            </w:r>
          </w:p>
        </w:tc>
      </w:tr>
      <w:tr>
        <w:tc>
          <w:tcPr>
            <w:tcW w:type="dxa" w:w="2045"/>
            <w:vAlign w:val="top"/>
          </w:tcPr>
          <w:p>
            <w:pPr>
              <w:spacing w:after="0"/>
            </w:pPr>
            <w:r/>
            <w:r>
              <w:rPr>
                <w:rFonts w:ascii="Arial" w:hAnsi="Arial" w:eastAsia="Arial"/>
                <w:b w:val="0"/>
                <w:sz w:val="16"/>
              </w:rPr>
              <w:t>RAG phrase retrieval</w:t>
            </w:r>
          </w:p>
        </w:tc>
        <w:tc>
          <w:tcPr>
            <w:tcW w:type="dxa" w:w="2045"/>
            <w:vAlign w:val="top"/>
          </w:tcPr>
          <w:p>
            <w:pPr>
              <w:spacing w:after="0"/>
            </w:pPr>
            <w:r/>
            <w:r>
              <w:rPr>
                <w:rFonts w:ascii="Arial" w:hAnsi="Arial" w:eastAsia="Arial"/>
                <w:b w:val="0"/>
                <w:sz w:val="16"/>
              </w:rPr>
              <w:t>Ambiguous phrases and named entities</w:t>
            </w:r>
          </w:p>
        </w:tc>
        <w:tc>
          <w:tcPr>
            <w:tcW w:type="dxa" w:w="2045"/>
            <w:vAlign w:val="top"/>
          </w:tcPr>
          <w:p>
            <w:pPr>
              <w:spacing w:after="0"/>
            </w:pPr>
            <w:r/>
            <w:r>
              <w:rPr>
                <w:rFonts w:ascii="Arial" w:hAnsi="Arial" w:eastAsia="Arial"/>
                <w:b w:val="0"/>
                <w:sz w:val="16"/>
              </w:rPr>
              <w:t>Low when top-k is small</w:t>
            </w:r>
          </w:p>
        </w:tc>
        <w:tc>
          <w:tcPr>
            <w:tcW w:type="dxa" w:w="2045"/>
            <w:vAlign w:val="top"/>
          </w:tcPr>
          <w:p>
            <w:pPr>
              <w:spacing w:after="0"/>
            </w:pPr>
            <w:r/>
            <w:r>
              <w:rPr>
                <w:rFonts w:ascii="Arial" w:hAnsi="Arial" w:eastAsia="Arial"/>
                <w:b w:val="0"/>
                <w:sz w:val="16"/>
              </w:rPr>
              <w:t>Medium to high</w:t>
            </w:r>
          </w:p>
        </w:tc>
        <w:tc>
          <w:tcPr>
            <w:tcW w:type="dxa" w:w="2045"/>
            <w:vAlign w:val="top"/>
          </w:tcPr>
          <w:p>
            <w:pPr>
              <w:spacing w:after="0"/>
            </w:pPr>
            <w:r/>
            <w:r>
              <w:rPr>
                <w:rFonts w:ascii="Arial" w:hAnsi="Arial" w:eastAsia="Arial"/>
                <w:b w:val="0"/>
                <w:sz w:val="16"/>
              </w:rPr>
              <w:t>Use only compact retrieved constraints, not long context</w:t>
            </w:r>
          </w:p>
        </w:tc>
      </w:tr>
      <w:tr>
        <w:tc>
          <w:tcPr>
            <w:tcW w:type="dxa" w:w="2045"/>
            <w:vAlign w:val="top"/>
          </w:tcPr>
          <w:p>
            <w:pPr>
              <w:spacing w:after="0"/>
            </w:pPr>
            <w:r/>
            <w:r>
              <w:rPr>
                <w:rFonts w:ascii="Arial" w:hAnsi="Arial" w:eastAsia="Arial"/>
                <w:b w:val="0"/>
                <w:sz w:val="16"/>
              </w:rPr>
              <w:t>Multi-model routing</w:t>
            </w:r>
          </w:p>
        </w:tc>
        <w:tc>
          <w:tcPr>
            <w:tcW w:type="dxa" w:w="2045"/>
            <w:vAlign w:val="top"/>
          </w:tcPr>
          <w:p>
            <w:pPr>
              <w:spacing w:after="0"/>
            </w:pPr>
            <w:r/>
            <w:r>
              <w:rPr>
                <w:rFonts w:ascii="Arial" w:hAnsi="Arial" w:eastAsia="Arial"/>
                <w:b w:val="0"/>
                <w:sz w:val="16"/>
              </w:rPr>
              <w:t>Rare pairs or high-risk domains</w:t>
            </w:r>
          </w:p>
        </w:tc>
        <w:tc>
          <w:tcPr>
            <w:tcW w:type="dxa" w:w="2045"/>
            <w:vAlign w:val="top"/>
          </w:tcPr>
          <w:p>
            <w:pPr>
              <w:spacing w:after="0"/>
            </w:pPr>
            <w:r/>
            <w:r>
              <w:rPr>
                <w:rFonts w:ascii="Arial" w:hAnsi="Arial" w:eastAsia="Arial"/>
                <w:b w:val="0"/>
                <w:sz w:val="16"/>
              </w:rPr>
              <w:t>Variable</w:t>
            </w:r>
          </w:p>
        </w:tc>
        <w:tc>
          <w:tcPr>
            <w:tcW w:type="dxa" w:w="2045"/>
            <w:vAlign w:val="top"/>
          </w:tcPr>
          <w:p>
            <w:pPr>
              <w:spacing w:after="0"/>
            </w:pPr>
            <w:r/>
            <w:r>
              <w:rPr>
                <w:rFonts w:ascii="Arial" w:hAnsi="Arial" w:eastAsia="Arial"/>
                <w:b w:val="0"/>
                <w:sz w:val="16"/>
              </w:rPr>
              <w:t>High when routed correctly</w:t>
            </w:r>
          </w:p>
        </w:tc>
        <w:tc>
          <w:tcPr>
            <w:tcW w:type="dxa" w:w="2045"/>
            <w:vAlign w:val="top"/>
          </w:tcPr>
          <w:p>
            <w:pPr>
              <w:spacing w:after="0"/>
            </w:pPr>
            <w:r/>
            <w:r>
              <w:rPr>
                <w:rFonts w:ascii="Arial" w:hAnsi="Arial" w:eastAsia="Arial"/>
                <w:b w:val="0"/>
                <w:sz w:val="16"/>
              </w:rPr>
              <w:t>Route by SLA, language, domain, and confidence</w:t>
            </w:r>
          </w:p>
        </w:tc>
      </w:tr>
    </w:tbl>
    <w:p/>
    <w:p>
      <w:pPr>
        <w:spacing w:after="100"/>
      </w:pPr>
      <w:r>
        <w:t>Accuracy guardrail. BLEU should be reported separately for healthcare, hospitality, and education. It should also be supported by terminology accuracy, named-entity preservation, and human review for safety-critical samples. A release should not ship if domain terminology accuracy goes down, even if the overall BLEU score improves.</w:t>
      </w:r>
    </w:p>
    <w:p>
      <w:pPr>
        <w:pStyle w:val="Heading1"/>
      </w:pPr>
      <w:r>
        <w:t>4. Scaling Architecture</w:t>
      </w:r>
    </w:p>
    <w:p>
      <w:pPr>
        <w:spacing w:after="100"/>
      </w:pPr>
      <w:r>
        <w:t>Architecture. The API tier should remain stateless. It handles authentication, language and domain detection, segmentation, caching, routing, and queue admission. GPU workers keep model replicas in memory and expose a low-latency internal RPC endpoint. Redis stores phrase and terminology caches. The metrics pipeline captures latency by stage, queue time, GPU utilization, quality samples, and error categories.</w:t>
      </w:r>
    </w:p>
    <w:p>
      <w:pPr>
        <w:pStyle w:val="CodeBlock"/>
        <w:ind w:left="216"/>
      </w:pPr>
      <w:r>
        <w:t>Clients/rooms</w:t>
        <w:br/>
        <w:t xml:space="preserve">    |</w:t>
        <w:br/>
        <w:t>API Gateway + Room Session Service</w:t>
        <w:br/>
        <w:t xml:space="preserve">    |</w:t>
        <w:br/>
        <w:t>Translation Router ---- Redis cache / terminology store</w:t>
        <w:br/>
        <w:t xml:space="preserve">    |</w:t>
        <w:br/>
        <w:t>Priority queues by language pair + domain + SLA</w:t>
        <w:br/>
        <w:t xml:space="preserve">    |</w:t>
        <w:br/>
        <w:t>GPU Worker Pool: [EN-ES] [EN-PT] [EN-ZH] [Multilingual fallback]</w:t>
        <w:br/>
        <w:t xml:space="preserve">    |</w:t>
        <w:br/>
        <w:t>Observability: p50/p95/p99, queue delay, GPU util, cache hit rate, BLEU canaries, error traces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pPr>
              <w:spacing w:after="0"/>
            </w:pPr>
            <w:r/>
            <w:r>
              <w:rPr>
                <w:rFonts w:ascii="Arial" w:hAnsi="Arial" w:eastAsia="Arial"/>
                <w:b/>
                <w:sz w:val="16"/>
              </w:rPr>
              <w:t>Phase</w:t>
            </w:r>
          </w:p>
        </w:tc>
        <w:tc>
          <w:tcPr>
            <w:tcW w:type="dxa" w:w="2045"/>
            <w:vAlign w:val="top"/>
            <w:shd w:fill="D9EAF7"/>
          </w:tcPr>
          <w:p>
            <w:pPr>
              <w:spacing w:after="0"/>
            </w:pPr>
            <w:r/>
            <w:r>
              <w:rPr>
                <w:rFonts w:ascii="Arial" w:hAnsi="Arial" w:eastAsia="Arial"/>
                <w:b/>
                <w:sz w:val="16"/>
              </w:rPr>
              <w:t>Rooms</w:t>
            </w:r>
          </w:p>
        </w:tc>
        <w:tc>
          <w:tcPr>
            <w:tcW w:type="dxa" w:w="2045"/>
            <w:vAlign w:val="top"/>
            <w:shd w:fill="D9EAF7"/>
          </w:tcPr>
          <w:p>
            <w:pPr>
              <w:spacing w:after="0"/>
            </w:pPr>
            <w:r/>
            <w:r>
              <w:rPr>
                <w:rFonts w:ascii="Arial" w:hAnsi="Arial" w:eastAsia="Arial"/>
                <w:b/>
                <w:sz w:val="16"/>
              </w:rPr>
              <w:t>Serving plan</w:t>
            </w:r>
          </w:p>
        </w:tc>
        <w:tc>
          <w:tcPr>
            <w:tcW w:type="dxa" w:w="2045"/>
            <w:vAlign w:val="top"/>
            <w:shd w:fill="D9EAF7"/>
          </w:tcPr>
          <w:p>
            <w:pPr>
              <w:spacing w:after="0"/>
            </w:pPr>
            <w:r/>
            <w:r>
              <w:rPr>
                <w:rFonts w:ascii="Arial" w:hAnsi="Arial" w:eastAsia="Arial"/>
                <w:b/>
                <w:sz w:val="16"/>
              </w:rPr>
              <w:t>Batching strategy</w:t>
            </w:r>
          </w:p>
        </w:tc>
        <w:tc>
          <w:tcPr>
            <w:tcW w:type="dxa" w:w="2045"/>
            <w:vAlign w:val="top"/>
            <w:shd w:fill="D9EAF7"/>
          </w:tcPr>
          <w:p>
            <w:pPr>
              <w:spacing w:after="0"/>
            </w:pPr>
            <w:r/>
            <w:r>
              <w:rPr>
                <w:rFonts w:ascii="Arial" w:hAnsi="Arial" w:eastAsia="Arial"/>
                <w:b/>
                <w:sz w:val="16"/>
              </w:rPr>
              <w:t>Risk point</w:t>
            </w:r>
          </w:p>
        </w:tc>
      </w:tr>
      <w:tr>
        <w:tc>
          <w:tcPr>
            <w:tcW w:type="dxa" w:w="2045"/>
            <w:vAlign w:val="top"/>
          </w:tcPr>
          <w:p>
            <w:pPr>
              <w:spacing w:after="0"/>
            </w:pPr>
            <w:r/>
            <w:r>
              <w:rPr>
                <w:rFonts w:ascii="Arial" w:hAnsi="Arial" w:eastAsia="Arial"/>
                <w:b w:val="0"/>
                <w:sz w:val="16"/>
              </w:rPr>
              <w:t>Phase 1</w:t>
            </w:r>
          </w:p>
        </w:tc>
        <w:tc>
          <w:tcPr>
            <w:tcW w:type="dxa" w:w="2045"/>
            <w:vAlign w:val="top"/>
          </w:tcPr>
          <w:p>
            <w:pPr>
              <w:spacing w:after="0"/>
            </w:pPr>
            <w:r/>
            <w:r>
              <w:rPr>
                <w:rFonts w:ascii="Arial" w:hAnsi="Arial" w:eastAsia="Arial"/>
                <w:b w:val="0"/>
                <w:sz w:val="16"/>
              </w:rPr>
              <w:t>60</w:t>
            </w:r>
          </w:p>
        </w:tc>
        <w:tc>
          <w:tcPr>
            <w:tcW w:type="dxa" w:w="2045"/>
            <w:vAlign w:val="top"/>
          </w:tcPr>
          <w:p>
            <w:pPr>
              <w:spacing w:after="0"/>
            </w:pPr>
            <w:r/>
            <w:r>
              <w:rPr>
                <w:rFonts w:ascii="Arial" w:hAnsi="Arial" w:eastAsia="Arial"/>
                <w:b w:val="0"/>
                <w:sz w:val="16"/>
              </w:rPr>
              <w:t>Single region, small GPU pool, and 2+ replicas for each critical pair</w:t>
            </w:r>
          </w:p>
        </w:tc>
        <w:tc>
          <w:tcPr>
            <w:tcW w:type="dxa" w:w="2045"/>
            <w:vAlign w:val="top"/>
          </w:tcPr>
          <w:p>
            <w:pPr>
              <w:spacing w:after="0"/>
            </w:pPr>
            <w:r/>
            <w:r>
              <w:rPr>
                <w:rFonts w:ascii="Arial" w:hAnsi="Arial" w:eastAsia="Arial"/>
                <w:b w:val="0"/>
                <w:sz w:val="16"/>
              </w:rPr>
              <w:t>Micro-batch 1-8 with max wait 5-10ms</w:t>
            </w:r>
          </w:p>
        </w:tc>
        <w:tc>
          <w:tcPr>
            <w:tcW w:type="dxa" w:w="2045"/>
            <w:vAlign w:val="top"/>
          </w:tcPr>
          <w:p>
            <w:pPr>
              <w:spacing w:after="0"/>
            </w:pPr>
            <w:r/>
            <w:r>
              <w:rPr>
                <w:rFonts w:ascii="Arial" w:hAnsi="Arial" w:eastAsia="Arial"/>
                <w:b w:val="0"/>
                <w:sz w:val="16"/>
              </w:rPr>
              <w:t>Burstiness from turn-taking may be underestimated</w:t>
            </w:r>
          </w:p>
        </w:tc>
      </w:tr>
      <w:tr>
        <w:tc>
          <w:tcPr>
            <w:tcW w:type="dxa" w:w="2045"/>
            <w:vAlign w:val="top"/>
          </w:tcPr>
          <w:p>
            <w:pPr>
              <w:spacing w:after="0"/>
            </w:pPr>
            <w:r/>
            <w:r>
              <w:rPr>
                <w:rFonts w:ascii="Arial" w:hAnsi="Arial" w:eastAsia="Arial"/>
                <w:b w:val="0"/>
                <w:sz w:val="16"/>
              </w:rPr>
              <w:t>Phase 2</w:t>
            </w:r>
          </w:p>
        </w:tc>
        <w:tc>
          <w:tcPr>
            <w:tcW w:type="dxa" w:w="2045"/>
            <w:vAlign w:val="top"/>
          </w:tcPr>
          <w:p>
            <w:pPr>
              <w:spacing w:after="0"/>
            </w:pPr>
            <w:r/>
            <w:r>
              <w:rPr>
                <w:rFonts w:ascii="Arial" w:hAnsi="Arial" w:eastAsia="Arial"/>
                <w:b w:val="0"/>
                <w:sz w:val="16"/>
              </w:rPr>
              <w:t>600+</w:t>
            </w:r>
          </w:p>
        </w:tc>
        <w:tc>
          <w:tcPr>
            <w:tcW w:type="dxa" w:w="2045"/>
            <w:vAlign w:val="top"/>
          </w:tcPr>
          <w:p>
            <w:pPr>
              <w:spacing w:after="0"/>
            </w:pPr>
            <w:r/>
            <w:r>
              <w:rPr>
                <w:rFonts w:ascii="Arial" w:hAnsi="Arial" w:eastAsia="Arial"/>
                <w:b w:val="0"/>
                <w:sz w:val="16"/>
              </w:rPr>
              <w:t>Multi-AZ GPU pools with autoscaling based on p99 queue delay and GPU utilization</w:t>
            </w:r>
          </w:p>
        </w:tc>
        <w:tc>
          <w:tcPr>
            <w:tcW w:type="dxa" w:w="2045"/>
            <w:vAlign w:val="top"/>
          </w:tcPr>
          <w:p>
            <w:pPr>
              <w:spacing w:after="0"/>
            </w:pPr>
            <w:r/>
            <w:r>
              <w:rPr>
                <w:rFonts w:ascii="Arial" w:hAnsi="Arial" w:eastAsia="Arial"/>
                <w:b w:val="0"/>
                <w:sz w:val="16"/>
              </w:rPr>
              <w:t>Dynamic micro-batch 1-32 with max wait &lt;=15ms</w:t>
            </w:r>
          </w:p>
        </w:tc>
        <w:tc>
          <w:tcPr>
            <w:tcW w:type="dxa" w:w="2045"/>
            <w:vAlign w:val="top"/>
          </w:tcPr>
          <w:p>
            <w:pPr>
              <w:spacing w:after="0"/>
            </w:pPr>
            <w:r/>
            <w:r>
              <w:rPr>
                <w:rFonts w:ascii="Arial" w:hAnsi="Arial" w:eastAsia="Arial"/>
                <w:b w:val="0"/>
                <w:sz w:val="16"/>
              </w:rPr>
              <w:t>Queue delay and imbalance in hot language pairs</w:t>
            </w:r>
          </w:p>
        </w:tc>
      </w:tr>
      <w:tr>
        <w:tc>
          <w:tcPr>
            <w:tcW w:type="dxa" w:w="2045"/>
            <w:vAlign w:val="top"/>
          </w:tcPr>
          <w:p>
            <w:pPr>
              <w:spacing w:after="0"/>
            </w:pPr>
            <w:r/>
            <w:r>
              <w:rPr>
                <w:rFonts w:ascii="Arial" w:hAnsi="Arial" w:eastAsia="Arial"/>
                <w:b w:val="0"/>
                <w:sz w:val="16"/>
              </w:rPr>
              <w:t>1000+ requests</w:t>
            </w:r>
          </w:p>
        </w:tc>
        <w:tc>
          <w:tcPr>
            <w:tcW w:type="dxa" w:w="2045"/>
            <w:vAlign w:val="top"/>
          </w:tcPr>
          <w:p>
            <w:pPr>
              <w:spacing w:after="0"/>
            </w:pPr>
            <w:r/>
            <w:r>
              <w:rPr>
                <w:rFonts w:ascii="Arial" w:hAnsi="Arial" w:eastAsia="Arial"/>
                <w:b w:val="0"/>
                <w:sz w:val="16"/>
              </w:rPr>
              <w:t>1000+</w:t>
            </w:r>
          </w:p>
        </w:tc>
        <w:tc>
          <w:tcPr>
            <w:tcW w:type="dxa" w:w="2045"/>
            <w:vAlign w:val="top"/>
          </w:tcPr>
          <w:p>
            <w:pPr>
              <w:spacing w:after="0"/>
            </w:pPr>
            <w:r/>
            <w:r>
              <w:rPr>
                <w:rFonts w:ascii="Arial" w:hAnsi="Arial" w:eastAsia="Arial"/>
                <w:b w:val="0"/>
                <w:sz w:val="16"/>
              </w:rPr>
              <w:t>Shard by language pair and domain, with distributed replicas and a fallback model pool</w:t>
            </w:r>
          </w:p>
        </w:tc>
        <w:tc>
          <w:tcPr>
            <w:tcW w:type="dxa" w:w="2045"/>
            <w:vAlign w:val="top"/>
          </w:tcPr>
          <w:p>
            <w:pPr>
              <w:spacing w:after="0"/>
            </w:pPr>
            <w:r/>
            <w:r>
              <w:rPr>
                <w:rFonts w:ascii="Arial" w:hAnsi="Arial" w:eastAsia="Arial"/>
                <w:b w:val="0"/>
                <w:sz w:val="16"/>
              </w:rPr>
              <w:t>Priority queues and shedding of low-priority optional work</w:t>
            </w:r>
          </w:p>
        </w:tc>
        <w:tc>
          <w:tcPr>
            <w:tcW w:type="dxa" w:w="2045"/>
            <w:vAlign w:val="top"/>
          </w:tcPr>
          <w:p>
            <w:pPr>
              <w:spacing w:after="0"/>
            </w:pPr>
            <w:r/>
            <w:r>
              <w:rPr>
                <w:rFonts w:ascii="Arial" w:hAnsi="Arial" w:eastAsia="Arial"/>
                <w:b w:val="0"/>
                <w:sz w:val="16"/>
              </w:rPr>
              <w:t>GPU memory, cache misses, and rare-pair routing</w:t>
            </w:r>
          </w:p>
        </w:tc>
      </w:tr>
    </w:tbl>
    <w:p/>
    <w:p>
      <w:pPr>
        <w:spacing w:after="100"/>
      </w:pPr>
      <w:r>
        <w:t>Single GPU vs distributed. A single GPU is acceptable for a prototype or Phase 1 if p99 queue delay remains low. Distributed serving becomes necessary when high-volume rooms create bursty concurrent segments, when several language pairs must stay resident in memory, or when GPU utilization goes above roughly 70-80% and p99 latency starts increasing. In practice, the system will usually break first at the queue, not at raw inference. Once micro-batches wait too long, the translation SLA fails even if individual inference is fast.</w:t>
      </w:r>
    </w:p>
    <w:p>
      <w:pPr>
        <w:pStyle w:val="Heading1"/>
      </w:pPr>
      <w:r>
        <w:t>5. Caching and Context Management</w:t>
      </w:r>
    </w:p>
    <w:p>
      <w:pPr>
        <w:spacing w:after="100"/>
      </w:pPr>
      <w:r>
        <w:t>Caching strategy. The system should cache deterministic and frequently repeated content, not full conversations. The cache key should include normalized source text, source and target language, domain, model version, glossary version, and decoding configuration. The caching layers should include an in-process LRU cache for the hottest phrases, Redis for cross-pod phrase and terminology results, and GPU memory only for resident model weights. GPU memory should not be used as a dynamic text cache.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9EAF7"/>
          </w:tcPr>
          <w:p>
            <w:pPr>
              <w:spacing w:after="0"/>
            </w:pPr>
            <w:r/>
            <w:r>
              <w:rPr>
                <w:rFonts w:ascii="Arial" w:hAnsi="Arial" w:eastAsia="Arial"/>
                <w:b/>
                <w:sz w:val="16"/>
              </w:rPr>
              <w:t>Cache item</w:t>
            </w:r>
          </w:p>
        </w:tc>
        <w:tc>
          <w:tcPr>
            <w:tcW w:type="dxa" w:w="2045"/>
            <w:vAlign w:val="top"/>
            <w:shd w:fill="D9EAF7"/>
          </w:tcPr>
          <w:p>
            <w:pPr>
              <w:spacing w:after="0"/>
            </w:pPr>
            <w:r/>
            <w:r>
              <w:rPr>
                <w:rFonts w:ascii="Arial" w:hAnsi="Arial" w:eastAsia="Arial"/>
                <w:b/>
                <w:sz w:val="16"/>
              </w:rPr>
              <w:t>Location</w:t>
            </w:r>
          </w:p>
        </w:tc>
        <w:tc>
          <w:tcPr>
            <w:tcW w:type="dxa" w:w="2045"/>
            <w:vAlign w:val="top"/>
            <w:shd w:fill="D9EAF7"/>
          </w:tcPr>
          <w:p>
            <w:pPr>
              <w:spacing w:after="0"/>
            </w:pPr>
            <w:r/>
            <w:r>
              <w:rPr>
                <w:rFonts w:ascii="Arial" w:hAnsi="Arial" w:eastAsia="Arial"/>
                <w:b/>
                <w:sz w:val="16"/>
              </w:rPr>
              <w:t>TTL / invalidation</w:t>
            </w:r>
          </w:p>
        </w:tc>
        <w:tc>
          <w:tcPr>
            <w:tcW w:type="dxa" w:w="2045"/>
            <w:vAlign w:val="top"/>
            <w:shd w:fill="D9EAF7"/>
          </w:tcPr>
          <w:p>
            <w:pPr>
              <w:spacing w:after="0"/>
            </w:pPr>
            <w:r/>
            <w:r>
              <w:rPr>
                <w:rFonts w:ascii="Arial" w:hAnsi="Arial" w:eastAsia="Arial"/>
                <w:b/>
                <w:sz w:val="16"/>
              </w:rPr>
              <w:t>Benefit</w:t>
            </w:r>
          </w:p>
        </w:tc>
        <w:tc>
          <w:tcPr>
            <w:tcW w:type="dxa" w:w="2045"/>
            <w:vAlign w:val="top"/>
            <w:shd w:fill="D9EAF7"/>
          </w:tcPr>
          <w:p>
            <w:pPr>
              <w:spacing w:after="0"/>
            </w:pPr>
            <w:r/>
            <w:r>
              <w:rPr>
                <w:rFonts w:ascii="Arial" w:hAnsi="Arial" w:eastAsia="Arial"/>
                <w:b/>
                <w:sz w:val="16"/>
              </w:rPr>
              <w:t>Risk</w:t>
            </w:r>
          </w:p>
        </w:tc>
      </w:tr>
      <w:tr>
        <w:tc>
          <w:tcPr>
            <w:tcW w:type="dxa" w:w="2045"/>
            <w:vAlign w:val="top"/>
          </w:tcPr>
          <w:p>
            <w:pPr>
              <w:spacing w:after="0"/>
            </w:pPr>
            <w:r/>
            <w:r>
              <w:rPr>
                <w:rFonts w:ascii="Arial" w:hAnsi="Arial" w:eastAsia="Arial"/>
                <w:b w:val="0"/>
                <w:sz w:val="16"/>
              </w:rPr>
              <w:t>Full repeated phrases</w:t>
            </w:r>
          </w:p>
        </w:tc>
        <w:tc>
          <w:tcPr>
            <w:tcW w:type="dxa" w:w="2045"/>
            <w:vAlign w:val="top"/>
          </w:tcPr>
          <w:p>
            <w:pPr>
              <w:spacing w:after="0"/>
            </w:pPr>
            <w:r/>
            <w:r>
              <w:rPr>
                <w:rFonts w:ascii="Arial" w:hAnsi="Arial" w:eastAsia="Arial"/>
                <w:b w:val="0"/>
                <w:sz w:val="16"/>
              </w:rPr>
              <w:t>In-process LRU + Redis</w:t>
            </w:r>
          </w:p>
        </w:tc>
        <w:tc>
          <w:tcPr>
            <w:tcW w:type="dxa" w:w="2045"/>
            <w:vAlign w:val="top"/>
          </w:tcPr>
          <w:p>
            <w:pPr>
              <w:spacing w:after="0"/>
            </w:pPr>
            <w:r/>
            <w:r>
              <w:rPr>
                <w:rFonts w:ascii="Arial" w:hAnsi="Arial" w:eastAsia="Arial"/>
                <w:b w:val="0"/>
                <w:sz w:val="16"/>
              </w:rPr>
              <w:t>Hours to days; invalidate by model or glossary version</w:t>
            </w:r>
          </w:p>
        </w:tc>
        <w:tc>
          <w:tcPr>
            <w:tcW w:type="dxa" w:w="2045"/>
            <w:vAlign w:val="top"/>
          </w:tcPr>
          <w:p>
            <w:pPr>
              <w:spacing w:after="0"/>
            </w:pPr>
            <w:r/>
            <w:r>
              <w:rPr>
                <w:rFonts w:ascii="Arial" w:hAnsi="Arial" w:eastAsia="Arial"/>
                <w:b w:val="0"/>
                <w:sz w:val="16"/>
              </w:rPr>
              <w:t>Major latency and cost reduction for common phrases</w:t>
            </w:r>
          </w:p>
        </w:tc>
        <w:tc>
          <w:tcPr>
            <w:tcW w:type="dxa" w:w="2045"/>
            <w:vAlign w:val="top"/>
          </w:tcPr>
          <w:p>
            <w:pPr>
              <w:spacing w:after="0"/>
            </w:pPr>
            <w:r/>
            <w:r>
              <w:rPr>
                <w:rFonts w:ascii="Arial" w:hAnsi="Arial" w:eastAsia="Arial"/>
                <w:b w:val="0"/>
                <w:sz w:val="16"/>
              </w:rPr>
              <w:t>Wrong reuse if the phrase is context-sensitive</w:t>
            </w:r>
          </w:p>
        </w:tc>
      </w:tr>
      <w:tr>
        <w:tc>
          <w:tcPr>
            <w:tcW w:type="dxa" w:w="2045"/>
            <w:vAlign w:val="top"/>
          </w:tcPr>
          <w:p>
            <w:pPr>
              <w:spacing w:after="0"/>
            </w:pPr>
            <w:r/>
            <w:r>
              <w:rPr>
                <w:rFonts w:ascii="Arial" w:hAnsi="Arial" w:eastAsia="Arial"/>
                <w:b w:val="0"/>
                <w:sz w:val="16"/>
              </w:rPr>
              <w:t>Terminology/glossary lookups</w:t>
            </w:r>
          </w:p>
        </w:tc>
        <w:tc>
          <w:tcPr>
            <w:tcW w:type="dxa" w:w="2045"/>
            <w:vAlign w:val="top"/>
          </w:tcPr>
          <w:p>
            <w:pPr>
              <w:spacing w:after="0"/>
            </w:pPr>
            <w:r/>
            <w:r>
              <w:rPr>
                <w:rFonts w:ascii="Arial" w:hAnsi="Arial" w:eastAsia="Arial"/>
                <w:b w:val="0"/>
                <w:sz w:val="16"/>
              </w:rPr>
              <w:t>Redis + vector store</w:t>
            </w:r>
          </w:p>
        </w:tc>
        <w:tc>
          <w:tcPr>
            <w:tcW w:type="dxa" w:w="2045"/>
            <w:vAlign w:val="top"/>
          </w:tcPr>
          <w:p>
            <w:pPr>
              <w:spacing w:after="0"/>
            </w:pPr>
            <w:r/>
            <w:r>
              <w:rPr>
                <w:rFonts w:ascii="Arial" w:hAnsi="Arial" w:eastAsia="Arial"/>
                <w:b w:val="0"/>
                <w:sz w:val="16"/>
              </w:rPr>
              <w:t>Versioned; refresh when glossary changes</w:t>
            </w:r>
          </w:p>
        </w:tc>
        <w:tc>
          <w:tcPr>
            <w:tcW w:type="dxa" w:w="2045"/>
            <w:vAlign w:val="top"/>
          </w:tcPr>
          <w:p>
            <w:pPr>
              <w:spacing w:after="0"/>
            </w:pPr>
            <w:r/>
            <w:r>
              <w:rPr>
                <w:rFonts w:ascii="Arial" w:hAnsi="Arial" w:eastAsia="Arial"/>
                <w:b w:val="0"/>
                <w:sz w:val="16"/>
              </w:rPr>
              <w:t>Improves jargon accuracy</w:t>
            </w:r>
          </w:p>
        </w:tc>
        <w:tc>
          <w:tcPr>
            <w:tcW w:type="dxa" w:w="2045"/>
            <w:vAlign w:val="top"/>
          </w:tcPr>
          <w:p>
            <w:pPr>
              <w:spacing w:after="0"/>
            </w:pPr>
            <w:r/>
            <w:r>
              <w:rPr>
                <w:rFonts w:ascii="Arial" w:hAnsi="Arial" w:eastAsia="Arial"/>
                <w:b w:val="0"/>
                <w:sz w:val="16"/>
              </w:rPr>
              <w:t>A bad glossary can reduce output quality</w:t>
            </w:r>
          </w:p>
        </w:tc>
      </w:tr>
      <w:tr>
        <w:tc>
          <w:tcPr>
            <w:tcW w:type="dxa" w:w="2045"/>
            <w:vAlign w:val="top"/>
          </w:tcPr>
          <w:p>
            <w:pPr>
              <w:spacing w:after="0"/>
            </w:pPr>
            <w:r/>
            <w:r>
              <w:rPr>
                <w:rFonts w:ascii="Arial" w:hAnsi="Arial" w:eastAsia="Arial"/>
                <w:b w:val="0"/>
                <w:sz w:val="16"/>
              </w:rPr>
              <w:t>Language/domain routing decisions</w:t>
            </w:r>
          </w:p>
        </w:tc>
        <w:tc>
          <w:tcPr>
            <w:tcW w:type="dxa" w:w="2045"/>
            <w:vAlign w:val="top"/>
          </w:tcPr>
          <w:p>
            <w:pPr>
              <w:spacing w:after="0"/>
            </w:pPr>
            <w:r/>
            <w:r>
              <w:rPr>
                <w:rFonts w:ascii="Arial" w:hAnsi="Arial" w:eastAsia="Arial"/>
                <w:b w:val="0"/>
                <w:sz w:val="16"/>
              </w:rPr>
              <w:t>In-process cache</w:t>
            </w:r>
          </w:p>
        </w:tc>
        <w:tc>
          <w:tcPr>
            <w:tcW w:type="dxa" w:w="2045"/>
            <w:vAlign w:val="top"/>
          </w:tcPr>
          <w:p>
            <w:pPr>
              <w:spacing w:after="0"/>
            </w:pPr>
            <w:r/>
            <w:r>
              <w:rPr>
                <w:rFonts w:ascii="Arial" w:hAnsi="Arial" w:eastAsia="Arial"/>
                <w:b w:val="0"/>
                <w:sz w:val="16"/>
              </w:rPr>
              <w:t>Minutes</w:t>
            </w:r>
          </w:p>
        </w:tc>
        <w:tc>
          <w:tcPr>
            <w:tcW w:type="dxa" w:w="2045"/>
            <w:vAlign w:val="top"/>
          </w:tcPr>
          <w:p>
            <w:pPr>
              <w:spacing w:after="0"/>
            </w:pPr>
            <w:r/>
            <w:r>
              <w:rPr>
                <w:rFonts w:ascii="Arial" w:hAnsi="Arial" w:eastAsia="Arial"/>
                <w:b w:val="0"/>
                <w:sz w:val="16"/>
              </w:rPr>
              <w:t>Reduces router overhead</w:t>
            </w:r>
          </w:p>
        </w:tc>
        <w:tc>
          <w:tcPr>
            <w:tcW w:type="dxa" w:w="2045"/>
            <w:vAlign w:val="top"/>
          </w:tcPr>
          <w:p>
            <w:pPr>
              <w:spacing w:after="0"/>
            </w:pPr>
            <w:r/>
            <w:r>
              <w:rPr>
                <w:rFonts w:ascii="Arial" w:hAnsi="Arial" w:eastAsia="Arial"/>
                <w:b w:val="0"/>
                <w:sz w:val="16"/>
              </w:rPr>
              <w:t>Wrong domain if the session changes</w:t>
            </w:r>
          </w:p>
        </w:tc>
      </w:tr>
      <w:tr>
        <w:tc>
          <w:tcPr>
            <w:tcW w:type="dxa" w:w="2045"/>
            <w:vAlign w:val="top"/>
          </w:tcPr>
          <w:p>
            <w:pPr>
              <w:spacing w:after="0"/>
            </w:pPr>
            <w:r/>
            <w:r>
              <w:rPr>
                <w:rFonts w:ascii="Arial" w:hAnsi="Arial" w:eastAsia="Arial"/>
                <w:b w:val="0"/>
                <w:sz w:val="16"/>
              </w:rPr>
              <w:t>Model weights</w:t>
            </w:r>
          </w:p>
        </w:tc>
        <w:tc>
          <w:tcPr>
            <w:tcW w:type="dxa" w:w="2045"/>
            <w:vAlign w:val="top"/>
          </w:tcPr>
          <w:p>
            <w:pPr>
              <w:spacing w:after="0"/>
            </w:pPr>
            <w:r/>
            <w:r>
              <w:rPr>
                <w:rFonts w:ascii="Arial" w:hAnsi="Arial" w:eastAsia="Arial"/>
                <w:b w:val="0"/>
                <w:sz w:val="16"/>
              </w:rPr>
              <w:t>GPU memory</w:t>
            </w:r>
          </w:p>
        </w:tc>
        <w:tc>
          <w:tcPr>
            <w:tcW w:type="dxa" w:w="2045"/>
            <w:vAlign w:val="top"/>
          </w:tcPr>
          <w:p>
            <w:pPr>
              <w:spacing w:after="0"/>
            </w:pPr>
            <w:r/>
            <w:r>
              <w:rPr>
                <w:rFonts w:ascii="Arial" w:hAnsi="Arial" w:eastAsia="Arial"/>
                <w:b w:val="0"/>
                <w:sz w:val="16"/>
              </w:rPr>
              <w:t>Loaded until deployment changes</w:t>
            </w:r>
          </w:p>
        </w:tc>
        <w:tc>
          <w:tcPr>
            <w:tcW w:type="dxa" w:w="2045"/>
            <w:vAlign w:val="top"/>
          </w:tcPr>
          <w:p>
            <w:pPr>
              <w:spacing w:after="0"/>
            </w:pPr>
            <w:r/>
            <w:r>
              <w:rPr>
                <w:rFonts w:ascii="Arial" w:hAnsi="Arial" w:eastAsia="Arial"/>
                <w:b w:val="0"/>
                <w:sz w:val="16"/>
              </w:rPr>
              <w:t>Avoids cold start</w:t>
            </w:r>
          </w:p>
        </w:tc>
        <w:tc>
          <w:tcPr>
            <w:tcW w:type="dxa" w:w="2045"/>
            <w:vAlign w:val="top"/>
          </w:tcPr>
          <w:p>
            <w:pPr>
              <w:spacing w:after="0"/>
            </w:pPr>
            <w:r/>
            <w:r>
              <w:rPr>
                <w:rFonts w:ascii="Arial" w:hAnsi="Arial" w:eastAsia="Arial"/>
                <w:b w:val="0"/>
                <w:sz w:val="16"/>
              </w:rPr>
              <w:t>GPU memory limits how many models can stay loaded</w:t>
            </w:r>
          </w:p>
        </w:tc>
      </w:tr>
    </w:tbl>
    <w:p/>
    <w:p>
      <w:pPr>
        <w:spacing w:after="100"/>
      </w:pPr>
      <w:r>
        <w:t>Context management. For live voice, the system should use short utterance-level context, such as the previous speaker turn, detected domain, named entities, and room-specific glossary. Long transcripts should not be sent into the real-time translation path. Longer context can be used asynchronously for quality analytics, transcript correction, and building future adaptation datasets.</w:t>
      </w:r>
    </w:p>
    <w:p>
      <w:pPr>
        <w:pStyle w:val="Heading1"/>
      </w:pPr>
      <w:r>
        <w:t>6. Quality, Observability, and Release Controls</w:t>
      </w:r>
    </w:p>
    <w:p>
      <w:pPr>
        <w:spacing w:after="100"/>
      </w:pPr>
      <w:r>
        <w:t>Preventing quality degradation. Every model release should pass offline benchmarks, a domain terminology test suite, latency and load testing, and a canary rollout. Canary traffic should compare old and new outputs using BLEU or COMET-like scoring when references are available, terminology preservation, language detection consistency, and sampled human review for safety-critical phrases.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rFonts w:ascii="Arial" w:hAnsi="Arial" w:eastAsia="Arial"/>
                <w:b/>
                <w:sz w:val="16"/>
              </w:rPr>
              <w:t>Metric</w:t>
            </w:r>
          </w:p>
        </w:tc>
        <w:tc>
          <w:tcPr>
            <w:tcW w:type="dxa" w:w="3408"/>
            <w:vAlign w:val="top"/>
            <w:shd w:fill="D9EAF7"/>
          </w:tcPr>
          <w:p>
            <w:pPr>
              <w:spacing w:after="0"/>
            </w:pPr>
            <w:r/>
            <w:r>
              <w:rPr>
                <w:rFonts w:ascii="Arial" w:hAnsi="Arial" w:eastAsia="Arial"/>
                <w:b/>
                <w:sz w:val="16"/>
              </w:rPr>
              <w:t>Alert trigger</w:t>
            </w:r>
          </w:p>
        </w:tc>
        <w:tc>
          <w:tcPr>
            <w:tcW w:type="dxa" w:w="3408"/>
            <w:vAlign w:val="top"/>
            <w:shd w:fill="D9EAF7"/>
          </w:tcPr>
          <w:p>
            <w:pPr>
              <w:spacing w:after="0"/>
            </w:pPr>
            <w:r/>
            <w:r>
              <w:rPr>
                <w:rFonts w:ascii="Arial" w:hAnsi="Arial" w:eastAsia="Arial"/>
                <w:b/>
                <w:sz w:val="16"/>
              </w:rPr>
              <w:t>Why it matters</w:t>
            </w:r>
          </w:p>
        </w:tc>
      </w:tr>
      <w:tr>
        <w:tc>
          <w:tcPr>
            <w:tcW w:type="dxa" w:w="3408"/>
            <w:vAlign w:val="top"/>
          </w:tcPr>
          <w:p>
            <w:pPr>
              <w:spacing w:after="0"/>
            </w:pPr>
            <w:r/>
            <w:r>
              <w:rPr>
                <w:rFonts w:ascii="Arial" w:hAnsi="Arial" w:eastAsia="Arial"/>
                <w:b w:val="0"/>
                <w:sz w:val="16"/>
              </w:rPr>
              <w:t>NMT p99 latency</w:t>
            </w:r>
          </w:p>
        </w:tc>
        <w:tc>
          <w:tcPr>
            <w:tcW w:type="dxa" w:w="3408"/>
            <w:vAlign w:val="top"/>
          </w:tcPr>
          <w:p>
            <w:pPr>
              <w:spacing w:after="0"/>
            </w:pPr>
            <w:r/>
            <w:r>
              <w:rPr>
                <w:rFonts w:ascii="Arial" w:hAnsi="Arial" w:eastAsia="Arial"/>
                <w:b w:val="0"/>
                <w:sz w:val="16"/>
              </w:rPr>
              <w:t>&gt;120ms warning, &gt;150ms critical</w:t>
            </w:r>
          </w:p>
        </w:tc>
        <w:tc>
          <w:tcPr>
            <w:tcW w:type="dxa" w:w="3408"/>
            <w:vAlign w:val="top"/>
          </w:tcPr>
          <w:p>
            <w:pPr>
              <w:spacing w:after="0"/>
            </w:pPr>
            <w:r/>
            <w:r>
              <w:rPr>
                <w:rFonts w:ascii="Arial" w:hAnsi="Arial" w:eastAsia="Arial"/>
                <w:b w:val="0"/>
                <w:sz w:val="16"/>
              </w:rPr>
              <w:t>Protects the end-to-end &lt;500ms SLA</w:t>
            </w:r>
          </w:p>
        </w:tc>
      </w:tr>
      <w:tr>
        <w:tc>
          <w:tcPr>
            <w:tcW w:type="dxa" w:w="3408"/>
            <w:vAlign w:val="top"/>
          </w:tcPr>
          <w:p>
            <w:pPr>
              <w:spacing w:after="0"/>
            </w:pPr>
            <w:r/>
            <w:r>
              <w:rPr>
                <w:rFonts w:ascii="Arial" w:hAnsi="Arial" w:eastAsia="Arial"/>
                <w:b w:val="0"/>
                <w:sz w:val="16"/>
              </w:rPr>
              <w:t>Queue delay p99</w:t>
            </w:r>
          </w:p>
        </w:tc>
        <w:tc>
          <w:tcPr>
            <w:tcW w:type="dxa" w:w="3408"/>
            <w:vAlign w:val="top"/>
          </w:tcPr>
          <w:p>
            <w:pPr>
              <w:spacing w:after="0"/>
            </w:pPr>
            <w:r/>
            <w:r>
              <w:rPr>
                <w:rFonts w:ascii="Arial" w:hAnsi="Arial" w:eastAsia="Arial"/>
                <w:b w:val="0"/>
                <w:sz w:val="16"/>
              </w:rPr>
              <w:t>&gt;20ms warning</w:t>
            </w:r>
          </w:p>
        </w:tc>
        <w:tc>
          <w:tcPr>
            <w:tcW w:type="dxa" w:w="3408"/>
            <w:vAlign w:val="top"/>
          </w:tcPr>
          <w:p>
            <w:pPr>
              <w:spacing w:after="0"/>
            </w:pPr>
            <w:r/>
            <w:r>
              <w:rPr>
                <w:rFonts w:ascii="Arial" w:hAnsi="Arial" w:eastAsia="Arial"/>
                <w:b w:val="0"/>
                <w:sz w:val="16"/>
              </w:rPr>
              <w:t>Early sign of capacity failure</w:t>
            </w:r>
          </w:p>
        </w:tc>
      </w:tr>
      <w:tr>
        <w:tc>
          <w:tcPr>
            <w:tcW w:type="dxa" w:w="3408"/>
            <w:vAlign w:val="top"/>
          </w:tcPr>
          <w:p>
            <w:pPr>
              <w:spacing w:after="0"/>
            </w:pPr>
            <w:r/>
            <w:r>
              <w:rPr>
                <w:rFonts w:ascii="Arial" w:hAnsi="Arial" w:eastAsia="Arial"/>
                <w:b w:val="0"/>
                <w:sz w:val="16"/>
              </w:rPr>
              <w:t>Cache hit rate</w:t>
            </w:r>
          </w:p>
        </w:tc>
        <w:tc>
          <w:tcPr>
            <w:tcW w:type="dxa" w:w="3408"/>
            <w:vAlign w:val="top"/>
          </w:tcPr>
          <w:p>
            <w:pPr>
              <w:spacing w:after="0"/>
            </w:pPr>
            <w:r/>
            <w:r>
              <w:rPr>
                <w:rFonts w:ascii="Arial" w:hAnsi="Arial" w:eastAsia="Arial"/>
                <w:b w:val="0"/>
                <w:sz w:val="16"/>
              </w:rPr>
              <w:t>Sudden drop &gt;20%</w:t>
            </w:r>
          </w:p>
        </w:tc>
        <w:tc>
          <w:tcPr>
            <w:tcW w:type="dxa" w:w="3408"/>
            <w:vAlign w:val="top"/>
          </w:tcPr>
          <w:p>
            <w:pPr>
              <w:spacing w:after="0"/>
            </w:pPr>
            <w:r/>
            <w:r>
              <w:rPr>
                <w:rFonts w:ascii="Arial" w:hAnsi="Arial" w:eastAsia="Arial"/>
                <w:b w:val="0"/>
                <w:sz w:val="16"/>
              </w:rPr>
              <w:t>Increases both cost and latency</w:t>
            </w:r>
          </w:p>
        </w:tc>
      </w:tr>
      <w:tr>
        <w:tc>
          <w:tcPr>
            <w:tcW w:type="dxa" w:w="3408"/>
            <w:vAlign w:val="top"/>
          </w:tcPr>
          <w:p>
            <w:pPr>
              <w:spacing w:after="0"/>
            </w:pPr>
            <w:r/>
            <w:r>
              <w:rPr>
                <w:rFonts w:ascii="Arial" w:hAnsi="Arial" w:eastAsia="Arial"/>
                <w:b w:val="0"/>
                <w:sz w:val="16"/>
              </w:rPr>
              <w:t>Terminology accuracy</w:t>
            </w:r>
          </w:p>
        </w:tc>
        <w:tc>
          <w:tcPr>
            <w:tcW w:type="dxa" w:w="3408"/>
            <w:vAlign w:val="top"/>
          </w:tcPr>
          <w:p>
            <w:pPr>
              <w:spacing w:after="0"/>
            </w:pPr>
            <w:r/>
            <w:r>
              <w:rPr>
                <w:rFonts w:ascii="Arial" w:hAnsi="Arial" w:eastAsia="Arial"/>
                <w:b w:val="0"/>
                <w:sz w:val="16"/>
              </w:rPr>
              <w:t>Regression versus baseline</w:t>
            </w:r>
          </w:p>
        </w:tc>
        <w:tc>
          <w:tcPr>
            <w:tcW w:type="dxa" w:w="3408"/>
            <w:vAlign w:val="top"/>
          </w:tcPr>
          <w:p>
            <w:pPr>
              <w:spacing w:after="0"/>
            </w:pPr>
            <w:r/>
            <w:r>
              <w:rPr>
                <w:rFonts w:ascii="Arial" w:hAnsi="Arial" w:eastAsia="Arial"/>
                <w:b w:val="0"/>
                <w:sz w:val="16"/>
              </w:rPr>
              <w:t>Catches domain failures that BLEU may hide</w:t>
            </w:r>
          </w:p>
        </w:tc>
      </w:tr>
      <w:tr>
        <w:tc>
          <w:tcPr>
            <w:tcW w:type="dxa" w:w="3408"/>
            <w:vAlign w:val="top"/>
          </w:tcPr>
          <w:p>
            <w:pPr>
              <w:spacing w:after="0"/>
            </w:pPr>
            <w:r/>
            <w:r>
              <w:rPr>
                <w:rFonts w:ascii="Arial" w:hAnsi="Arial" w:eastAsia="Arial"/>
                <w:b w:val="0"/>
                <w:sz w:val="16"/>
              </w:rPr>
              <w:t>Language mismatch rate</w:t>
            </w:r>
          </w:p>
        </w:tc>
        <w:tc>
          <w:tcPr>
            <w:tcW w:type="dxa" w:w="3408"/>
            <w:vAlign w:val="top"/>
          </w:tcPr>
          <w:p>
            <w:pPr>
              <w:spacing w:after="0"/>
            </w:pPr>
            <w:r/>
            <w:r>
              <w:rPr>
                <w:rFonts w:ascii="Arial" w:hAnsi="Arial" w:eastAsia="Arial"/>
                <w:b w:val="0"/>
                <w:sz w:val="16"/>
              </w:rPr>
              <w:t>Any sustained increase</w:t>
            </w:r>
          </w:p>
        </w:tc>
        <w:tc>
          <w:tcPr>
            <w:tcW w:type="dxa" w:w="3408"/>
            <w:vAlign w:val="top"/>
          </w:tcPr>
          <w:p>
            <w:pPr>
              <w:spacing w:after="0"/>
            </w:pPr>
            <w:r/>
            <w:r>
              <w:rPr>
                <w:rFonts w:ascii="Arial" w:hAnsi="Arial" w:eastAsia="Arial"/>
                <w:b w:val="0"/>
                <w:sz w:val="16"/>
              </w:rPr>
              <w:t>Detects wrong routing or hallucinated target language</w:t>
            </w:r>
          </w:p>
        </w:tc>
      </w:tr>
      <w:tr>
        <w:tc>
          <w:tcPr>
            <w:tcW w:type="dxa" w:w="3408"/>
            <w:vAlign w:val="top"/>
          </w:tcPr>
          <w:p>
            <w:pPr>
              <w:spacing w:after="0"/>
            </w:pPr>
            <w:r/>
            <w:r>
              <w:rPr>
                <w:rFonts w:ascii="Arial" w:hAnsi="Arial" w:eastAsia="Arial"/>
                <w:b w:val="0"/>
                <w:sz w:val="16"/>
              </w:rPr>
              <w:t>GPU utilization / OOM</w:t>
            </w:r>
          </w:p>
        </w:tc>
        <w:tc>
          <w:tcPr>
            <w:tcW w:type="dxa" w:w="3408"/>
            <w:vAlign w:val="top"/>
          </w:tcPr>
          <w:p>
            <w:pPr>
              <w:spacing w:after="0"/>
            </w:pPr>
            <w:r/>
            <w:r>
              <w:rPr>
                <w:rFonts w:ascii="Arial" w:hAnsi="Arial" w:eastAsia="Arial"/>
                <w:b w:val="0"/>
                <w:sz w:val="16"/>
              </w:rPr>
              <w:t>&gt;80% sustained or any OOM event</w:t>
            </w:r>
          </w:p>
        </w:tc>
        <w:tc>
          <w:tcPr>
            <w:tcW w:type="dxa" w:w="3408"/>
            <w:vAlign w:val="top"/>
          </w:tcPr>
          <w:p>
            <w:pPr>
              <w:spacing w:after="0"/>
            </w:pPr>
            <w:r/>
            <w:r>
              <w:rPr>
                <w:rFonts w:ascii="Arial" w:hAnsi="Arial" w:eastAsia="Arial"/>
                <w:b w:val="0"/>
                <w:sz w:val="16"/>
              </w:rPr>
              <w:t>Shows capacity and reliability risk</w:t>
            </w:r>
          </w:p>
        </w:tc>
      </w:tr>
      <w:tr>
        <w:tc>
          <w:tcPr>
            <w:tcW w:type="dxa" w:w="3408"/>
            <w:vAlign w:val="top"/>
          </w:tcPr>
          <w:p>
            <w:pPr>
              <w:spacing w:after="0"/>
            </w:pPr>
            <w:r/>
            <w:r>
              <w:rPr>
                <w:rFonts w:ascii="Arial" w:hAnsi="Arial" w:eastAsia="Arial"/>
                <w:b w:val="0"/>
                <w:sz w:val="16"/>
              </w:rPr>
              <w:t>Fallback rate</w:t>
            </w:r>
          </w:p>
        </w:tc>
        <w:tc>
          <w:tcPr>
            <w:tcW w:type="dxa" w:w="3408"/>
            <w:vAlign w:val="top"/>
          </w:tcPr>
          <w:p>
            <w:pPr>
              <w:spacing w:after="0"/>
            </w:pPr>
            <w:r/>
            <w:r>
              <w:rPr>
                <w:rFonts w:ascii="Arial" w:hAnsi="Arial" w:eastAsia="Arial"/>
                <w:b w:val="0"/>
                <w:sz w:val="16"/>
              </w:rPr>
              <w:t>Spike above baseline</w:t>
            </w:r>
          </w:p>
        </w:tc>
        <w:tc>
          <w:tcPr>
            <w:tcW w:type="dxa" w:w="3408"/>
            <w:vAlign w:val="top"/>
          </w:tcPr>
          <w:p>
            <w:pPr>
              <w:spacing w:after="0"/>
            </w:pPr>
            <w:r/>
            <w:r>
              <w:rPr>
                <w:rFonts w:ascii="Arial" w:hAnsi="Arial" w:eastAsia="Arial"/>
                <w:b w:val="0"/>
                <w:sz w:val="16"/>
              </w:rPr>
              <w:t>Can indicate model health issues or traffic distribution changes</w:t>
            </w:r>
          </w:p>
        </w:tc>
      </w:tr>
    </w:tbl>
    <w:p/>
    <w:p>
      <w:pPr>
        <w:pStyle w:val="Heading1"/>
      </w:pPr>
      <w:r>
        <w:t>7. Team and Operations</w:t>
      </w:r>
    </w:p>
    <w:p>
      <w:pPr>
        <w:spacing w:after="100"/>
      </w:pPr>
      <w:r>
        <w:t>Operational ownership. Daily operation should not require PhD-level ML staff. Platform engineers should own Kubernetes and GPU serving, autoscaling, cache, dashboards, and rollback. ML engineers should own model evaluation, adaptation data, quantization, and release gates. Domain experts should review critical terminology and help decide safety-sensitive translations.</w:t>
      </w:r>
    </w:p>
    <w:p>
      <w:pPr>
        <w:spacing w:after="100"/>
      </w:pPr>
      <w:r>
        <w:t>Zero-downtime updates. Models should be deployed as versioned artifacts with blue/green or canary routing. The new model should be loaded into a warm worker pool before traffic is shifted. The prior model should stay active for immediate rollback. Cache keys must include model and glossary versions so stale translations are not reused across releases.</w:t>
      </w:r>
    </w:p>
    <w:p>
      <w:pPr>
        <w:spacing w:after="100"/>
      </w:pPr>
      <w:r>
        <w:t>Failure scenarios. If GPU workers fail, the system should route traffic to another replica or degrade to a smaller fallback model with a clear quality flag. If latency exceeds the SLA, the system can reduce beam size, disable noncritical retrieval, lower the maximum batch wait, and shed optional analytics. If quality metrics regress, the canary rollout should stop and the model or glossary version should roll back. If a rare language pair performs poorly, it should route to the multilingual fallback and be marked for offline evaluation.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pPr>
              <w:spacing w:after="0"/>
            </w:pPr>
            <w:r/>
            <w:r>
              <w:rPr>
                <w:rFonts w:ascii="Arial" w:hAnsi="Arial" w:eastAsia="Arial"/>
                <w:b/>
                <w:sz w:val="16"/>
              </w:rPr>
              <w:t>Tradeoff</w:t>
            </w:r>
          </w:p>
        </w:tc>
        <w:tc>
          <w:tcPr>
            <w:tcW w:type="dxa" w:w="3408"/>
            <w:vAlign w:val="top"/>
            <w:shd w:fill="D9EAF7"/>
          </w:tcPr>
          <w:p>
            <w:pPr>
              <w:spacing w:after="0"/>
            </w:pPr>
            <w:r/>
            <w:r>
              <w:rPr>
                <w:rFonts w:ascii="Arial" w:hAnsi="Arial" w:eastAsia="Arial"/>
                <w:b/>
                <w:sz w:val="16"/>
              </w:rPr>
              <w:t>Decision</w:t>
            </w:r>
          </w:p>
        </w:tc>
        <w:tc>
          <w:tcPr>
            <w:tcW w:type="dxa" w:w="3408"/>
            <w:vAlign w:val="top"/>
            <w:shd w:fill="D9EAF7"/>
          </w:tcPr>
          <w:p>
            <w:pPr>
              <w:spacing w:after="0"/>
            </w:pPr>
            <w:r/>
            <w:r>
              <w:rPr>
                <w:rFonts w:ascii="Arial" w:hAnsi="Arial" w:eastAsia="Arial"/>
                <w:b/>
                <w:sz w:val="16"/>
              </w:rPr>
              <w:t>Rationale</w:t>
            </w:r>
          </w:p>
        </w:tc>
      </w:tr>
      <w:tr>
        <w:tc>
          <w:tcPr>
            <w:tcW w:type="dxa" w:w="3408"/>
            <w:vAlign w:val="top"/>
          </w:tcPr>
          <w:p>
            <w:pPr>
              <w:spacing w:after="0"/>
            </w:pPr>
            <w:r/>
            <w:r>
              <w:rPr>
                <w:rFonts w:ascii="Arial" w:hAnsi="Arial" w:eastAsia="Arial"/>
                <w:b w:val="0"/>
                <w:sz w:val="16"/>
              </w:rPr>
              <w:t>Speed vs accuracy</w:t>
            </w:r>
          </w:p>
        </w:tc>
        <w:tc>
          <w:tcPr>
            <w:tcW w:type="dxa" w:w="3408"/>
            <w:vAlign w:val="top"/>
          </w:tcPr>
          <w:p>
            <w:pPr>
              <w:spacing w:after="0"/>
            </w:pPr>
            <w:r/>
            <w:r>
              <w:rPr>
                <w:rFonts w:ascii="Arial" w:hAnsi="Arial" w:eastAsia="Arial"/>
                <w:b w:val="0"/>
                <w:sz w:val="16"/>
              </w:rPr>
              <w:t>Default INT8 distilled model + domain adapters</w:t>
            </w:r>
          </w:p>
        </w:tc>
        <w:tc>
          <w:tcPr>
            <w:tcW w:type="dxa" w:w="3408"/>
            <w:vAlign w:val="top"/>
          </w:tcPr>
          <w:p>
            <w:pPr>
              <w:spacing w:after="0"/>
            </w:pPr>
            <w:r/>
            <w:r>
              <w:rPr>
                <w:rFonts w:ascii="Arial" w:hAnsi="Arial" w:eastAsia="Arial"/>
                <w:b w:val="0"/>
                <w:sz w:val="16"/>
              </w:rPr>
              <w:t>Meets the real-time SLA while keeping a path for domain quality</w:t>
            </w:r>
          </w:p>
        </w:tc>
      </w:tr>
      <w:tr>
        <w:tc>
          <w:tcPr>
            <w:tcW w:type="dxa" w:w="3408"/>
            <w:vAlign w:val="top"/>
          </w:tcPr>
          <w:p>
            <w:pPr>
              <w:spacing w:after="0"/>
            </w:pPr>
            <w:r/>
            <w:r>
              <w:rPr>
                <w:rFonts w:ascii="Arial" w:hAnsi="Arial" w:eastAsia="Arial"/>
                <w:b w:val="0"/>
                <w:sz w:val="16"/>
              </w:rPr>
              <w:t>Cost vs complexity</w:t>
            </w:r>
          </w:p>
        </w:tc>
        <w:tc>
          <w:tcPr>
            <w:tcW w:type="dxa" w:w="3408"/>
            <w:vAlign w:val="top"/>
          </w:tcPr>
          <w:p>
            <w:pPr>
              <w:spacing w:after="0"/>
            </w:pPr>
            <w:r/>
            <w:r>
              <w:rPr>
                <w:rFonts w:ascii="Arial" w:hAnsi="Arial" w:eastAsia="Arial"/>
                <w:b w:val="0"/>
                <w:sz w:val="16"/>
              </w:rPr>
              <w:t>CTranslate2 first, TensorRT later</w:t>
            </w:r>
          </w:p>
        </w:tc>
        <w:tc>
          <w:tcPr>
            <w:tcW w:type="dxa" w:w="3408"/>
            <w:vAlign w:val="top"/>
          </w:tcPr>
          <w:p>
            <w:pPr>
              <w:spacing w:after="0"/>
            </w:pPr>
            <w:r/>
            <w:r>
              <w:rPr>
                <w:rFonts w:ascii="Arial" w:hAnsi="Arial" w:eastAsia="Arial"/>
                <w:b w:val="0"/>
                <w:sz w:val="16"/>
              </w:rPr>
              <w:t>Start simple, then optimize further when traffic justifies the engineering cost</w:t>
            </w:r>
          </w:p>
        </w:tc>
      </w:tr>
      <w:tr>
        <w:tc>
          <w:tcPr>
            <w:tcW w:type="dxa" w:w="3408"/>
            <w:vAlign w:val="top"/>
          </w:tcPr>
          <w:p>
            <w:pPr>
              <w:spacing w:after="0"/>
            </w:pPr>
            <w:r/>
            <w:r>
              <w:rPr>
                <w:rFonts w:ascii="Arial" w:hAnsi="Arial" w:eastAsia="Arial"/>
                <w:b w:val="0"/>
                <w:sz w:val="16"/>
              </w:rPr>
              <w:t>Coverage vs specialization</w:t>
            </w:r>
          </w:p>
        </w:tc>
        <w:tc>
          <w:tcPr>
            <w:tcW w:type="dxa" w:w="3408"/>
            <w:vAlign w:val="top"/>
          </w:tcPr>
          <w:p>
            <w:pPr>
              <w:spacing w:after="0"/>
            </w:pPr>
            <w:r/>
            <w:r>
              <w:rPr>
                <w:rFonts w:ascii="Arial" w:hAnsi="Arial" w:eastAsia="Arial"/>
                <w:b w:val="0"/>
                <w:sz w:val="16"/>
              </w:rPr>
              <w:t>Multilingual fallback + specialized high-volume pairs</w:t>
            </w:r>
          </w:p>
        </w:tc>
        <w:tc>
          <w:tcPr>
            <w:tcW w:type="dxa" w:w="3408"/>
            <w:vAlign w:val="top"/>
          </w:tcPr>
          <w:p>
            <w:pPr>
              <w:spacing w:after="0"/>
            </w:pPr>
            <w:r/>
            <w:r>
              <w:rPr>
                <w:rFonts w:ascii="Arial" w:hAnsi="Arial" w:eastAsia="Arial"/>
                <w:b w:val="0"/>
                <w:sz w:val="16"/>
              </w:rPr>
              <w:t>Supports 200+ pairs without tuning every language pair at the start</w:t>
            </w:r>
          </w:p>
        </w:tc>
      </w:tr>
      <w:tr>
        <w:tc>
          <w:tcPr>
            <w:tcW w:type="dxa" w:w="3408"/>
            <w:vAlign w:val="top"/>
          </w:tcPr>
          <w:p>
            <w:pPr>
              <w:spacing w:after="0"/>
            </w:pPr>
            <w:r/>
            <w:r>
              <w:rPr>
                <w:rFonts w:ascii="Arial" w:hAnsi="Arial" w:eastAsia="Arial"/>
                <w:b w:val="0"/>
                <w:sz w:val="16"/>
              </w:rPr>
              <w:t>Caching vs correctness</w:t>
            </w:r>
          </w:p>
        </w:tc>
        <w:tc>
          <w:tcPr>
            <w:tcW w:type="dxa" w:w="3408"/>
            <w:vAlign w:val="top"/>
          </w:tcPr>
          <w:p>
            <w:pPr>
              <w:spacing w:after="0"/>
            </w:pPr>
            <w:r/>
            <w:r>
              <w:rPr>
                <w:rFonts w:ascii="Arial" w:hAnsi="Arial" w:eastAsia="Arial"/>
                <w:b w:val="0"/>
                <w:sz w:val="16"/>
              </w:rPr>
              <w:t>Versioned phrase and terminology cache only</w:t>
            </w:r>
          </w:p>
        </w:tc>
        <w:tc>
          <w:tcPr>
            <w:tcW w:type="dxa" w:w="3408"/>
            <w:vAlign w:val="top"/>
          </w:tcPr>
          <w:p>
            <w:pPr>
              <w:spacing w:after="0"/>
            </w:pPr>
            <w:r/>
            <w:r>
              <w:rPr>
                <w:rFonts w:ascii="Arial" w:hAnsi="Arial" w:eastAsia="Arial"/>
                <w:b w:val="0"/>
                <w:sz w:val="16"/>
              </w:rPr>
              <w:t>Improves cost and latency while reducing context-related errors</w:t>
            </w:r>
          </w:p>
        </w:tc>
      </w:tr>
      <w:tr>
        <w:tc>
          <w:tcPr>
            <w:tcW w:type="dxa" w:w="3408"/>
            <w:vAlign w:val="top"/>
          </w:tcPr>
          <w:p>
            <w:pPr>
              <w:spacing w:after="0"/>
            </w:pPr>
            <w:r/>
            <w:r>
              <w:rPr>
                <w:rFonts w:ascii="Arial" w:hAnsi="Arial" w:eastAsia="Arial"/>
                <w:b w:val="0"/>
                <w:sz w:val="16"/>
              </w:rPr>
              <w:t>Automation vs safety</w:t>
            </w:r>
          </w:p>
        </w:tc>
        <w:tc>
          <w:tcPr>
            <w:tcW w:type="dxa" w:w="3408"/>
            <w:vAlign w:val="top"/>
          </w:tcPr>
          <w:p>
            <w:pPr>
              <w:spacing w:after="0"/>
            </w:pPr>
            <w:r/>
            <w:r>
              <w:rPr>
                <w:rFonts w:ascii="Arial" w:hAnsi="Arial" w:eastAsia="Arial"/>
                <w:b w:val="0"/>
                <w:sz w:val="16"/>
              </w:rPr>
              <w:t>Automated gates + human review for critical terms</w:t>
            </w:r>
          </w:p>
        </w:tc>
        <w:tc>
          <w:tcPr>
            <w:tcW w:type="dxa" w:w="3408"/>
            <w:vAlign w:val="top"/>
          </w:tcPr>
          <w:p>
            <w:pPr>
              <w:spacing w:after="0"/>
            </w:pPr>
            <w:r/>
            <w:r>
              <w:rPr>
                <w:rFonts w:ascii="Arial" w:hAnsi="Arial" w:eastAsia="Arial"/>
                <w:b w:val="0"/>
                <w:sz w:val="16"/>
              </w:rPr>
              <w:t>Healthcare cannot rely only on aggregate metrics</w:t>
            </w:r>
          </w:p>
        </w:tc>
      </w:tr>
    </w:tbl>
    <w:p/>
    <w:p>
      <w:pPr>
        <w:spacing w:after="100"/>
      </w:pPr>
      <w:r>
        <w:t>Final recommendation. Ship Phase 1 with CTranslate2 INT8/FP16 multilingual NMT, Redis-backed phrase and glossary caching, domain-aware routing, and strict observability. In parallel, build measured domain adaptation for the top language and domain pairs. For Phase 2, scale by sharding GPU workers by language pair and routing policy, instead of sending all traffic through one large generic model.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