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spacing w:before="0" w:after="1600" w:line="276" w:lineRule="auto"/>
      </w:pPr>
    </w:p>
    <w:p>
      <w:pPr>
        <w:jc w:val="center"/>
        <w:spacing w:before="0" w:after="200" w:line="276" w:lineRule="auto"/>
      </w:pPr>
      <w:r>
        <w:rPr>
          <w:rFonts w:ascii="Calibri" w:hAnsi="Calibri"/>
          <w:b/>
          <w:color w:val="09B850"/>
          <w:sz w:val="22"/>
          <w:szCs w:val="22"/>
        </w:rPr>
        <w:t xml:space="preserve">VÉRIF'ALL</w:t>
      </w:r>
    </w:p>
    <w:p>
      <w:pPr>
        <w:spacing w:before="0" w:after="140" w:line="276" w:lineRule="auto"/>
      </w:pPr>
      <w:r>
        <w:rPr>
          <w:rFonts w:ascii="Calibri" w:hAnsi="Calibri"/>
          <w:b/>
          <w:color w:val="067A35"/>
          <w:sz w:val="60"/>
          <w:szCs w:val="60"/>
        </w:rPr>
        <w:t xml:space="preserve">Programme de communication,
de visibilité et de contenu</w:t>
      </w:r>
    </w:p>
    <w:p>
      <w:pPr>
        <w:jc w:val="center"/>
        <w:spacing w:before="0" w:after="600" w:line="276" w:lineRule="auto"/>
      </w:pPr>
      <w:r>
        <w:rPr>
          <w:rFonts w:ascii="Calibri" w:hAnsi="Calibri"/>
          <w:color w:val="46584F"/>
          <w:sz w:val="26"/>
          <w:szCs w:val="26"/>
        </w:rPr>
        <w:t xml:space="preserve">Devenir la référence du fact-checking en Afrique de l'Ouest francophone</w:t>
      </w:r>
    </w:p>
    <w:p>
      <w:pPr>
        <w:jc w:val="center"/>
        <w:spacing w:before="0" w:after="1400" w:line="276" w:lineRule="auto"/>
      </w:pPr>
      <w:r>
        <w:rPr>
          <w:rFonts w:ascii="Calibri" w:hAnsi="Calibri"/>
          <w:color w:val="7A8C83"/>
          <w:sz w:val="22"/>
          <w:szCs w:val="22"/>
        </w:rPr>
        <w:t xml:space="preserve">Stratégie · Ligne éditoriale · Calendrier sur douze mois</w:t>
      </w:r>
    </w:p>
    <w:p>
      <w:pPr>
        <w:jc w:val="center"/>
        <w:spacing w:before="0" w:after="200" w:line="276" w:lineRule="auto"/>
      </w:pPr>
      <w:r>
        <w:rPr>
          <w:rFonts w:ascii="Calibri" w:hAnsi="Calibri"/>
          <w:i/>
          <w:color w:val="067A35"/>
          <w:sz w:val="22"/>
          <w:szCs w:val="22"/>
        </w:rPr>
        <w:t xml:space="preserve">La boussole contre la désinformation numérique</w:t>
      </w:r>
    </w:p>
    <w:p>
      <w:pPr>
        <w:jc w:val="center"/>
        <w:spacing w:before="0" w:after="120" w:line="276" w:lineRule="auto"/>
      </w:pPr>
      <w:r>
        <w:rPr>
          <w:rFonts w:ascii="Calibri" w:hAnsi="Calibri"/>
          <w:color w:val="7A8C83"/>
          <w:sz w:val="20"/>
          <w:szCs w:val="20"/>
        </w:rPr>
        <w:t xml:space="preserve">Cotonou, Bénin</w:t>
      </w:r>
    </w:p>
    <w:p>
      <w:r>
        <w:br w:type="page"/>
      </w:r>
    </w:p>
    <w:p>
      <w:pPr>
        <w:spacing w:before="360" w:after="140" w:line="276" w:lineRule="auto"/>
      </w:pPr>
      <w:r>
        <w:rPr>
          <w:rFonts w:ascii="Calibri" w:hAnsi="Calibri"/>
          <w:b/>
          <w:color w:val="067A35"/>
          <w:sz w:val="36"/>
          <w:szCs w:val="36"/>
        </w:rPr>
        <w:t xml:space="preserve">Ce document en une page</w:t>
      </w:r>
    </w:p>
    <w:p>
      <w:pPr>
        <w:spacing w:before="0" w:after="120" w:line="276" w:lineRule="auto"/>
      </w:pPr>
      <w:r>
        <w:rPr>
          <w:rFonts w:ascii="Calibri" w:hAnsi="Calibri"/>
        </w:rPr>
        <w:t xml:space="preserve">Vérif'All n'a pas besoin de se faire connaître comme « un site de plus qui vérifie l'information ». Il a besoin d'occuper une place que personne n'occupe encore dans la région : celle de l'organisation qui </w:t>
      </w:r>
      <w:r>
        <w:rPr>
          <w:rFonts w:ascii="Calibri" w:hAnsi="Calibri"/>
          <w:b/>
        </w:rPr>
        <w:t xml:space="preserve">dit ce qu'elle ne sait pas</w:t>
      </w:r>
      <w:r>
        <w:rPr>
          <w:rFonts w:ascii="Calibri" w:hAnsi="Calibri"/>
        </w:rPr>
        <w:t xml:space="preserve">.</w:t>
      </w:r>
    </w:p>
    <w:p>
      <w:pPr>
        <w:spacing w:before="0" w:after="120" w:line="276" w:lineRule="auto"/>
      </w:pPr>
      <w:r>
        <w:rPr>
          <w:rFonts w:ascii="Calibri" w:hAnsi="Calibri"/>
        </w:rPr>
        <w:t xml:space="preserve">Toute la stratégie qui suit découle de trois constats, et chacun est vérifiable dans le produit tel qu'il existe aujourd'hui.</w:t>
      </w:r>
    </w:p>
    <w:tbl>
      <w:tblPr>
        <w:tblW w:w="9360" w:type="dxa"/>
        <w:tblBorders>
          <w:top w:val="single" w:sz="4" w:space="0" w:color="9BE0B8"/>
          <w:left w:val="single" w:sz="18" w:space="0" w:color="09B850"/>
          <w:bottom w:val="single" w:sz="4" w:space="0" w:color="9BE0B8"/>
          <w:right w:val="single" w:sz="4" w:space="0" w:color="9BE0B8"/>
        </w:tblBorders>
      </w:tblPr>
      <w:tr>
        <w:tc>
          <w:tcPr>
            <w:tcW w:w="9360" w:type="dxa"/>
            <w:shd w:val="clear" w:fill="F4FBF7"/>
            <w:tcMar>
              <w:top w:w="160" w:type="dxa"/>
              <w:bottom w:w="160" w:type="dxa"/>
              <w:left w:w="200" w:type="dxa"/>
              <w:right w:w="200" w:type="dxa"/>
            </w:tcMar>
          </w:tcPr>
          <w:p>
            <w:pPr>
              <w:spacing w:before="0" w:after="80" w:line="276" w:lineRule="auto"/>
            </w:pPr>
            <w:r>
              <w:rPr>
                <w:rFonts w:ascii="Calibri" w:hAnsi="Calibri"/>
                <w:b/>
                <w:color w:val="067A35"/>
                <w:sz w:val="22"/>
                <w:szCs w:val="22"/>
              </w:rPr>
              <w:t xml:space="preserve">Les trois constats qui commandent tout le reste</w:t>
            </w:r>
          </w:p>
          <w:p>
            <w:pPr>
              <w:spacing w:before="0" w:after="80" w:line="276" w:lineRule="auto"/>
            </w:pPr>
            <w:r>
              <w:rPr>
                <w:rFonts w:ascii="Calibri" w:hAnsi="Calibri"/>
                <w:b/>
                <w:sz w:val="20"/>
                <w:szCs w:val="20"/>
              </w:rPr>
              <w:t xml:space="preserve">1. La rumeur voyage sur WhatsApp. Le démenti doit emprunter la même route.</w:t>
            </w:r>
            <w:r>
              <w:rPr>
                <w:rFonts w:ascii="Calibri" w:hAnsi="Calibri"/>
                <w:sz w:val="20"/>
                <w:szCs w:val="20"/>
              </w:rPr>
              <w:t xml:space="preserve"> Une publication sur un site que personne ne visite ne corrige rien. Le produit le dit déjà à ses utilisateurs, sur la page de rapport : « Un démenti ne circule que si quelqu'un le partage. Renvoyez ce rapport à qui vous a transmis la rumeur. » La communication ne fait qu'industrialiser cette phrase.</w:t>
            </w:r>
          </w:p>
          <w:p>
            <w:pPr>
              <w:spacing w:before="0" w:after="80" w:line="276" w:lineRule="auto"/>
            </w:pPr>
            <w:r>
              <w:rPr>
                <w:rFonts w:ascii="Calibri" w:hAnsi="Calibri"/>
                <w:b/>
                <w:sz w:val="20"/>
                <w:szCs w:val="20"/>
              </w:rPr>
              <w:t xml:space="preserve">2. Notre différence n'est pas de vérifier mieux. C'est de refuser de conclure quand rien ne le permet.</w:t>
            </w:r>
            <w:r>
              <w:rPr>
                <w:rFonts w:ascii="Calibri" w:hAnsi="Calibri"/>
                <w:sz w:val="20"/>
                <w:szCs w:val="20"/>
              </w:rPr>
              <w:t xml:space="preserve"> « Non vérifiable » est l'un des quatre verdicts, et c'est un résultat, jamais un échec. Aucun concurrent n'a intérêt à communiquer là-dessus. Nous, si : c'est exactement ce qui rend les trois autres verdicts croyables.</w:t>
            </w:r>
          </w:p>
          <w:p>
            <w:pPr>
              <w:spacing w:before="0" w:after="80" w:line="276" w:lineRule="auto"/>
            </w:pPr>
            <w:r>
              <w:rPr>
                <w:rFonts w:ascii="Calibri" w:hAnsi="Calibri"/>
                <w:b/>
                <w:sz w:val="20"/>
                <w:szCs w:val="20"/>
              </w:rPr>
              <w:t xml:space="preserve">3. Quatre piliers, quatre portes d'entrée, un seul bâtiment.</w:t>
            </w:r>
            <w:r>
              <w:rPr>
                <w:rFonts w:ascii="Calibri" w:hAnsi="Calibri"/>
                <w:sz w:val="20"/>
                <w:szCs w:val="20"/>
              </w:rPr>
              <w:t xml:space="preserve"> Le fact-checking donne l'autorité. L'Académie fabrique des relais. Le Hub d'opportunités apporte le trafic récurrent. Le forum crée l'attachement. Aucun ne fonctionne seul ; ensemble, ils font qu'on revient.</w:t>
            </w:r>
          </w:p>
        </w:tc>
      </w:tr>
    </w:tbl>
    <w:p>
      <w:pPr>
        <w:spacing w:before="0" w:after="160" w:line="276" w:lineRule="auto"/>
      </w:pPr>
    </w:p>
    <w:p>
      <w:pPr>
        <w:spacing w:before="200" w:after="120" w:line="276" w:lineRule="auto"/>
      </w:pPr>
      <w:r>
        <w:rPr>
          <w:rFonts w:ascii="Calibri" w:hAnsi="Calibri"/>
          <w:b/>
        </w:rPr>
        <w:t xml:space="preserve">Ce que ce programme vise, en douze mois :</w:t>
      </w:r>
    </w:p>
    <w:p>
      <w:pPr>
        <w:numPr>
          <w:ilvl w:val="0"/>
          <w:numId w:val="1"/>
        </w:numPr>
        <w:spacing w:before="0" w:after="120" w:line="276" w:lineRule="auto"/>
      </w:pPr>
      <w:r>
        <w:rPr>
          <w:rFonts w:ascii="Calibri" w:hAnsi="Calibri"/>
        </w:rPr>
        <w:t xml:space="preserve">Faire de Vérif'All le réflexe des Béninois devant une information douteuse — c'est-à-dire le nom qui vient à l'esprit avant même d'ouvrir un navigateur.</w:t>
      </w:r>
    </w:p>
    <w:p>
      <w:pPr>
        <w:numPr>
          <w:ilvl w:val="0"/>
          <w:numId w:val="1"/>
        </w:numPr>
        <w:spacing w:before="0" w:after="120" w:line="276" w:lineRule="auto"/>
      </w:pPr>
      <w:r>
        <w:rPr>
          <w:rFonts w:ascii="Calibri" w:hAnsi="Calibri"/>
        </w:rPr>
        <w:t xml:space="preserve">Obtenir l'accréditation IFCN, qui n'est pas un trophée mais une porte : elle conditionne les partenariats avec Meta et Google.</w:t>
      </w:r>
    </w:p>
    <w:p>
      <w:pPr>
        <w:numPr>
          <w:ilvl w:val="0"/>
          <w:numId w:val="1"/>
        </w:numPr>
        <w:spacing w:before="0" w:after="120" w:line="276" w:lineRule="auto"/>
      </w:pPr>
      <w:r>
        <w:rPr>
          <w:rFonts w:ascii="Calibri" w:hAnsi="Calibri"/>
        </w:rPr>
        <w:t xml:space="preserve">Constituer un réseau d'ambassadeurs formés par notre propre Académie, capables de corriger dans leurs groupes sans nous attendre.</w:t>
      </w:r>
    </w:p>
    <w:p>
      <w:pPr>
        <w:numPr>
          <w:ilvl w:val="0"/>
          <w:numId w:val="1"/>
        </w:numPr>
        <w:spacing w:before="0" w:after="120" w:line="276" w:lineRule="auto"/>
      </w:pPr>
      <w:r>
        <w:rPr>
          <w:rFonts w:ascii="Calibri" w:hAnsi="Calibri"/>
        </w:rPr>
        <w:t xml:space="preserve">Ouvrir la tipline WhatsApp, aujourd'hui construite mais désactivée, et en faire le premier canal d'entrée des signalements.</w:t>
      </w:r>
    </w:p>
    <w:p>
      <w:r>
        <w:br w:type="page"/>
      </w:r>
    </w:p>
    <w:p>
      <w:pPr>
        <w:spacing w:before="360" w:after="140" w:line="276" w:lineRule="auto"/>
      </w:pPr>
      <w:r>
        <w:rPr>
          <w:rFonts w:ascii="Calibri" w:hAnsi="Calibri"/>
          <w:b/>
          <w:color w:val="067A35"/>
          <w:sz w:val="36"/>
          <w:szCs w:val="36"/>
        </w:rPr>
        <w:t xml:space="preserve">1. Le point de départ, sans flatterie</w:t>
      </w:r>
    </w:p>
    <w:p>
      <w:pPr>
        <w:spacing w:before="0" w:after="120" w:line="276" w:lineRule="auto"/>
      </w:pPr>
      <w:r>
        <w:rPr>
          <w:rFonts w:ascii="Calibri" w:hAnsi="Calibri"/>
        </w:rPr>
        <w:t xml:space="preserve">Un plan de communication qui surestime son produit produit des promesses que le produit ne tient pas, et la déception coûte plus cher que le silence. Voici donc l'état réel.</w:t>
      </w:r>
    </w:p>
    <w:p>
      <w:pPr>
        <w:spacing w:before="280" w:after="140" w:line="276" w:lineRule="auto"/>
      </w:pPr>
      <w:r>
        <w:rPr>
          <w:rFonts w:ascii="Calibri" w:hAnsi="Calibri"/>
          <w:b/>
          <w:color w:val="0E1A14"/>
          <w:sz w:val="28"/>
          <w:szCs w:val="28"/>
        </w:rPr>
        <w:t xml:space="preserve">Ce qui est solide</w:t>
      </w:r>
    </w:p>
    <w:p>
      <w:pPr>
        <w:numPr>
          <w:ilvl w:val="0"/>
          <w:numId w:val="1"/>
        </w:numPr>
        <w:spacing w:before="0" w:after="120" w:line="276" w:lineRule="auto"/>
      </w:pPr>
      <w:r>
        <w:rPr>
          <w:rFonts w:ascii="Calibri" w:hAnsi="Calibri"/>
          <w:b/>
        </w:rPr>
        <w:t xml:space="preserve">Une méthodologie publiée et opposable.</w:t>
      </w:r>
      <w:r>
        <w:rPr>
          <w:rFonts w:ascii="Calibri" w:hAnsi="Calibri"/>
        </w:rPr>
        <w:t xml:space="preserve"> Six étapes, toujours les mêmes, le poids de chaque moteur d'analyse, les seuils. Une page publique les expose. Très peu d'organisations de la région en font autant.</w:t>
      </w:r>
    </w:p>
    <w:p>
      <w:pPr>
        <w:numPr>
          <w:ilvl w:val="0"/>
          <w:numId w:val="1"/>
        </w:numPr>
        <w:spacing w:before="0" w:after="120" w:line="276" w:lineRule="auto"/>
      </w:pPr>
      <w:r>
        <w:rPr>
          <w:rFonts w:ascii="Calibri" w:hAnsi="Calibri"/>
          <w:b/>
        </w:rPr>
        <w:t xml:space="preserve">Trois limites reconnues par écrit</w:t>
      </w:r>
      <w:r>
        <w:rPr>
          <w:rFonts w:ascii="Calibri" w:hAnsi="Calibri"/>
        </w:rPr>
        <w:t xml:space="preserve"> : nous ne détectons pas l'hypertrucage vidéo, nous ne nous prononçons pas sur l'origine d'un texte, nous ne datons pas la première apparition d'une image. C'est notre meilleur argument, et la section suivante explique pourquoi.</w:t>
      </w:r>
    </w:p>
    <w:p>
      <w:pPr>
        <w:numPr>
          <w:ilvl w:val="0"/>
          <w:numId w:val="1"/>
        </w:numPr>
        <w:spacing w:before="0" w:after="120" w:line="276" w:lineRule="auto"/>
      </w:pPr>
      <w:r>
        <w:rPr>
          <w:rFonts w:ascii="Calibri" w:hAnsi="Calibri"/>
          <w:b/>
        </w:rPr>
        <w:t xml:space="preserve">Un balisage ClaimReview fonctionnel</w:t>
      </w:r>
      <w:r>
        <w:rPr>
          <w:rFonts w:ascii="Calibri" w:hAnsi="Calibri"/>
        </w:rPr>
        <w:t xml:space="preserve">, qui fait apparaître nos verdicts directement dans les résultats de recherche Google.</w:t>
      </w:r>
    </w:p>
    <w:p>
      <w:pPr>
        <w:numPr>
          <w:ilvl w:val="0"/>
          <w:numId w:val="1"/>
        </w:numPr>
        <w:spacing w:before="0" w:after="120" w:line="276" w:lineRule="auto"/>
      </w:pPr>
      <w:r>
        <w:rPr>
          <w:rFonts w:ascii="Calibri" w:hAnsi="Calibri"/>
          <w:b/>
        </w:rPr>
        <w:t xml:space="preserve">Une Académie, un forum, un Hub et un répertoire d'outils OSINT</w:t>
      </w:r>
      <w:r>
        <w:rPr>
          <w:rFonts w:ascii="Calibri" w:hAnsi="Calibri"/>
        </w:rPr>
        <w:t xml:space="preserve"> déjà en ligne. Peu de plateformes de fact-checking offrent autant de raisons de revenir entre deux rumeurs.</w:t>
      </w:r>
    </w:p>
    <w:p>
      <w:pPr>
        <w:spacing w:before="280" w:after="140" w:line="276" w:lineRule="auto"/>
      </w:pPr>
      <w:r>
        <w:rPr>
          <w:rFonts w:ascii="Calibri" w:hAnsi="Calibri"/>
          <w:b/>
          <w:color w:val="0E1A14"/>
          <w:sz w:val="28"/>
          <w:szCs w:val="28"/>
        </w:rPr>
        <w:t xml:space="preserve">Ce qui n'est pas prêt, et qu'il faut savoir avant de communiquer</w:t>
      </w:r>
    </w:p>
    <w:p>
      <w:pPr>
        <w:numPr>
          <w:ilvl w:val="0"/>
          <w:numId w:val="1"/>
        </w:numPr>
        <w:spacing w:before="0" w:after="120" w:line="276" w:lineRule="auto"/>
      </w:pPr>
      <w:r>
        <w:rPr>
          <w:rFonts w:ascii="Calibri" w:hAnsi="Calibri"/>
          <w:b/>
        </w:rPr>
        <w:t xml:space="preserve">Les moteurs d'analyse tournent en mode simulé</w:t>
      </w:r>
      <w:r>
        <w:rPr>
          <w:rFonts w:ascii="Calibri" w:hAnsi="Calibri"/>
        </w:rPr>
        <w:t xml:space="preserve"> tant qu'aucune clé de service tiers n'est configurée. La page de méthodologie le dit explicitement. Communiquer sur « l'intelligence artificielle de Vérif'All » avant la bascule serait une promesse invérifiable — exactement ce que nous reprochons aux autres.</w:t>
      </w:r>
    </w:p>
    <w:p>
      <w:pPr>
        <w:numPr>
          <w:ilvl w:val="0"/>
          <w:numId w:val="1"/>
        </w:numPr>
        <w:spacing w:before="0" w:after="120" w:line="276" w:lineRule="auto"/>
      </w:pPr>
      <w:r>
        <w:rPr>
          <w:rFonts w:ascii="Calibri" w:hAnsi="Calibri"/>
          <w:b/>
        </w:rPr>
        <w:t xml:space="preserve">La tipline WhatsApp est construite mais désactivée</w:t>
      </w:r>
      <w:r>
        <w:rPr>
          <w:rFonts w:ascii="Calibri" w:hAnsi="Calibri"/>
        </w:rPr>
        <w:t xml:space="preserve">, faute d'accès à l'API Business. C'est le chantier le plus rentable du programme : voir le calendrier, premier trimestre.</w:t>
      </w:r>
    </w:p>
    <w:p>
      <w:pPr>
        <w:numPr>
          <w:ilvl w:val="0"/>
          <w:numId w:val="1"/>
        </w:numPr>
        <w:spacing w:before="0" w:after="120" w:line="276" w:lineRule="auto"/>
      </w:pPr>
      <w:r>
        <w:rPr>
          <w:rFonts w:ascii="Calibri" w:hAnsi="Calibri"/>
          <w:b/>
        </w:rPr>
        <w:t xml:space="preserve">L'accréditation IFCN n'est pas demandée.</w:t>
      </w:r>
      <w:r>
        <w:rPr>
          <w:rFonts w:ascii="Calibri" w:hAnsi="Calibri"/>
        </w:rPr>
        <w:t xml:space="preserve"> Sans elle, pas de partenariat de vérification avec Meta, pas d'intégration au programme de Google. Le dossier se prépare, il ne s'improvise pas.</w:t>
      </w:r>
    </w:p>
    <w:p>
      <w:pPr>
        <w:numPr>
          <w:ilvl w:val="0"/>
          <w:numId w:val="1"/>
        </w:numPr>
        <w:spacing w:before="0" w:after="120" w:line="276" w:lineRule="auto"/>
      </w:pPr>
      <w:r>
        <w:rPr>
          <w:rFonts w:ascii="Calibri" w:hAnsi="Calibri"/>
          <w:b/>
        </w:rPr>
        <w:t xml:space="preserve">La version anglaise du site n'est pas indexable en l'état</w:t>
      </w:r>
      <w:r>
        <w:rPr>
          <w:rFonts w:ascii="Calibri" w:hAnsi="Calibri"/>
        </w:rPr>
        <w:t xml:space="preserve"> : la langue vit en session et non dans l'URL, or un robot explore sans cookie. C'est une décision d'architecture à prendre </w:t>
      </w:r>
      <w:r>
        <w:rPr>
          <w:rFonts w:ascii="Calibri" w:hAnsi="Calibri"/>
          <w:b/>
        </w:rPr>
        <w:t xml:space="preserve">avant</w:t>
      </w:r>
      <w:r>
        <w:rPr>
          <w:rFonts w:ascii="Calibri" w:hAnsi="Calibri"/>
        </w:rPr>
        <w:t xml:space="preserve"> toute campagne visant l'audience anglophone régionale.</w:t>
      </w:r>
    </w:p>
    <w:p>
      <w:r>
        <w:br w:type="page"/>
      </w:r>
    </w:p>
    <w:p>
      <w:pPr>
        <w:spacing w:before="360" w:after="140" w:line="276" w:lineRule="auto"/>
      </w:pPr>
      <w:r>
        <w:rPr>
          <w:rFonts w:ascii="Calibri" w:hAnsi="Calibri"/>
          <w:b/>
          <w:color w:val="067A35"/>
          <w:sz w:val="36"/>
          <w:szCs w:val="36"/>
        </w:rPr>
        <w:t xml:space="preserve">2. Le positionnement : l'organisation qui dit ce qu'elle ne sait pas</w:t>
      </w:r>
    </w:p>
    <w:p>
      <w:pPr>
        <w:spacing w:before="0" w:after="120" w:line="276" w:lineRule="auto"/>
      </w:pPr>
      <w:r>
        <w:rPr>
          <w:rFonts w:ascii="Calibri" w:hAnsi="Calibri"/>
        </w:rPr>
        <w:t xml:space="preserve">Le marché de la vérification est encombré de promesses. Des outils annoncent détecter les hypertrucages, dater les images, reconnaître un texte écrit par une machine. Presque aucun ne tient ces promesses de façon fiable, et personne ne le vérifie.</w:t>
      </w:r>
    </w:p>
    <w:p>
      <w:pPr>
        <w:spacing w:before="0" w:after="120" w:line="276" w:lineRule="auto"/>
      </w:pPr>
      <w:r>
        <w:rPr>
          <w:rFonts w:ascii="Calibri" w:hAnsi="Calibri"/>
        </w:rPr>
        <w:t xml:space="preserve">Vérif'All prend le chemin inverse, et c'est un choix de positionnement autant qu'un choix technique.</w:t>
      </w:r>
    </w:p>
    <w:tbl>
      <w:tblPr>
        <w:tblW w:w="9360" w:type="dxa"/>
        <w:tblBorders>
          <w:top w:val="single" w:sz="4" w:space="0" w:color="9BE0B8"/>
          <w:left w:val="single" w:sz="18" w:space="0" w:color="09B850"/>
          <w:bottom w:val="single" w:sz="4" w:space="0" w:color="9BE0B8"/>
          <w:right w:val="single" w:sz="4" w:space="0" w:color="9BE0B8"/>
        </w:tblBorders>
      </w:tblPr>
      <w:tr>
        <w:tc>
          <w:tcPr>
            <w:tcW w:w="9360" w:type="dxa"/>
            <w:shd w:val="clear" w:fill="F4FBF7"/>
            <w:tcMar>
              <w:top w:w="160" w:type="dxa"/>
              <w:bottom w:w="160" w:type="dxa"/>
              <w:left w:w="200" w:type="dxa"/>
              <w:right w:w="200" w:type="dxa"/>
            </w:tcMar>
          </w:tcPr>
          <w:p>
            <w:pPr>
              <w:spacing w:before="0" w:after="80" w:line="276" w:lineRule="auto"/>
            </w:pPr>
            <w:r>
              <w:rPr>
                <w:rFonts w:ascii="Calibri" w:hAnsi="Calibri"/>
                <w:b/>
                <w:color w:val="067A35"/>
                <w:sz w:val="22"/>
                <w:szCs w:val="22"/>
              </w:rPr>
              <w:t xml:space="preserve">La phrase qui porte tout le positionnement</w:t>
            </w:r>
          </w:p>
          <w:p>
            <w:pPr>
              <w:spacing w:before="0" w:after="80" w:line="276" w:lineRule="auto"/>
            </w:pPr>
            <w:r>
              <w:rPr>
                <w:rFonts w:ascii="Calibri" w:hAnsi="Calibri"/>
                <w:sz w:val="20"/>
                <w:szCs w:val="20"/>
              </w:rPr>
              <w:t xml:space="preserve">« Ce qu'on ne mesure pas, on ne l'affiche pas. Voici les trois limites que nous nous connaissons, écrites plutôt que laissées à deviner, parce qu'un blanc se lit comme un feu vert. »</w:t>
            </w:r>
          </w:p>
          <w:p>
            <w:pPr>
              <w:spacing w:before="0" w:after="80" w:line="276" w:lineRule="auto"/>
            </w:pPr>
            <w:r>
              <w:rPr>
                <w:rFonts w:ascii="Calibri" w:hAnsi="Calibri"/>
                <w:sz w:val="20"/>
                <w:szCs w:val="20"/>
              </w:rPr>
              <w:t xml:space="preserve">Elle est déjà sur le site, sur la page de méthodologie. Elle devient le cœur de notre communication.</w:t>
            </w:r>
          </w:p>
        </w:tc>
      </w:tr>
    </w:tbl>
    <w:p>
      <w:pPr>
        <w:spacing w:before="0" w:after="160" w:line="276" w:lineRule="auto"/>
      </w:pPr>
    </w:p>
    <w:p>
      <w:pPr>
        <w:spacing w:before="280" w:after="140" w:line="276" w:lineRule="auto"/>
      </w:pPr>
      <w:r>
        <w:rPr>
          <w:rFonts w:ascii="Calibri" w:hAnsi="Calibri"/>
          <w:b/>
          <w:color w:val="0E1A14"/>
          <w:sz w:val="28"/>
          <w:szCs w:val="28"/>
        </w:rPr>
        <w:t xml:space="preserve">Pourquoi avouer ses limites est le meilleur argument commercial</w:t>
      </w:r>
    </w:p>
    <w:p>
      <w:pPr>
        <w:spacing w:before="0" w:after="120" w:line="276" w:lineRule="auto"/>
      </w:pPr>
      <w:r>
        <w:rPr>
          <w:rFonts w:ascii="Calibri" w:hAnsi="Calibri"/>
        </w:rPr>
        <w:t xml:space="preserve">Une organisation qui annonce tout savoir faire n'est croyable sur rien : le lecteur n'a aucun moyen de distinguer ce qu'elle maîtrise de ce qu'elle prétend. Une organisation qui nomme trois choses qu'elle ne sait pas faire rend </w:t>
      </w:r>
      <w:r>
        <w:rPr>
          <w:rFonts w:ascii="Calibri" w:hAnsi="Calibri"/>
          <w:b/>
        </w:rPr>
        <w:t xml:space="preserve">tout le reste vérifiable par différence</w:t>
      </w:r>
      <w:r>
        <w:rPr>
          <w:rFonts w:ascii="Calibri" w:hAnsi="Calibri"/>
        </w:rPr>
        <w:t xml:space="preserve">.</w:t>
      </w:r>
    </w:p>
    <w:p>
      <w:pPr>
        <w:spacing w:before="0" w:after="120" w:line="276" w:lineRule="auto"/>
      </w:pPr>
      <w:r>
        <w:rPr>
          <w:rFonts w:ascii="Calibri" w:hAnsi="Calibri"/>
        </w:rPr>
        <w:t xml:space="preserve">Le même raisonnement vaut pour le verdict « non vérifiable ». Un système qui tranche toujours est un système qui devine parfois. En refusant de conclure quand les preuves manquent, nous rendons nos trois autres verdicts dignes de foi. C'est contre-intuitif en communication, et c'est précisément pour cela que personne d'autre ne le dit.</w:t>
      </w:r>
    </w:p>
    <w:p>
      <w:pPr>
        <w:spacing w:before="280" w:after="140" w:line="276" w:lineRule="auto"/>
      </w:pPr>
      <w:r>
        <w:rPr>
          <w:rFonts w:ascii="Calibri" w:hAnsi="Calibri"/>
          <w:b/>
          <w:color w:val="0E1A14"/>
          <w:sz w:val="28"/>
          <w:szCs w:val="28"/>
        </w:rPr>
        <w:t xml:space="preserve">Les quatre verdicts, et le mot qu'il ne faut jamais employer</w:t>
      </w:r>
    </w:p>
    <w:tbl>
      <w:tblPr>
        <w:tblW w:w="9360" w:type="dxa"/>
        <w:tblBorders>
          <w:top w:val="single" w:sz="4" w:space="0" w:color="D8E0DB"/>
          <w:left w:val="single" w:sz="4" w:space="0" w:color="D8E0DB"/>
          <w:bottom w:val="single" w:sz="4" w:space="0" w:color="D8E0DB"/>
          <w:right w:val="single" w:sz="4" w:space="0" w:color="D8E0DB"/>
          <w:insideH w:val="single" w:sz="4" w:space="0" w:color="D8E0DB"/>
          <w:insideV w:val="single" w:sz="4" w:space="0" w:color="D8E0DB"/>
        </w:tblBorders>
        <w:tblLayout w:type="fixed"/>
      </w:tblPr>
      <w:tr>
        <w:trPr>
          <w:tblHeader/>
        </w:trPr>
        <w:tc>
          <w:tcPr>
            <w:tcW w:w="1700" w:type="dxa"/>
            <w:shd w:val="clear" w:fill="EAF9F0"/>
            <w:tcMar>
              <w:top w:w="80" w:type="dxa"/>
              <w:bottom w:w="80" w:type="dxa"/>
              <w:left w:w="120" w:type="dxa"/>
              <w:right w:w="120" w:type="dxa"/>
            </w:tcMar>
          </w:tcPr>
          <w:p>
            <w:pPr>
              <w:spacing w:before="0" w:after="0" w:line="276" w:lineRule="auto"/>
            </w:pPr>
            <w:r>
              <w:rPr>
                <w:rFonts w:ascii="Calibri" w:hAnsi="Calibri"/>
                <w:b/>
                <w:color w:val="067A35"/>
                <w:sz w:val="18"/>
                <w:szCs w:val="18"/>
              </w:rPr>
              <w:t xml:space="preserve">Verdict</w:t>
            </w:r>
          </w:p>
        </w:tc>
        <w:tc>
          <w:tcPr>
            <w:tcW w:w="3400" w:type="dxa"/>
            <w:shd w:val="clear" w:fill="EAF9F0"/>
            <w:tcMar>
              <w:top w:w="80" w:type="dxa"/>
              <w:bottom w:w="80" w:type="dxa"/>
              <w:left w:w="120" w:type="dxa"/>
              <w:right w:w="120" w:type="dxa"/>
            </w:tcMar>
          </w:tcPr>
          <w:p>
            <w:pPr>
              <w:spacing w:before="0" w:after="0" w:line="276" w:lineRule="auto"/>
            </w:pPr>
            <w:r>
              <w:rPr>
                <w:rFonts w:ascii="Calibri" w:hAnsi="Calibri"/>
                <w:b/>
                <w:color w:val="067A35"/>
                <w:sz w:val="18"/>
                <w:szCs w:val="18"/>
              </w:rPr>
              <w:t xml:space="preserve">Ce qu'il affirme</w:t>
            </w:r>
          </w:p>
        </w:tc>
        <w:tc>
          <w:tcPr>
            <w:tcW w:w="4260" w:type="dxa"/>
            <w:shd w:val="clear" w:fill="EAF9F0"/>
            <w:tcMar>
              <w:top w:w="80" w:type="dxa"/>
              <w:bottom w:w="80" w:type="dxa"/>
              <w:left w:w="120" w:type="dxa"/>
              <w:right w:w="120" w:type="dxa"/>
            </w:tcMar>
          </w:tcPr>
          <w:p>
            <w:pPr>
              <w:spacing w:before="0" w:after="0" w:line="276" w:lineRule="auto"/>
            </w:pPr>
            <w:r>
              <w:rPr>
                <w:rFonts w:ascii="Calibri" w:hAnsi="Calibri"/>
                <w:b/>
                <w:color w:val="067A35"/>
                <w:sz w:val="18"/>
                <w:szCs w:val="18"/>
              </w:rPr>
              <w:t xml:space="preserve">Erreur de langage à proscrire</w:t>
            </w:r>
          </w:p>
        </w:tc>
      </w:tr>
      <w:tr>
        <w:tc>
          <w:tcPr>
            <w:tcW w:w="1700" w:type="dxa"/>
            <w:tcMar>
              <w:top w:w="80" w:type="dxa"/>
              <w:bottom w:w="80" w:type="dxa"/>
              <w:left w:w="120" w:type="dxa"/>
              <w:right w:w="120" w:type="dxa"/>
            </w:tcMar>
          </w:tcPr>
          <w:p>
            <w:pPr>
              <w:spacing w:before="0" w:after="0" w:line="276" w:lineRule="auto"/>
            </w:pPr>
            <w:r>
              <w:rPr>
                <w:rFonts w:ascii="Calibri" w:hAnsi="Calibri"/>
                <w:sz w:val="18"/>
                <w:szCs w:val="18"/>
              </w:rPr>
              <w:t xml:space="preserve">VRAI</w:t>
            </w:r>
          </w:p>
        </w:tc>
        <w:tc>
          <w:tcPr>
            <w:tcW w:w="3400" w:type="dxa"/>
            <w:tcMar>
              <w:top w:w="80" w:type="dxa"/>
              <w:bottom w:w="80" w:type="dxa"/>
              <w:left w:w="120" w:type="dxa"/>
              <w:right w:w="120" w:type="dxa"/>
            </w:tcMar>
          </w:tcPr>
          <w:p>
            <w:pPr>
              <w:spacing w:before="0" w:after="0" w:line="276" w:lineRule="auto"/>
            </w:pPr>
            <w:r>
              <w:rPr>
                <w:rFonts w:ascii="Calibri" w:hAnsi="Calibri"/>
                <w:sz w:val="18"/>
                <w:szCs w:val="18"/>
              </w:rPr>
              <w:t xml:space="preserve">Des sources concordantes confirment l'affirmation.</w:t>
            </w:r>
          </w:p>
        </w:tc>
        <w:tc>
          <w:tcPr>
            <w:tcW w:w="4260" w:type="dxa"/>
            <w:tcMar>
              <w:top w:w="80" w:type="dxa"/>
              <w:bottom w:w="80" w:type="dxa"/>
              <w:left w:w="120" w:type="dxa"/>
              <w:right w:w="120" w:type="dxa"/>
            </w:tcMar>
          </w:tcPr>
          <w:p>
            <w:pPr>
              <w:spacing w:before="0" w:after="0" w:line="276" w:lineRule="auto"/>
            </w:pPr>
            <w:r>
              <w:rPr>
                <w:rFonts w:ascii="Calibri" w:hAnsi="Calibri"/>
                <w:sz w:val="18"/>
                <w:szCs w:val="18"/>
              </w:rPr>
              <w:t xml:space="preserve">« Prouvé », « certifié » — nous confirmons, nous ne certifions pas.</w:t>
            </w:r>
          </w:p>
        </w:tc>
      </w:tr>
      <w:tr>
        <w:tc>
          <w:tcPr>
            <w:tcW w:w="1700" w:type="dxa"/>
            <w:tcMar>
              <w:top w:w="80" w:type="dxa"/>
              <w:bottom w:w="80" w:type="dxa"/>
              <w:left w:w="120" w:type="dxa"/>
              <w:right w:w="120" w:type="dxa"/>
            </w:tcMar>
          </w:tcPr>
          <w:p>
            <w:pPr>
              <w:spacing w:before="0" w:after="0" w:line="276" w:lineRule="auto"/>
            </w:pPr>
            <w:r>
              <w:rPr>
                <w:rFonts w:ascii="Calibri" w:hAnsi="Calibri"/>
                <w:sz w:val="18"/>
                <w:szCs w:val="18"/>
              </w:rPr>
              <w:t xml:space="preserve">FAUX</w:t>
            </w:r>
          </w:p>
        </w:tc>
        <w:tc>
          <w:tcPr>
            <w:tcW w:w="3400" w:type="dxa"/>
            <w:tcMar>
              <w:top w:w="80" w:type="dxa"/>
              <w:bottom w:w="80" w:type="dxa"/>
              <w:left w:w="120" w:type="dxa"/>
              <w:right w:w="120" w:type="dxa"/>
            </w:tcMar>
          </w:tcPr>
          <w:p>
            <w:pPr>
              <w:spacing w:before="0" w:after="0" w:line="276" w:lineRule="auto"/>
            </w:pPr>
            <w:r>
              <w:rPr>
                <w:rFonts w:ascii="Calibri" w:hAnsi="Calibri"/>
                <w:sz w:val="18"/>
                <w:szCs w:val="18"/>
              </w:rPr>
              <w:t xml:space="preserve">Les sources contredisent l'affirmation.</w:t>
            </w:r>
          </w:p>
        </w:tc>
        <w:tc>
          <w:tcPr>
            <w:tcW w:w="4260" w:type="dxa"/>
            <w:tcMar>
              <w:top w:w="80" w:type="dxa"/>
              <w:bottom w:w="80" w:type="dxa"/>
              <w:left w:w="120" w:type="dxa"/>
              <w:right w:w="120" w:type="dxa"/>
            </w:tcMar>
          </w:tcPr>
          <w:p>
            <w:pPr>
              <w:spacing w:before="0" w:after="0" w:line="276" w:lineRule="auto"/>
            </w:pPr>
            <w:r>
              <w:rPr>
                <w:rFonts w:ascii="Calibri" w:hAnsi="Calibri"/>
                <w:sz w:val="18"/>
                <w:szCs w:val="18"/>
              </w:rPr>
              <w:t xml:space="preserve">« Fake news » — le terme est politisé, il fait perdre le lecteur qu'on veut convaincre.</w:t>
            </w:r>
          </w:p>
        </w:tc>
      </w:tr>
      <w:tr>
        <w:tc>
          <w:tcPr>
            <w:tcW w:w="1700" w:type="dxa"/>
            <w:tcMar>
              <w:top w:w="80" w:type="dxa"/>
              <w:bottom w:w="80" w:type="dxa"/>
              <w:left w:w="120" w:type="dxa"/>
              <w:right w:w="120" w:type="dxa"/>
            </w:tcMar>
          </w:tcPr>
          <w:p>
            <w:pPr>
              <w:spacing w:before="0" w:after="0" w:line="276" w:lineRule="auto"/>
            </w:pPr>
            <w:r>
              <w:rPr>
                <w:rFonts w:ascii="Calibri" w:hAnsi="Calibri"/>
                <w:sz w:val="18"/>
                <w:szCs w:val="18"/>
              </w:rPr>
              <w:t xml:space="preserve">TROMPEUR</w:t>
            </w:r>
          </w:p>
        </w:tc>
        <w:tc>
          <w:tcPr>
            <w:tcW w:w="3400" w:type="dxa"/>
            <w:tcMar>
              <w:top w:w="80" w:type="dxa"/>
              <w:bottom w:w="80" w:type="dxa"/>
              <w:left w:w="120" w:type="dxa"/>
              <w:right w:w="120" w:type="dxa"/>
            </w:tcMar>
          </w:tcPr>
          <w:p>
            <w:pPr>
              <w:spacing w:before="0" w:after="0" w:line="276" w:lineRule="auto"/>
            </w:pPr>
            <w:r>
              <w:rPr>
                <w:rFonts w:ascii="Calibri" w:hAnsi="Calibri"/>
                <w:sz w:val="18"/>
                <w:szCs w:val="18"/>
              </w:rPr>
              <w:t xml:space="preserve">Des éléments exacts, présentés de façon à induire en erreur.</w:t>
            </w:r>
          </w:p>
        </w:tc>
        <w:tc>
          <w:tcPr>
            <w:tcW w:w="4260" w:type="dxa"/>
            <w:tcMar>
              <w:top w:w="80" w:type="dxa"/>
              <w:bottom w:w="80" w:type="dxa"/>
              <w:left w:w="120" w:type="dxa"/>
              <w:right w:w="120" w:type="dxa"/>
            </w:tcMar>
          </w:tcPr>
          <w:p>
            <w:pPr>
              <w:spacing w:before="0" w:after="0" w:line="276" w:lineRule="auto"/>
            </w:pPr>
            <w:r>
              <w:rPr>
                <w:rFonts w:ascii="Calibri" w:hAnsi="Calibri"/>
                <w:sz w:val="18"/>
                <w:szCs w:val="18"/>
              </w:rPr>
              <w:t xml:space="preserve">« À moitié vrai » — la formule excuse la manipulation.</w:t>
            </w:r>
          </w:p>
        </w:tc>
      </w:tr>
      <w:tr>
        <w:tc>
          <w:tcPr>
            <w:tcW w:w="1700" w:type="dxa"/>
            <w:tcMar>
              <w:top w:w="80" w:type="dxa"/>
              <w:bottom w:w="80" w:type="dxa"/>
              <w:left w:w="120" w:type="dxa"/>
              <w:right w:w="120" w:type="dxa"/>
            </w:tcMar>
          </w:tcPr>
          <w:p>
            <w:pPr>
              <w:spacing w:before="0" w:after="0" w:line="276" w:lineRule="auto"/>
            </w:pPr>
            <w:r>
              <w:rPr>
                <w:rFonts w:ascii="Calibri" w:hAnsi="Calibri"/>
                <w:sz w:val="18"/>
                <w:szCs w:val="18"/>
              </w:rPr>
              <w:t xml:space="preserve">NON VÉRIFIABLE</w:t>
            </w:r>
          </w:p>
        </w:tc>
        <w:tc>
          <w:tcPr>
            <w:tcW w:w="3400" w:type="dxa"/>
            <w:tcMar>
              <w:top w:w="80" w:type="dxa"/>
              <w:bottom w:w="80" w:type="dxa"/>
              <w:left w:w="120" w:type="dxa"/>
              <w:right w:w="120" w:type="dxa"/>
            </w:tcMar>
          </w:tcPr>
          <w:p>
            <w:pPr>
              <w:spacing w:before="0" w:after="0" w:line="276" w:lineRule="auto"/>
            </w:pPr>
            <w:r>
              <w:rPr>
                <w:rFonts w:ascii="Calibri" w:hAnsi="Calibri"/>
                <w:sz w:val="18"/>
                <w:szCs w:val="18"/>
              </w:rPr>
              <w:t xml:space="preserve">Les preuves disponibles ne permettent pas de conclure.</w:t>
            </w:r>
          </w:p>
        </w:tc>
        <w:tc>
          <w:tcPr>
            <w:tcW w:w="4260" w:type="dxa"/>
            <w:tcMar>
              <w:top w:w="80" w:type="dxa"/>
              <w:bottom w:w="80" w:type="dxa"/>
              <w:left w:w="120" w:type="dxa"/>
              <w:right w:w="120" w:type="dxa"/>
            </w:tcMar>
          </w:tcPr>
          <w:p>
            <w:pPr>
              <w:spacing w:before="0" w:after="0" w:line="276" w:lineRule="auto"/>
            </w:pPr>
            <w:r>
              <w:rPr>
                <w:rFonts w:ascii="Calibri" w:hAnsi="Calibri"/>
                <w:sz w:val="18"/>
                <w:szCs w:val="18"/>
              </w:rPr>
              <w:t xml:space="preserve">« Échec de l'analyse », « à moitié vrai » — c'est un RÉSULTAT.</w:t>
            </w:r>
          </w:p>
        </w:tc>
      </w:tr>
    </w:tbl>
    <w:p>
      <w:pPr>
        <w:spacing w:before="0" w:after="160" w:line="276" w:lineRule="auto"/>
      </w:pPr>
    </w:p>
    <w:p>
      <w:pPr>
        <w:spacing w:before="0" w:after="120" w:line="276" w:lineRule="auto"/>
      </w:pPr>
      <w:r>
        <w:rPr>
          <w:rFonts w:ascii="Calibri" w:hAnsi="Calibri"/>
          <w:i/>
          <w:sz w:val="20"/>
          <w:szCs w:val="20"/>
        </w:rPr>
        <w:t xml:space="preserve">Ces quatre mots figurent dans les mentions légales, dans le balisage ClaimReview et sur les cartes de démenti partageables. Un cinquième mot apparaissant dans une communication serait une promesse que la plateforme ne tient nulle part.</w:t>
      </w:r>
    </w:p>
    <w:p>
      <w:r>
        <w:br w:type="page"/>
      </w:r>
    </w:p>
    <w:p>
      <w:pPr>
        <w:spacing w:before="360" w:after="140" w:line="276" w:lineRule="auto"/>
      </w:pPr>
      <w:r>
        <w:rPr>
          <w:rFonts w:ascii="Calibri" w:hAnsi="Calibri"/>
          <w:b/>
          <w:color w:val="067A35"/>
          <w:sz w:val="36"/>
          <w:szCs w:val="36"/>
        </w:rPr>
        <w:t xml:space="preserve">3. Les publics, et ce que chacun vient chercher</w:t>
      </w:r>
    </w:p>
    <w:p>
      <w:pPr>
        <w:spacing w:before="0" w:after="120" w:line="276" w:lineRule="auto"/>
      </w:pPr>
      <w:r>
        <w:rPr>
          <w:rFonts w:ascii="Calibri" w:hAnsi="Calibri"/>
        </w:rPr>
        <w:t xml:space="preserve">On ne parle pas de la même façon à quelqu'un qui a peur de s'être fait avoir et à un journaliste qui cherche une source. Quatre publics, quatre portes, un seul produit.</w:t>
      </w:r>
    </w:p>
    <w:tbl>
      <w:tblPr>
        <w:tblW w:w="9360" w:type="dxa"/>
        <w:tblBorders>
          <w:top w:val="single" w:sz="4" w:space="0" w:color="D8E0DB"/>
          <w:left w:val="single" w:sz="4" w:space="0" w:color="D8E0DB"/>
          <w:bottom w:val="single" w:sz="4" w:space="0" w:color="D8E0DB"/>
          <w:right w:val="single" w:sz="4" w:space="0" w:color="D8E0DB"/>
          <w:insideH w:val="single" w:sz="4" w:space="0" w:color="D8E0DB"/>
          <w:insideV w:val="single" w:sz="4" w:space="0" w:color="D8E0DB"/>
        </w:tblBorders>
        <w:tblLayout w:type="fixed"/>
      </w:tblPr>
      <w:tr>
        <w:trPr>
          <w:tblHeader/>
        </w:trPr>
        <w:tc>
          <w:tcPr>
            <w:tcW w:w="2000" w:type="dxa"/>
            <w:shd w:val="clear" w:fill="EAF9F0"/>
            <w:tcMar>
              <w:top w:w="80" w:type="dxa"/>
              <w:bottom w:w="80" w:type="dxa"/>
              <w:left w:w="120" w:type="dxa"/>
              <w:right w:w="120" w:type="dxa"/>
            </w:tcMar>
          </w:tcPr>
          <w:p>
            <w:pPr>
              <w:spacing w:before="0" w:after="0" w:line="276" w:lineRule="auto"/>
            </w:pPr>
            <w:r>
              <w:rPr>
                <w:rFonts w:ascii="Calibri" w:hAnsi="Calibri"/>
                <w:b/>
                <w:color w:val="067A35"/>
                <w:sz w:val="18"/>
                <w:szCs w:val="18"/>
              </w:rPr>
              <w:t xml:space="preserve">Public</w:t>
            </w:r>
          </w:p>
        </w:tc>
        <w:tc>
          <w:tcPr>
            <w:tcW w:w="2600" w:type="dxa"/>
            <w:shd w:val="clear" w:fill="EAF9F0"/>
            <w:tcMar>
              <w:top w:w="80" w:type="dxa"/>
              <w:bottom w:w="80" w:type="dxa"/>
              <w:left w:w="120" w:type="dxa"/>
              <w:right w:w="120" w:type="dxa"/>
            </w:tcMar>
          </w:tcPr>
          <w:p>
            <w:pPr>
              <w:spacing w:before="0" w:after="0" w:line="276" w:lineRule="auto"/>
            </w:pPr>
            <w:r>
              <w:rPr>
                <w:rFonts w:ascii="Calibri" w:hAnsi="Calibri"/>
                <w:b/>
                <w:color w:val="067A35"/>
                <w:sz w:val="18"/>
                <w:szCs w:val="18"/>
              </w:rPr>
              <w:t xml:space="preserve">Ce qu'il vient chercher</w:t>
            </w:r>
          </w:p>
        </w:tc>
        <w:tc>
          <w:tcPr>
            <w:tcW w:w="2400" w:type="dxa"/>
            <w:shd w:val="clear" w:fill="EAF9F0"/>
            <w:tcMar>
              <w:top w:w="80" w:type="dxa"/>
              <w:bottom w:w="80" w:type="dxa"/>
              <w:left w:w="120" w:type="dxa"/>
              <w:right w:w="120" w:type="dxa"/>
            </w:tcMar>
          </w:tcPr>
          <w:p>
            <w:pPr>
              <w:spacing w:before="0" w:after="0" w:line="276" w:lineRule="auto"/>
            </w:pPr>
            <w:r>
              <w:rPr>
                <w:rFonts w:ascii="Calibri" w:hAnsi="Calibri"/>
                <w:b/>
                <w:color w:val="067A35"/>
                <w:sz w:val="18"/>
                <w:szCs w:val="18"/>
              </w:rPr>
              <w:t xml:space="preserve">Porte d'entrée</w:t>
            </w:r>
          </w:p>
        </w:tc>
        <w:tc>
          <w:tcPr>
            <w:tcW w:w="2360" w:type="dxa"/>
            <w:shd w:val="clear" w:fill="EAF9F0"/>
            <w:tcMar>
              <w:top w:w="80" w:type="dxa"/>
              <w:bottom w:w="80" w:type="dxa"/>
              <w:left w:w="120" w:type="dxa"/>
              <w:right w:w="120" w:type="dxa"/>
            </w:tcMar>
          </w:tcPr>
          <w:p>
            <w:pPr>
              <w:spacing w:before="0" w:after="0" w:line="276" w:lineRule="auto"/>
            </w:pPr>
            <w:r>
              <w:rPr>
                <w:rFonts w:ascii="Calibri" w:hAnsi="Calibri"/>
                <w:b/>
                <w:color w:val="067A35"/>
                <w:sz w:val="18"/>
                <w:szCs w:val="18"/>
              </w:rPr>
              <w:t xml:space="preserve">Ce qui le fait revenir</w:t>
            </w:r>
          </w:p>
        </w:tc>
      </w:tr>
      <w:tr>
        <w:tc>
          <w:tcPr>
            <w:tcW w:w="2000" w:type="dxa"/>
            <w:tcMar>
              <w:top w:w="80" w:type="dxa"/>
              <w:bottom w:w="80" w:type="dxa"/>
              <w:left w:w="120" w:type="dxa"/>
              <w:right w:w="120" w:type="dxa"/>
            </w:tcMar>
          </w:tcPr>
          <w:p>
            <w:pPr>
              <w:spacing w:before="0" w:after="0" w:line="276" w:lineRule="auto"/>
            </w:pPr>
            <w:r>
              <w:rPr>
                <w:rFonts w:ascii="Calibri" w:hAnsi="Calibri"/>
                <w:sz w:val="18"/>
                <w:szCs w:val="18"/>
              </w:rPr>
              <w:t xml:space="preserve">Le citoyen connecté
(18-35 ans, urbain)</w:t>
            </w:r>
          </w:p>
        </w:tc>
        <w:tc>
          <w:tcPr>
            <w:tcW w:w="2600" w:type="dxa"/>
            <w:tcMar>
              <w:top w:w="80" w:type="dxa"/>
              <w:bottom w:w="80" w:type="dxa"/>
              <w:left w:w="120" w:type="dxa"/>
              <w:right w:w="120" w:type="dxa"/>
            </w:tcMar>
          </w:tcPr>
          <w:p>
            <w:pPr>
              <w:spacing w:before="0" w:after="0" w:line="276" w:lineRule="auto"/>
            </w:pPr>
            <w:r>
              <w:rPr>
                <w:rFonts w:ascii="Calibri" w:hAnsi="Calibri"/>
                <w:sz w:val="18"/>
                <w:szCs w:val="18"/>
              </w:rPr>
              <w:t xml:space="preserve">Savoir si le message reçu sur WhatsApp est vrai</w:t>
            </w:r>
          </w:p>
        </w:tc>
        <w:tc>
          <w:tcPr>
            <w:tcW w:w="2400" w:type="dxa"/>
            <w:tcMar>
              <w:top w:w="80" w:type="dxa"/>
              <w:bottom w:w="80" w:type="dxa"/>
              <w:left w:w="120" w:type="dxa"/>
              <w:right w:w="120" w:type="dxa"/>
            </w:tcMar>
          </w:tcPr>
          <w:p>
            <w:pPr>
              <w:spacing w:before="0" w:after="0" w:line="276" w:lineRule="auto"/>
            </w:pPr>
            <w:r>
              <w:rPr>
                <w:rFonts w:ascii="Calibri" w:hAnsi="Calibri"/>
                <w:sz w:val="18"/>
                <w:szCs w:val="18"/>
              </w:rPr>
              <w:t xml:space="preserve">Tipline WhatsApp, cartes de démenti partagées</w:t>
            </w:r>
          </w:p>
        </w:tc>
        <w:tc>
          <w:tcPr>
            <w:tcW w:w="2360" w:type="dxa"/>
            <w:tcMar>
              <w:top w:w="80" w:type="dxa"/>
              <w:bottom w:w="80" w:type="dxa"/>
              <w:left w:w="120" w:type="dxa"/>
              <w:right w:w="120" w:type="dxa"/>
            </w:tcMar>
          </w:tcPr>
          <w:p>
            <w:pPr>
              <w:spacing w:before="0" w:after="0" w:line="276" w:lineRule="auto"/>
            </w:pPr>
            <w:r>
              <w:rPr>
                <w:rFonts w:ascii="Calibri" w:hAnsi="Calibri"/>
                <w:sz w:val="18"/>
                <w:szCs w:val="18"/>
              </w:rPr>
              <w:t xml:space="preserve">Le Hub d'opportunités : bourses et offres vérifiées</w:t>
            </w:r>
          </w:p>
        </w:tc>
      </w:tr>
      <w:tr>
        <w:tc>
          <w:tcPr>
            <w:tcW w:w="2000" w:type="dxa"/>
            <w:tcMar>
              <w:top w:w="80" w:type="dxa"/>
              <w:bottom w:w="80" w:type="dxa"/>
              <w:left w:w="120" w:type="dxa"/>
              <w:right w:w="120" w:type="dxa"/>
            </w:tcMar>
          </w:tcPr>
          <w:p>
            <w:pPr>
              <w:spacing w:before="0" w:after="0" w:line="276" w:lineRule="auto"/>
            </w:pPr>
            <w:r>
              <w:rPr>
                <w:rFonts w:ascii="Calibri" w:hAnsi="Calibri"/>
                <w:sz w:val="18"/>
                <w:szCs w:val="18"/>
              </w:rPr>
              <w:t xml:space="preserve">L'étudiant et le jeune diplômé</w:t>
            </w:r>
          </w:p>
        </w:tc>
        <w:tc>
          <w:tcPr>
            <w:tcW w:w="2600" w:type="dxa"/>
            <w:tcMar>
              <w:top w:w="80" w:type="dxa"/>
              <w:bottom w:w="80" w:type="dxa"/>
              <w:left w:w="120" w:type="dxa"/>
              <w:right w:w="120" w:type="dxa"/>
            </w:tcMar>
          </w:tcPr>
          <w:p>
            <w:pPr>
              <w:spacing w:before="0" w:after="0" w:line="276" w:lineRule="auto"/>
            </w:pPr>
            <w:r>
              <w:rPr>
                <w:rFonts w:ascii="Calibri" w:hAnsi="Calibri"/>
                <w:sz w:val="18"/>
                <w:szCs w:val="18"/>
              </w:rPr>
              <w:t xml:space="preserve">Des bourses, des concours, des offres qui ne sont pas des arnaques</w:t>
            </w:r>
          </w:p>
        </w:tc>
        <w:tc>
          <w:tcPr>
            <w:tcW w:w="2400" w:type="dxa"/>
            <w:tcMar>
              <w:top w:w="80" w:type="dxa"/>
              <w:bottom w:w="80" w:type="dxa"/>
              <w:left w:w="120" w:type="dxa"/>
              <w:right w:w="120" w:type="dxa"/>
            </w:tcMar>
          </w:tcPr>
          <w:p>
            <w:pPr>
              <w:spacing w:before="0" w:after="0" w:line="276" w:lineRule="auto"/>
            </w:pPr>
            <w:r>
              <w:rPr>
                <w:rFonts w:ascii="Calibri" w:hAnsi="Calibri"/>
                <w:sz w:val="18"/>
                <w:szCs w:val="18"/>
              </w:rPr>
              <w:t xml:space="preserve">Recherche « bourse », « concours » — Hub d'opportunités</w:t>
            </w:r>
          </w:p>
        </w:tc>
        <w:tc>
          <w:tcPr>
            <w:tcW w:w="2360" w:type="dxa"/>
            <w:tcMar>
              <w:top w:w="80" w:type="dxa"/>
              <w:bottom w:w="80" w:type="dxa"/>
              <w:left w:w="120" w:type="dxa"/>
              <w:right w:w="120" w:type="dxa"/>
            </w:tcMar>
          </w:tcPr>
          <w:p>
            <w:pPr>
              <w:spacing w:before="0" w:after="0" w:line="276" w:lineRule="auto"/>
            </w:pPr>
            <w:r>
              <w:rPr>
                <w:rFonts w:ascii="Calibri" w:hAnsi="Calibri"/>
                <w:sz w:val="18"/>
                <w:szCs w:val="18"/>
              </w:rPr>
              <w:t xml:space="preserve">L'Académie, et le certificat vérifiable qu'elle délivre</w:t>
            </w:r>
          </w:p>
        </w:tc>
      </w:tr>
      <w:tr>
        <w:tc>
          <w:tcPr>
            <w:tcW w:w="2000" w:type="dxa"/>
            <w:tcMar>
              <w:top w:w="80" w:type="dxa"/>
              <w:bottom w:w="80" w:type="dxa"/>
              <w:left w:w="120" w:type="dxa"/>
              <w:right w:w="120" w:type="dxa"/>
            </w:tcMar>
          </w:tcPr>
          <w:p>
            <w:pPr>
              <w:spacing w:before="0" w:after="0" w:line="276" w:lineRule="auto"/>
            </w:pPr>
            <w:r>
              <w:rPr>
                <w:rFonts w:ascii="Calibri" w:hAnsi="Calibri"/>
                <w:sz w:val="18"/>
                <w:szCs w:val="18"/>
              </w:rPr>
              <w:t xml:space="preserve">Le journaliste et le communicant</w:t>
            </w:r>
          </w:p>
        </w:tc>
        <w:tc>
          <w:tcPr>
            <w:tcW w:w="2600" w:type="dxa"/>
            <w:tcMar>
              <w:top w:w="80" w:type="dxa"/>
              <w:bottom w:w="80" w:type="dxa"/>
              <w:left w:w="120" w:type="dxa"/>
              <w:right w:w="120" w:type="dxa"/>
            </w:tcMar>
          </w:tcPr>
          <w:p>
            <w:pPr>
              <w:spacing w:before="0" w:after="0" w:line="276" w:lineRule="auto"/>
            </w:pPr>
            <w:r>
              <w:rPr>
                <w:rFonts w:ascii="Calibri" w:hAnsi="Calibri"/>
                <w:sz w:val="18"/>
                <w:szCs w:val="18"/>
              </w:rPr>
              <w:t xml:space="preserve">Une source citable, une méthodologie opposable</w:t>
            </w:r>
          </w:p>
        </w:tc>
        <w:tc>
          <w:tcPr>
            <w:tcW w:w="2400" w:type="dxa"/>
            <w:tcMar>
              <w:top w:w="80" w:type="dxa"/>
              <w:bottom w:w="80" w:type="dxa"/>
              <w:left w:w="120" w:type="dxa"/>
              <w:right w:w="120" w:type="dxa"/>
            </w:tcMar>
          </w:tcPr>
          <w:p>
            <w:pPr>
              <w:spacing w:before="0" w:after="0" w:line="276" w:lineRule="auto"/>
            </w:pPr>
            <w:r>
              <w:rPr>
                <w:rFonts w:ascii="Calibri" w:hAnsi="Calibri"/>
                <w:sz w:val="18"/>
                <w:szCs w:val="18"/>
              </w:rPr>
              <w:t xml:space="preserve">Google, via le balisage ClaimReview</w:t>
            </w:r>
          </w:p>
        </w:tc>
        <w:tc>
          <w:tcPr>
            <w:tcW w:w="2360" w:type="dxa"/>
            <w:tcMar>
              <w:top w:w="80" w:type="dxa"/>
              <w:bottom w:w="80" w:type="dxa"/>
              <w:left w:w="120" w:type="dxa"/>
              <w:right w:w="120" w:type="dxa"/>
            </w:tcMar>
          </w:tcPr>
          <w:p>
            <w:pPr>
              <w:spacing w:before="0" w:after="0" w:line="276" w:lineRule="auto"/>
            </w:pPr>
            <w:r>
              <w:rPr>
                <w:rFonts w:ascii="Calibri" w:hAnsi="Calibri"/>
                <w:sz w:val="18"/>
                <w:szCs w:val="18"/>
              </w:rPr>
              <w:t xml:space="preserve">Le répertoire d'outils OSINT, utilisé au quotidien</w:t>
            </w:r>
          </w:p>
        </w:tc>
      </w:tr>
      <w:tr>
        <w:tc>
          <w:tcPr>
            <w:tcW w:w="2000" w:type="dxa"/>
            <w:tcMar>
              <w:top w:w="80" w:type="dxa"/>
              <w:bottom w:w="80" w:type="dxa"/>
              <w:left w:w="120" w:type="dxa"/>
              <w:right w:w="120" w:type="dxa"/>
            </w:tcMar>
          </w:tcPr>
          <w:p>
            <w:pPr>
              <w:spacing w:before="0" w:after="0" w:line="276" w:lineRule="auto"/>
            </w:pPr>
            <w:r>
              <w:rPr>
                <w:rFonts w:ascii="Calibri" w:hAnsi="Calibri"/>
                <w:sz w:val="18"/>
                <w:szCs w:val="18"/>
              </w:rPr>
              <w:t xml:space="preserve">L'enseignant, l'ONG, l'institution</w:t>
            </w:r>
          </w:p>
        </w:tc>
        <w:tc>
          <w:tcPr>
            <w:tcW w:w="2600" w:type="dxa"/>
            <w:tcMar>
              <w:top w:w="80" w:type="dxa"/>
              <w:bottom w:w="80" w:type="dxa"/>
              <w:left w:w="120" w:type="dxa"/>
              <w:right w:w="120" w:type="dxa"/>
            </w:tcMar>
          </w:tcPr>
          <w:p>
            <w:pPr>
              <w:spacing w:before="0" w:after="0" w:line="276" w:lineRule="auto"/>
            </w:pPr>
            <w:r>
              <w:rPr>
                <w:rFonts w:ascii="Calibri" w:hAnsi="Calibri"/>
                <w:sz w:val="18"/>
                <w:szCs w:val="18"/>
              </w:rPr>
              <w:t xml:space="preserve">Former un public à ne pas relayer n'importe quoi</w:t>
            </w:r>
          </w:p>
        </w:tc>
        <w:tc>
          <w:tcPr>
            <w:tcW w:w="2400" w:type="dxa"/>
            <w:tcMar>
              <w:top w:w="80" w:type="dxa"/>
              <w:bottom w:w="80" w:type="dxa"/>
              <w:left w:w="120" w:type="dxa"/>
              <w:right w:w="120" w:type="dxa"/>
            </w:tcMar>
          </w:tcPr>
          <w:p>
            <w:pPr>
              <w:spacing w:before="0" w:after="0" w:line="276" w:lineRule="auto"/>
            </w:pPr>
            <w:r>
              <w:rPr>
                <w:rFonts w:ascii="Calibri" w:hAnsi="Calibri"/>
                <w:sz w:val="18"/>
                <w:szCs w:val="18"/>
              </w:rPr>
              <w:t xml:space="preserve">L'Académie et ses ateliers</w:t>
            </w:r>
          </w:p>
        </w:tc>
        <w:tc>
          <w:tcPr>
            <w:tcW w:w="2360" w:type="dxa"/>
            <w:tcMar>
              <w:top w:w="80" w:type="dxa"/>
              <w:bottom w:w="80" w:type="dxa"/>
              <w:left w:w="120" w:type="dxa"/>
              <w:right w:w="120" w:type="dxa"/>
            </w:tcMar>
          </w:tcPr>
          <w:p>
            <w:pPr>
              <w:spacing w:before="0" w:after="0" w:line="276" w:lineRule="auto"/>
            </w:pPr>
            <w:r>
              <w:rPr>
                <w:rFonts w:ascii="Calibri" w:hAnsi="Calibri"/>
                <w:sz w:val="18"/>
                <w:szCs w:val="18"/>
              </w:rPr>
              <w:t xml:space="preserve">Le partenariat : notre QR code dans leurs formations</w:t>
            </w:r>
          </w:p>
        </w:tc>
      </w:tr>
    </w:tbl>
    <w:p>
      <w:pPr>
        <w:spacing w:before="0" w:after="160" w:line="276" w:lineRule="auto"/>
      </w:pPr>
    </w:p>
    <w:tbl>
      <w:tblPr>
        <w:tblW w:w="9360" w:type="dxa"/>
        <w:tblBorders>
          <w:top w:val="single" w:sz="4" w:space="0" w:color="9BE0B8"/>
          <w:left w:val="single" w:sz="18" w:space="0" w:color="09B850"/>
          <w:bottom w:val="single" w:sz="4" w:space="0" w:color="9BE0B8"/>
          <w:right w:val="single" w:sz="4" w:space="0" w:color="9BE0B8"/>
        </w:tblBorders>
      </w:tblPr>
      <w:tr>
        <w:tc>
          <w:tcPr>
            <w:tcW w:w="9360" w:type="dxa"/>
            <w:shd w:val="clear" w:fill="F4FBF7"/>
            <w:tcMar>
              <w:top w:w="160" w:type="dxa"/>
              <w:bottom w:w="160" w:type="dxa"/>
              <w:left w:w="200" w:type="dxa"/>
              <w:right w:w="200" w:type="dxa"/>
            </w:tcMar>
          </w:tcPr>
          <w:p>
            <w:pPr>
              <w:spacing w:before="0" w:after="80" w:line="276" w:lineRule="auto"/>
            </w:pPr>
            <w:r>
              <w:rPr>
                <w:rFonts w:ascii="Calibri" w:hAnsi="Calibri"/>
                <w:b/>
                <w:color w:val="067A35"/>
                <w:sz w:val="22"/>
                <w:szCs w:val="22"/>
              </w:rPr>
              <w:t xml:space="preserve">Le public qu'on oublie toujours, et qui décide de tout</w:t>
            </w:r>
          </w:p>
          <w:p>
            <w:pPr>
              <w:spacing w:before="0" w:after="80" w:line="276" w:lineRule="auto"/>
            </w:pPr>
            <w:r>
              <w:rPr>
                <w:rFonts w:ascii="Calibri" w:hAnsi="Calibri"/>
                <w:b/>
                <w:sz w:val="20"/>
                <w:szCs w:val="20"/>
              </w:rPr>
              <w:t xml:space="preserve">Celui qui a déjà partagé la rumeur.</w:t>
            </w:r>
            <w:r>
              <w:rPr>
                <w:rFonts w:ascii="Calibri" w:hAnsi="Calibri"/>
                <w:sz w:val="20"/>
                <w:szCs w:val="20"/>
              </w:rPr>
              <w:t xml:space="preserve"> Il ne cherche pas la vérité : il cherche à ne pas avoir l'air ridicule.</w:t>
            </w:r>
          </w:p>
          <w:p>
            <w:pPr>
              <w:spacing w:before="0" w:after="80" w:line="276" w:lineRule="auto"/>
            </w:pPr>
            <w:r>
              <w:rPr>
                <w:rFonts w:ascii="Calibri" w:hAnsi="Calibri"/>
                <w:sz w:val="20"/>
                <w:szCs w:val="20"/>
              </w:rPr>
              <w:t xml:space="preserve">Toute notre communication doit lui laisser une sortie honorable. On ne corrige jamais une personne, on corrige une information. C'est la différence entre quelqu'un qui relaie notre démenti et quelqu'un qui nous bloque.</w:t>
            </w:r>
          </w:p>
          <w:p>
            <w:pPr>
              <w:spacing w:before="0" w:after="80" w:line="276" w:lineRule="auto"/>
            </w:pPr>
            <w:r>
              <w:rPr>
                <w:rFonts w:ascii="Calibri" w:hAnsi="Calibri"/>
                <w:sz w:val="20"/>
                <w:szCs w:val="20"/>
              </w:rPr>
              <w:t xml:space="preserve">Règle pratique : aucune publication de Vérif'All ne se moque de ceux qui ont cru. Jamais. Y compris quand la rumeur était grossière.</w:t>
            </w:r>
          </w:p>
        </w:tc>
      </w:tr>
    </w:tbl>
    <w:p>
      <w:pPr>
        <w:spacing w:before="0" w:after="160" w:line="276" w:lineRule="auto"/>
      </w:pPr>
    </w:p>
    <w:p>
      <w:r>
        <w:br w:type="page"/>
      </w:r>
    </w:p>
    <w:p>
      <w:pPr>
        <w:spacing w:before="360" w:after="140" w:line="276" w:lineRule="auto"/>
      </w:pPr>
      <w:r>
        <w:rPr>
          <w:rFonts w:ascii="Calibri" w:hAnsi="Calibri"/>
          <w:b/>
          <w:color w:val="067A35"/>
          <w:sz w:val="36"/>
          <w:szCs w:val="36"/>
        </w:rPr>
        <w:t xml:space="preserve">4. Les quatre piliers comme quatre portes d'entrée</w:t>
      </w:r>
    </w:p>
    <w:p>
      <w:pPr>
        <w:spacing w:before="0" w:after="120" w:line="276" w:lineRule="auto"/>
      </w:pPr>
      <w:r>
        <w:rPr>
          <w:rFonts w:ascii="Calibri" w:hAnsi="Calibri"/>
        </w:rPr>
        <w:t xml:space="preserve">Chaque pilier attire un public différent et le remet aux trois autres. C'est la seule raison pour laquelle une plateforme de fact-checking peut espérer une audience récurrente : on ne consulte pas un vérificateur tous les jours, mais on cherche une bourse toutes les semaines.</w:t>
      </w:r>
    </w:p>
    <w:p>
      <w:pPr>
        <w:spacing w:before="280" w:after="140" w:line="276" w:lineRule="auto"/>
      </w:pPr>
      <w:r>
        <w:rPr>
          <w:rFonts w:ascii="Calibri" w:hAnsi="Calibri"/>
          <w:b/>
          <w:color w:val="0E1A14"/>
          <w:sz w:val="28"/>
          <w:szCs w:val="28"/>
        </w:rPr>
        <w:t xml:space="preserve">Le fact-checking : l'autorité</w:t>
      </w:r>
    </w:p>
    <w:p>
      <w:pPr>
        <w:spacing w:before="0" w:after="120" w:line="276" w:lineRule="auto"/>
      </w:pPr>
      <w:r>
        <w:rPr>
          <w:rFonts w:ascii="Calibri" w:hAnsi="Calibri"/>
        </w:rPr>
        <w:t xml:space="preserve">C'est ce qui nous rend citables. Il ne produit pas le plus de trafic, mais il produit la légitimité qui rend le reste crédible. Rythme visé : </w:t>
      </w:r>
      <w:r>
        <w:rPr>
          <w:rFonts w:ascii="Calibri" w:hAnsi="Calibri"/>
          <w:b/>
        </w:rPr>
        <w:t xml:space="preserve">deux vérifications publiées par semaine</w:t>
      </w:r>
      <w:r>
        <w:rPr>
          <w:rFonts w:ascii="Calibri" w:hAnsi="Calibri"/>
        </w:rPr>
        <w:t xml:space="preserve">, choisies pour leur circulation réelle et non pour leur facilité.</w:t>
      </w:r>
    </w:p>
    <w:p>
      <w:pPr>
        <w:spacing w:before="280" w:after="140" w:line="276" w:lineRule="auto"/>
      </w:pPr>
      <w:r>
        <w:rPr>
          <w:rFonts w:ascii="Calibri" w:hAnsi="Calibri"/>
          <w:b/>
          <w:color w:val="0E1A14"/>
          <w:sz w:val="28"/>
          <w:szCs w:val="28"/>
        </w:rPr>
        <w:t xml:space="preserve">Le Hub d'opportunités : le trafic récurrent</w:t>
      </w:r>
    </w:p>
    <w:p>
      <w:pPr>
        <w:spacing w:before="0" w:after="120" w:line="276" w:lineRule="auto"/>
      </w:pPr>
      <w:r>
        <w:rPr>
          <w:rFonts w:ascii="Calibri" w:hAnsi="Calibri"/>
        </w:rPr>
        <w:t xml:space="preserve">Bourses, concours, financements — c'est ce qu'on cherche le plus, et c'est aussi le terrain de chasse des escrocs. Notre critère de publication est un argument en soi : organisation confirmée, canal officiel, coordonnées vérifiées, </w:t>
      </w:r>
      <w:r>
        <w:rPr>
          <w:rFonts w:ascii="Calibri" w:hAnsi="Calibri"/>
          <w:b/>
        </w:rPr>
        <w:t xml:space="preserve">et jamais de frais de dossier</w:t>
      </w:r>
      <w:r>
        <w:rPr>
          <w:rFonts w:ascii="Calibri" w:hAnsi="Calibri"/>
        </w:rPr>
        <w:t xml:space="preserve">.</w:t>
      </w:r>
    </w:p>
    <w:p>
      <w:pPr>
        <w:spacing w:before="0" w:after="120" w:line="276" w:lineRule="auto"/>
      </w:pPr>
      <w:r>
        <w:rPr>
          <w:rFonts w:ascii="Calibri" w:hAnsi="Calibri"/>
          <w:i/>
          <w:sz w:val="20"/>
          <w:szCs w:val="20"/>
        </w:rPr>
        <w:t xml:space="preserve">Cette dernière clause n'est pas un détail commercial : demander de l'argent pour postuler est le marqueur le plus fiable d'une fausse bourse dans la région. Elle doit apparaître dans chaque publication d'opportunité, sans exception.</w:t>
      </w:r>
    </w:p>
    <w:p>
      <w:pPr>
        <w:spacing w:before="280" w:after="140" w:line="276" w:lineRule="auto"/>
      </w:pPr>
      <w:r>
        <w:rPr>
          <w:rFonts w:ascii="Calibri" w:hAnsi="Calibri"/>
          <w:b/>
          <w:color w:val="0E1A14"/>
          <w:sz w:val="28"/>
          <w:szCs w:val="28"/>
        </w:rPr>
        <w:t xml:space="preserve">L'Académie : la fabrique d'ambassadeurs</w:t>
      </w:r>
    </w:p>
    <w:p>
      <w:pPr>
        <w:spacing w:before="0" w:after="120" w:line="276" w:lineRule="auto"/>
      </w:pPr>
      <w:r>
        <w:rPr>
          <w:rFonts w:ascii="Calibri" w:hAnsi="Calibri"/>
        </w:rPr>
        <w:t xml:space="preserve">Un lecteur convaincu corrige une rumeur. Un lecteur </w:t>
      </w:r>
      <w:r>
        <w:rPr>
          <w:rFonts w:ascii="Calibri" w:hAnsi="Calibri"/>
          <w:b/>
        </w:rPr>
        <w:t xml:space="preserve">formé</w:t>
      </w:r>
      <w:r>
        <w:rPr>
          <w:rFonts w:ascii="Calibri" w:hAnsi="Calibri"/>
        </w:rPr>
        <w:t xml:space="preserve"> en corrige cent, dans des groupes où nous n'entrerons jamais. Le CLOM « Introduction au fact-checking » est gratuit et dure quarante-deux minutes : c'est notre produit d'appel, pas notre produit annexe.</w:t>
      </w:r>
    </w:p>
    <w:p>
      <w:pPr>
        <w:spacing w:before="0" w:after="120" w:line="276" w:lineRule="auto"/>
      </w:pPr>
      <w:r>
        <w:rPr>
          <w:rFonts w:ascii="Calibri" w:hAnsi="Calibri"/>
        </w:rPr>
        <w:t xml:space="preserve">Le certificat porte un code que n'importe qui peut vérifier sur une page publique. Un recruteur n'a pas à nous croire sur parole — et cet argument-là parle aux étudiants bien plus que la lutte contre la désinformation.</w:t>
      </w:r>
    </w:p>
    <w:p>
      <w:pPr>
        <w:spacing w:before="280" w:after="140" w:line="276" w:lineRule="auto"/>
      </w:pPr>
      <w:r>
        <w:rPr>
          <w:rFonts w:ascii="Calibri" w:hAnsi="Calibri"/>
          <w:b/>
          <w:color w:val="0E1A14"/>
          <w:sz w:val="28"/>
          <w:szCs w:val="28"/>
        </w:rPr>
        <w:t xml:space="preserve">Le forum : l'attachement</w:t>
      </w:r>
    </w:p>
    <w:p>
      <w:pPr>
        <w:spacing w:before="0" w:after="120" w:line="276" w:lineRule="auto"/>
      </w:pPr>
      <w:r>
        <w:rPr>
          <w:rFonts w:ascii="Calibri" w:hAnsi="Calibri"/>
        </w:rPr>
        <w:t xml:space="preserve">C'est là que se signale une rumeur avant qu'elle ne soit vérifiée. Le bouton « Escalader en fact-check » transforme une discussion en dossier d'analyse : le public devient notre première salle de rédaction.</w:t>
      </w:r>
    </w:p>
    <w:p>
      <w:pPr>
        <w:spacing w:before="0" w:after="120" w:line="276" w:lineRule="auto"/>
      </w:pPr>
      <w:r>
        <w:rPr>
          <w:rFonts w:ascii="Calibri" w:hAnsi="Calibri"/>
        </w:rPr>
        <w:t xml:space="preserve">Une règle de communication en découle, non négociable : </w:t>
      </w:r>
      <w:r>
        <w:rPr>
          <w:rFonts w:ascii="Calibri" w:hAnsi="Calibri"/>
          <w:b/>
        </w:rPr>
        <w:t xml:space="preserve">le verdict officiel s'affiche au-dessus de l'avis de la communauté, et ne s'en déduit pas</w:t>
      </w:r>
      <w:r>
        <w:rPr>
          <w:rFonts w:ascii="Calibri" w:hAnsi="Calibri"/>
        </w:rPr>
        <w:t xml:space="preserve">. Confondre les deux détruirait en un mois la crédibilité bâtie par le pilier fact-checking.</w:t>
      </w:r>
    </w:p>
    <w:p>
      <w:r>
        <w:br w:type="page"/>
      </w:r>
    </w:p>
    <w:p>
      <w:pPr>
        <w:spacing w:before="360" w:after="140" w:line="276" w:lineRule="auto"/>
      </w:pPr>
      <w:r>
        <w:rPr>
          <w:rFonts w:ascii="Calibri" w:hAnsi="Calibri"/>
          <w:b/>
          <w:color w:val="067A35"/>
          <w:sz w:val="36"/>
          <w:szCs w:val="36"/>
        </w:rPr>
        <w:t xml:space="preserve">5. La ligne éditoriale : ce qu'on publie, ce qu'on ne publie jamais</w:t>
      </w:r>
    </w:p>
    <w:p>
      <w:pPr>
        <w:spacing w:before="280" w:after="140" w:line="276" w:lineRule="auto"/>
      </w:pPr>
      <w:r>
        <w:rPr>
          <w:rFonts w:ascii="Calibri" w:hAnsi="Calibri"/>
          <w:b/>
          <w:color w:val="0E1A14"/>
          <w:sz w:val="28"/>
          <w:szCs w:val="28"/>
        </w:rPr>
        <w:t xml:space="preserve">Les six règles d'écriture</w:t>
      </w:r>
    </w:p>
    <w:tbl>
      <w:tblPr>
        <w:tblW w:w="9360" w:type="dxa"/>
        <w:tblBorders>
          <w:top w:val="single" w:sz="4" w:space="0" w:color="D8E0DB"/>
          <w:left w:val="single" w:sz="4" w:space="0" w:color="D8E0DB"/>
          <w:bottom w:val="single" w:sz="4" w:space="0" w:color="D8E0DB"/>
          <w:right w:val="single" w:sz="4" w:space="0" w:color="D8E0DB"/>
          <w:insideH w:val="single" w:sz="4" w:space="0" w:color="D8E0DB"/>
          <w:insideV w:val="single" w:sz="4" w:space="0" w:color="D8E0DB"/>
        </w:tblBorders>
        <w:tblLayout w:type="fixed"/>
      </w:tblPr>
      <w:tr>
        <w:trPr>
          <w:tblHeader/>
        </w:trPr>
        <w:tc>
          <w:tcPr>
            <w:tcW w:w="3800" w:type="dxa"/>
            <w:shd w:val="clear" w:fill="EAF9F0"/>
            <w:tcMar>
              <w:top w:w="80" w:type="dxa"/>
              <w:bottom w:w="80" w:type="dxa"/>
              <w:left w:w="120" w:type="dxa"/>
              <w:right w:w="120" w:type="dxa"/>
            </w:tcMar>
          </w:tcPr>
          <w:p>
            <w:pPr>
              <w:spacing w:before="0" w:after="0" w:line="276" w:lineRule="auto"/>
            </w:pPr>
            <w:r>
              <w:rPr>
                <w:rFonts w:ascii="Calibri" w:hAnsi="Calibri"/>
                <w:b/>
                <w:color w:val="067A35"/>
                <w:sz w:val="18"/>
                <w:szCs w:val="18"/>
              </w:rPr>
              <w:t xml:space="preserve">Règle</w:t>
            </w:r>
          </w:p>
        </w:tc>
        <w:tc>
          <w:tcPr>
            <w:tcW w:w="5560" w:type="dxa"/>
            <w:shd w:val="clear" w:fill="EAF9F0"/>
            <w:tcMar>
              <w:top w:w="80" w:type="dxa"/>
              <w:bottom w:w="80" w:type="dxa"/>
              <w:left w:w="120" w:type="dxa"/>
              <w:right w:w="120" w:type="dxa"/>
            </w:tcMar>
          </w:tcPr>
          <w:p>
            <w:pPr>
              <w:spacing w:before="0" w:after="0" w:line="276" w:lineRule="auto"/>
            </w:pPr>
            <w:r>
              <w:rPr>
                <w:rFonts w:ascii="Calibri" w:hAnsi="Calibri"/>
                <w:b/>
                <w:color w:val="067A35"/>
                <w:sz w:val="18"/>
                <w:szCs w:val="18"/>
              </w:rPr>
              <w:t xml:space="preserve">Pourquoi</w:t>
            </w:r>
          </w:p>
        </w:tc>
      </w:tr>
      <w:tr>
        <w:tc>
          <w:tcPr>
            <w:tcW w:w="3800" w:type="dxa"/>
            <w:tcMar>
              <w:top w:w="80" w:type="dxa"/>
              <w:bottom w:w="80" w:type="dxa"/>
              <w:left w:w="120" w:type="dxa"/>
              <w:right w:w="120" w:type="dxa"/>
            </w:tcMar>
          </w:tcPr>
          <w:p>
            <w:pPr>
              <w:spacing w:before="0" w:after="0" w:line="276" w:lineRule="auto"/>
            </w:pPr>
            <w:r>
              <w:rPr>
                <w:rFonts w:ascii="Calibri" w:hAnsi="Calibri"/>
                <w:sz w:val="18"/>
                <w:szCs w:val="18"/>
              </w:rPr>
              <w:t xml:space="preserve">Le verdict d'abord, l'explication ensuite.</w:t>
            </w:r>
          </w:p>
        </w:tc>
        <w:tc>
          <w:tcPr>
            <w:tcW w:w="5560" w:type="dxa"/>
            <w:tcMar>
              <w:top w:w="80" w:type="dxa"/>
              <w:bottom w:w="80" w:type="dxa"/>
              <w:left w:w="120" w:type="dxa"/>
              <w:right w:w="120" w:type="dxa"/>
            </w:tcMar>
          </w:tcPr>
          <w:p>
            <w:pPr>
              <w:spacing w:before="0" w:after="0" w:line="276" w:lineRule="auto"/>
            </w:pPr>
            <w:r>
              <w:rPr>
                <w:rFonts w:ascii="Calibri" w:hAnsi="Calibri"/>
                <w:sz w:val="18"/>
                <w:szCs w:val="18"/>
              </w:rPr>
              <w:t xml:space="preserve">Beaucoup ne liront que la première ligne. Elle doit suffire.</w:t>
            </w:r>
          </w:p>
        </w:tc>
      </w:tr>
      <w:tr>
        <w:tc>
          <w:tcPr>
            <w:tcW w:w="3800" w:type="dxa"/>
            <w:tcMar>
              <w:top w:w="80" w:type="dxa"/>
              <w:bottom w:w="80" w:type="dxa"/>
              <w:left w:w="120" w:type="dxa"/>
              <w:right w:w="120" w:type="dxa"/>
            </w:tcMar>
          </w:tcPr>
          <w:p>
            <w:pPr>
              <w:spacing w:before="0" w:after="0" w:line="276" w:lineRule="auto"/>
            </w:pPr>
            <w:r>
              <w:rPr>
                <w:rFonts w:ascii="Calibri" w:hAnsi="Calibri"/>
                <w:sz w:val="18"/>
                <w:szCs w:val="18"/>
              </w:rPr>
              <w:t xml:space="preserve">Ne jamais répéter la rumeur dans le titre.</w:t>
            </w:r>
          </w:p>
        </w:tc>
        <w:tc>
          <w:tcPr>
            <w:tcW w:w="5560" w:type="dxa"/>
            <w:tcMar>
              <w:top w:w="80" w:type="dxa"/>
              <w:bottom w:w="80" w:type="dxa"/>
              <w:left w:w="120" w:type="dxa"/>
              <w:right w:w="120" w:type="dxa"/>
            </w:tcMar>
          </w:tcPr>
          <w:p>
            <w:pPr>
              <w:spacing w:before="0" w:after="0" w:line="276" w:lineRule="auto"/>
            </w:pPr>
            <w:r>
              <w:rPr>
                <w:rFonts w:ascii="Calibri" w:hAnsi="Calibri"/>
                <w:sz w:val="18"/>
                <w:szCs w:val="18"/>
              </w:rPr>
              <w:t xml:space="preserve">Répéter une fausseté la renforce, même pour la démentir. On énonce le fait exact.</w:t>
            </w:r>
          </w:p>
        </w:tc>
      </w:tr>
      <w:tr>
        <w:tc>
          <w:tcPr>
            <w:tcW w:w="3800" w:type="dxa"/>
            <w:tcMar>
              <w:top w:w="80" w:type="dxa"/>
              <w:bottom w:w="80" w:type="dxa"/>
              <w:left w:w="120" w:type="dxa"/>
              <w:right w:w="120" w:type="dxa"/>
            </w:tcMar>
          </w:tcPr>
          <w:p>
            <w:pPr>
              <w:spacing w:before="0" w:after="0" w:line="276" w:lineRule="auto"/>
            </w:pPr>
            <w:r>
              <w:rPr>
                <w:rFonts w:ascii="Calibri" w:hAnsi="Calibri"/>
                <w:sz w:val="18"/>
                <w:szCs w:val="18"/>
              </w:rPr>
              <w:t xml:space="preserve">Une source cliquable par affirmation.</w:t>
            </w:r>
          </w:p>
        </w:tc>
        <w:tc>
          <w:tcPr>
            <w:tcW w:w="5560" w:type="dxa"/>
            <w:tcMar>
              <w:top w:w="80" w:type="dxa"/>
              <w:bottom w:w="80" w:type="dxa"/>
              <w:left w:w="120" w:type="dxa"/>
              <w:right w:w="120" w:type="dxa"/>
            </w:tcMar>
          </w:tcPr>
          <w:p>
            <w:pPr>
              <w:spacing w:before="0" w:after="0" w:line="276" w:lineRule="auto"/>
            </w:pPr>
            <w:r>
              <w:rPr>
                <w:rFonts w:ascii="Calibri" w:hAnsi="Calibri"/>
                <w:sz w:val="18"/>
                <w:szCs w:val="18"/>
              </w:rPr>
              <w:t xml:space="preserve">Un démenti sans source n'est qu'une parole contre une autre.</w:t>
            </w:r>
          </w:p>
        </w:tc>
      </w:tr>
      <w:tr>
        <w:tc>
          <w:tcPr>
            <w:tcW w:w="3800" w:type="dxa"/>
            <w:tcMar>
              <w:top w:w="80" w:type="dxa"/>
              <w:bottom w:w="80" w:type="dxa"/>
              <w:left w:w="120" w:type="dxa"/>
              <w:right w:w="120" w:type="dxa"/>
            </w:tcMar>
          </w:tcPr>
          <w:p>
            <w:pPr>
              <w:spacing w:before="0" w:after="0" w:line="276" w:lineRule="auto"/>
            </w:pPr>
            <w:r>
              <w:rPr>
                <w:rFonts w:ascii="Calibri" w:hAnsi="Calibri"/>
                <w:sz w:val="18"/>
                <w:szCs w:val="18"/>
              </w:rPr>
              <w:t xml:space="preserve">Nommer l'information, jamais la personne qui l'a crue.</w:t>
            </w:r>
          </w:p>
        </w:tc>
        <w:tc>
          <w:tcPr>
            <w:tcW w:w="5560" w:type="dxa"/>
            <w:tcMar>
              <w:top w:w="80" w:type="dxa"/>
              <w:bottom w:w="80" w:type="dxa"/>
              <w:left w:w="120" w:type="dxa"/>
              <w:right w:w="120" w:type="dxa"/>
            </w:tcMar>
          </w:tcPr>
          <w:p>
            <w:pPr>
              <w:spacing w:before="0" w:after="0" w:line="276" w:lineRule="auto"/>
            </w:pPr>
            <w:r>
              <w:rPr>
                <w:rFonts w:ascii="Calibri" w:hAnsi="Calibri"/>
                <w:sz w:val="18"/>
                <w:szCs w:val="18"/>
              </w:rPr>
              <w:t xml:space="preserve">On corrige un contenu. Humilier un lecteur, c'est le perdre et perdre son entourage.</w:t>
            </w:r>
          </w:p>
        </w:tc>
      </w:tr>
      <w:tr>
        <w:tc>
          <w:tcPr>
            <w:tcW w:w="3800" w:type="dxa"/>
            <w:tcMar>
              <w:top w:w="80" w:type="dxa"/>
              <w:bottom w:w="80" w:type="dxa"/>
              <w:left w:w="120" w:type="dxa"/>
              <w:right w:w="120" w:type="dxa"/>
            </w:tcMar>
          </w:tcPr>
          <w:p>
            <w:pPr>
              <w:spacing w:before="0" w:after="0" w:line="276" w:lineRule="auto"/>
            </w:pPr>
            <w:r>
              <w:rPr>
                <w:rFonts w:ascii="Calibri" w:hAnsi="Calibri"/>
                <w:sz w:val="18"/>
                <w:szCs w:val="18"/>
              </w:rPr>
              <w:t xml:space="preserve">Dire ce qu'on ne sait pas, dans le corps du texte.</w:t>
            </w:r>
          </w:p>
        </w:tc>
        <w:tc>
          <w:tcPr>
            <w:tcW w:w="5560" w:type="dxa"/>
            <w:tcMar>
              <w:top w:w="80" w:type="dxa"/>
              <w:bottom w:w="80" w:type="dxa"/>
              <w:left w:w="120" w:type="dxa"/>
              <w:right w:w="120" w:type="dxa"/>
            </w:tcMar>
          </w:tcPr>
          <w:p>
            <w:pPr>
              <w:spacing w:before="0" w:after="0" w:line="276" w:lineRule="auto"/>
            </w:pPr>
            <w:r>
              <w:rPr>
                <w:rFonts w:ascii="Calibri" w:hAnsi="Calibri"/>
                <w:sz w:val="18"/>
                <w:szCs w:val="18"/>
              </w:rPr>
              <w:t xml:space="preserve">C'est notre positionnement. Une vérification sans limite énoncée est suspecte.</w:t>
            </w:r>
          </w:p>
        </w:tc>
      </w:tr>
      <w:tr>
        <w:tc>
          <w:tcPr>
            <w:tcW w:w="3800" w:type="dxa"/>
            <w:tcMar>
              <w:top w:w="80" w:type="dxa"/>
              <w:bottom w:w="80" w:type="dxa"/>
              <w:left w:w="120" w:type="dxa"/>
              <w:right w:w="120" w:type="dxa"/>
            </w:tcMar>
          </w:tcPr>
          <w:p>
            <w:pPr>
              <w:spacing w:before="0" w:after="0" w:line="276" w:lineRule="auto"/>
            </w:pPr>
            <w:r>
              <w:rPr>
                <w:rFonts w:ascii="Calibri" w:hAnsi="Calibri"/>
                <w:sz w:val="18"/>
                <w:szCs w:val="18"/>
              </w:rPr>
              <w:t xml:space="preserve">Une consigne d'action en fin de publication.</w:t>
            </w:r>
          </w:p>
        </w:tc>
        <w:tc>
          <w:tcPr>
            <w:tcW w:w="5560" w:type="dxa"/>
            <w:tcMar>
              <w:top w:w="80" w:type="dxa"/>
              <w:bottom w:w="80" w:type="dxa"/>
              <w:left w:w="120" w:type="dxa"/>
              <w:right w:w="120" w:type="dxa"/>
            </w:tcMar>
          </w:tcPr>
          <w:p>
            <w:pPr>
              <w:spacing w:before="0" w:after="0" w:line="276" w:lineRule="auto"/>
            </w:pPr>
            <w:r>
              <w:rPr>
                <w:rFonts w:ascii="Calibri" w:hAnsi="Calibri"/>
                <w:sz w:val="18"/>
                <w:szCs w:val="18"/>
              </w:rPr>
              <w:t xml:space="preserve">« Renvoyez ceci à qui vous l'a transmis. » Sans cela, le démenti ne circule pas.</w:t>
            </w:r>
          </w:p>
        </w:tc>
      </w:tr>
    </w:tbl>
    <w:p>
      <w:pPr>
        <w:spacing w:before="0" w:after="160" w:line="276" w:lineRule="auto"/>
      </w:pPr>
    </w:p>
    <w:p>
      <w:pPr>
        <w:spacing w:before="280" w:after="140" w:line="276" w:lineRule="auto"/>
      </w:pPr>
      <w:r>
        <w:rPr>
          <w:rFonts w:ascii="Calibri" w:hAnsi="Calibri"/>
          <w:b/>
          <w:color w:val="0E1A14"/>
          <w:sz w:val="28"/>
          <w:szCs w:val="28"/>
        </w:rPr>
        <w:t xml:space="preserve">Ce qu'on ne publie jamais</w:t>
      </w:r>
    </w:p>
    <w:p>
      <w:pPr>
        <w:numPr>
          <w:ilvl w:val="0"/>
          <w:numId w:val="1"/>
        </w:numPr>
        <w:spacing w:before="0" w:after="120" w:line="276" w:lineRule="auto"/>
      </w:pPr>
      <w:r>
        <w:rPr>
          <w:rFonts w:ascii="Calibri" w:hAnsi="Calibri"/>
          <w:b/>
        </w:rPr>
        <w:t xml:space="preserve">Un verdict sans analyse écrite ni source vérifiable.</w:t>
      </w:r>
      <w:r>
        <w:rPr>
          <w:rFonts w:ascii="Calibri" w:hAnsi="Calibri"/>
        </w:rPr>
        <w:t xml:space="preserve"> La règle existe déjà dans le code : une publication au nom de la rédaction exige les deux.</w:t>
      </w:r>
    </w:p>
    <w:p>
      <w:pPr>
        <w:numPr>
          <w:ilvl w:val="0"/>
          <w:numId w:val="1"/>
        </w:numPr>
        <w:spacing w:before="0" w:after="120" w:line="276" w:lineRule="auto"/>
      </w:pPr>
      <w:r>
        <w:rPr>
          <w:rFonts w:ascii="Calibri" w:hAnsi="Calibri"/>
          <w:b/>
        </w:rPr>
        <w:t xml:space="preserve">Une capture d'écran de la rumeur sans filigrane ni verdict apposé.</w:t>
      </w:r>
      <w:r>
        <w:rPr>
          <w:rFonts w:ascii="Calibri" w:hAnsi="Calibri"/>
        </w:rPr>
        <w:t xml:space="preserve"> Elle serait recadrée et repartagée comme une confirmation.</w:t>
      </w:r>
    </w:p>
    <w:p>
      <w:pPr>
        <w:numPr>
          <w:ilvl w:val="0"/>
          <w:numId w:val="1"/>
        </w:numPr>
        <w:spacing w:before="0" w:after="120" w:line="276" w:lineRule="auto"/>
      </w:pPr>
      <w:r>
        <w:rPr>
          <w:rFonts w:ascii="Calibri" w:hAnsi="Calibri"/>
          <w:b/>
        </w:rPr>
        <w:t xml:space="preserve">Le nom ou le visage d'un particulier</w:t>
      </w:r>
      <w:r>
        <w:rPr>
          <w:rFonts w:ascii="Calibri" w:hAnsi="Calibri"/>
        </w:rPr>
        <w:t xml:space="preserve"> ayant relayé une fausse information. Les comptes institutionnels et les médias engagent leur responsabilité ; un citoyen non.</w:t>
      </w:r>
    </w:p>
    <w:p>
      <w:pPr>
        <w:numPr>
          <w:ilvl w:val="0"/>
          <w:numId w:val="1"/>
        </w:numPr>
        <w:spacing w:before="0" w:after="120" w:line="276" w:lineRule="auto"/>
      </w:pPr>
      <w:r>
        <w:rPr>
          <w:rFonts w:ascii="Calibri" w:hAnsi="Calibri"/>
          <w:b/>
        </w:rPr>
        <w:t xml:space="preserve">Une promesse sur nos capacités techniques</w:t>
      </w:r>
      <w:r>
        <w:rPr>
          <w:rFonts w:ascii="Calibri" w:hAnsi="Calibri"/>
        </w:rPr>
        <w:t xml:space="preserve"> que la page de méthodologie ne confirme pas.</w:t>
      </w:r>
    </w:p>
    <w:p>
      <w:pPr>
        <w:numPr>
          <w:ilvl w:val="0"/>
          <w:numId w:val="1"/>
        </w:numPr>
        <w:spacing w:before="0" w:after="120" w:line="276" w:lineRule="auto"/>
      </w:pPr>
      <w:r>
        <w:rPr>
          <w:rFonts w:ascii="Calibri" w:hAnsi="Calibri"/>
          <w:b/>
        </w:rPr>
        <w:t xml:space="preserve">Un contenu d'opportunité comportant des frais de dossier</w:t>
      </w:r>
      <w:r>
        <w:rPr>
          <w:rFonts w:ascii="Calibri" w:hAnsi="Calibri"/>
        </w:rPr>
        <w:t xml:space="preserve">, quelle que soit la notoriété apparente de l'émetteur.</w:t>
      </w:r>
    </w:p>
    <w:p>
      <w:r>
        <w:br w:type="page"/>
      </w:r>
    </w:p>
    <w:p>
      <w:pPr>
        <w:spacing w:before="360" w:after="140" w:line="276" w:lineRule="auto"/>
      </w:pPr>
      <w:r>
        <w:rPr>
          <w:rFonts w:ascii="Calibri" w:hAnsi="Calibri"/>
          <w:b/>
          <w:color w:val="067A35"/>
          <w:sz w:val="36"/>
          <w:szCs w:val="36"/>
        </w:rPr>
        <w:t xml:space="preserve">6. Les canaux, par rendement réel et non par habitude</w:t>
      </w:r>
    </w:p>
    <w:p>
      <w:pPr>
        <w:spacing w:before="0" w:after="120" w:line="276" w:lineRule="auto"/>
      </w:pPr>
      <w:r>
        <w:rPr>
          <w:rFonts w:ascii="Calibri" w:hAnsi="Calibri"/>
        </w:rPr>
        <w:t xml:space="preserve">L'ordre qui suit n'est pas celui des agences. Il est dicté par un fait local : au Bénin, la désinformation circule d'abord dans des espaces fermés, et une stratégie centrée sur les réseaux ouverts s'adresse à un public qui n'est pas celui qu'on veut atteindre.</w:t>
      </w:r>
    </w:p>
    <w:tbl>
      <w:tblPr>
        <w:tblW w:w="9360" w:type="dxa"/>
        <w:tblBorders>
          <w:top w:val="single" w:sz="4" w:space="0" w:color="D8E0DB"/>
          <w:left w:val="single" w:sz="4" w:space="0" w:color="D8E0DB"/>
          <w:bottom w:val="single" w:sz="4" w:space="0" w:color="D8E0DB"/>
          <w:right w:val="single" w:sz="4" w:space="0" w:color="D8E0DB"/>
          <w:insideH w:val="single" w:sz="4" w:space="0" w:color="D8E0DB"/>
          <w:insideV w:val="single" w:sz="4" w:space="0" w:color="D8E0DB"/>
        </w:tblBorders>
        <w:tblLayout w:type="fixed"/>
      </w:tblPr>
      <w:tr>
        <w:trPr>
          <w:tblHeader/>
        </w:trPr>
        <w:tc>
          <w:tcPr>
            <w:tcW w:w="600" w:type="dxa"/>
            <w:shd w:val="clear" w:fill="EAF9F0"/>
            <w:tcMar>
              <w:top w:w="80" w:type="dxa"/>
              <w:bottom w:w="80" w:type="dxa"/>
              <w:left w:w="120" w:type="dxa"/>
              <w:right w:w="120" w:type="dxa"/>
            </w:tcMar>
          </w:tcPr>
          <w:p>
            <w:pPr>
              <w:spacing w:before="0" w:after="0" w:line="276" w:lineRule="auto"/>
            </w:pPr>
            <w:r>
              <w:rPr>
                <w:rFonts w:ascii="Calibri" w:hAnsi="Calibri"/>
                <w:b/>
                <w:color w:val="067A35"/>
                <w:sz w:val="18"/>
                <w:szCs w:val="18"/>
              </w:rPr>
              <w:t xml:space="preserve">Rang</w:t>
            </w:r>
          </w:p>
        </w:tc>
        <w:tc>
          <w:tcPr>
            <w:tcW w:w="1900" w:type="dxa"/>
            <w:shd w:val="clear" w:fill="EAF9F0"/>
            <w:tcMar>
              <w:top w:w="80" w:type="dxa"/>
              <w:bottom w:w="80" w:type="dxa"/>
              <w:left w:w="120" w:type="dxa"/>
              <w:right w:w="120" w:type="dxa"/>
            </w:tcMar>
          </w:tcPr>
          <w:p>
            <w:pPr>
              <w:spacing w:before="0" w:after="0" w:line="276" w:lineRule="auto"/>
            </w:pPr>
            <w:r>
              <w:rPr>
                <w:rFonts w:ascii="Calibri" w:hAnsi="Calibri"/>
                <w:b/>
                <w:color w:val="067A35"/>
                <w:sz w:val="18"/>
                <w:szCs w:val="18"/>
              </w:rPr>
              <w:t xml:space="preserve">Canal</w:t>
            </w:r>
          </w:p>
        </w:tc>
        <w:tc>
          <w:tcPr>
            <w:tcW w:w="2600" w:type="dxa"/>
            <w:shd w:val="clear" w:fill="EAF9F0"/>
            <w:tcMar>
              <w:top w:w="80" w:type="dxa"/>
              <w:bottom w:w="80" w:type="dxa"/>
              <w:left w:w="120" w:type="dxa"/>
              <w:right w:w="120" w:type="dxa"/>
            </w:tcMar>
          </w:tcPr>
          <w:p>
            <w:pPr>
              <w:spacing w:before="0" w:after="0" w:line="276" w:lineRule="auto"/>
            </w:pPr>
            <w:r>
              <w:rPr>
                <w:rFonts w:ascii="Calibri" w:hAnsi="Calibri"/>
                <w:b/>
                <w:color w:val="067A35"/>
                <w:sz w:val="18"/>
                <w:szCs w:val="18"/>
              </w:rPr>
              <w:t xml:space="preserve">Rôle</w:t>
            </w:r>
          </w:p>
        </w:tc>
        <w:tc>
          <w:tcPr>
            <w:tcW w:w="1600" w:type="dxa"/>
            <w:shd w:val="clear" w:fill="EAF9F0"/>
            <w:tcMar>
              <w:top w:w="80" w:type="dxa"/>
              <w:bottom w:w="80" w:type="dxa"/>
              <w:left w:w="120" w:type="dxa"/>
              <w:right w:w="120" w:type="dxa"/>
            </w:tcMar>
          </w:tcPr>
          <w:p>
            <w:pPr>
              <w:spacing w:before="0" w:after="0" w:line="276" w:lineRule="auto"/>
            </w:pPr>
            <w:r>
              <w:rPr>
                <w:rFonts w:ascii="Calibri" w:hAnsi="Calibri"/>
                <w:b/>
                <w:color w:val="067A35"/>
                <w:sz w:val="18"/>
                <w:szCs w:val="18"/>
              </w:rPr>
              <w:t xml:space="preserve">Rythme</w:t>
            </w:r>
          </w:p>
        </w:tc>
        <w:tc>
          <w:tcPr>
            <w:tcW w:w="2660" w:type="dxa"/>
            <w:shd w:val="clear" w:fill="EAF9F0"/>
            <w:tcMar>
              <w:top w:w="80" w:type="dxa"/>
              <w:bottom w:w="80" w:type="dxa"/>
              <w:left w:w="120" w:type="dxa"/>
              <w:right w:w="120" w:type="dxa"/>
            </w:tcMar>
          </w:tcPr>
          <w:p>
            <w:pPr>
              <w:spacing w:before="0" w:after="0" w:line="276" w:lineRule="auto"/>
            </w:pPr>
            <w:r>
              <w:rPr>
                <w:rFonts w:ascii="Calibri" w:hAnsi="Calibri"/>
                <w:b/>
                <w:color w:val="067A35"/>
                <w:sz w:val="18"/>
                <w:szCs w:val="18"/>
              </w:rPr>
              <w:t xml:space="preserve">Indicateur qui compte</w:t>
            </w:r>
          </w:p>
        </w:tc>
      </w:tr>
      <w:tr>
        <w:tc>
          <w:tcPr>
            <w:tcW w:w="600" w:type="dxa"/>
            <w:tcMar>
              <w:top w:w="80" w:type="dxa"/>
              <w:bottom w:w="80" w:type="dxa"/>
              <w:left w:w="120" w:type="dxa"/>
              <w:right w:w="120" w:type="dxa"/>
            </w:tcMar>
          </w:tcPr>
          <w:p>
            <w:pPr>
              <w:spacing w:before="0" w:after="0" w:line="276" w:lineRule="auto"/>
            </w:pPr>
            <w:r>
              <w:rPr>
                <w:rFonts w:ascii="Calibri" w:hAnsi="Calibri"/>
                <w:sz w:val="18"/>
                <w:szCs w:val="18"/>
              </w:rPr>
              <w:t xml:space="preserve">1</w:t>
            </w:r>
          </w:p>
        </w:tc>
        <w:tc>
          <w:tcPr>
            <w:tcW w:w="1900" w:type="dxa"/>
            <w:tcMar>
              <w:top w:w="80" w:type="dxa"/>
              <w:bottom w:w="80" w:type="dxa"/>
              <w:left w:w="120" w:type="dxa"/>
              <w:right w:w="120" w:type="dxa"/>
            </w:tcMar>
          </w:tcPr>
          <w:p>
            <w:pPr>
              <w:spacing w:before="0" w:after="0" w:line="276" w:lineRule="auto"/>
            </w:pPr>
            <w:r>
              <w:rPr>
                <w:rFonts w:ascii="Calibri" w:hAnsi="Calibri"/>
                <w:sz w:val="18"/>
                <w:szCs w:val="18"/>
              </w:rPr>
              <w:t xml:space="preserve">WhatsApp (tipline + chaîne)</w:t>
            </w:r>
          </w:p>
        </w:tc>
        <w:tc>
          <w:tcPr>
            <w:tcW w:w="2600" w:type="dxa"/>
            <w:tcMar>
              <w:top w:w="80" w:type="dxa"/>
              <w:bottom w:w="80" w:type="dxa"/>
              <w:left w:w="120" w:type="dxa"/>
              <w:right w:w="120" w:type="dxa"/>
            </w:tcMar>
          </w:tcPr>
          <w:p>
            <w:pPr>
              <w:spacing w:before="0" w:after="0" w:line="276" w:lineRule="auto"/>
            </w:pPr>
            <w:r>
              <w:rPr>
                <w:rFonts w:ascii="Calibri" w:hAnsi="Calibri"/>
                <w:sz w:val="18"/>
                <w:szCs w:val="18"/>
              </w:rPr>
              <w:t xml:space="preserve">Recevoir les signalements et y répondre là où la rumeur est née</w:t>
            </w:r>
          </w:p>
        </w:tc>
        <w:tc>
          <w:tcPr>
            <w:tcW w:w="1600" w:type="dxa"/>
            <w:tcMar>
              <w:top w:w="80" w:type="dxa"/>
              <w:bottom w:w="80" w:type="dxa"/>
              <w:left w:w="120" w:type="dxa"/>
              <w:right w:w="120" w:type="dxa"/>
            </w:tcMar>
          </w:tcPr>
          <w:p>
            <w:pPr>
              <w:spacing w:before="0" w:after="0" w:line="276" w:lineRule="auto"/>
            </w:pPr>
            <w:r>
              <w:rPr>
                <w:rFonts w:ascii="Calibri" w:hAnsi="Calibri"/>
                <w:sz w:val="18"/>
                <w:szCs w:val="18"/>
              </w:rPr>
              <w:t xml:space="preserve">Continu, réponse sous 24 h</w:t>
            </w:r>
          </w:p>
        </w:tc>
        <w:tc>
          <w:tcPr>
            <w:tcW w:w="2660" w:type="dxa"/>
            <w:tcMar>
              <w:top w:w="80" w:type="dxa"/>
              <w:bottom w:w="80" w:type="dxa"/>
              <w:left w:w="120" w:type="dxa"/>
              <w:right w:w="120" w:type="dxa"/>
            </w:tcMar>
          </w:tcPr>
          <w:p>
            <w:pPr>
              <w:spacing w:before="0" w:after="0" w:line="276" w:lineRule="auto"/>
            </w:pPr>
            <w:r>
              <w:rPr>
                <w:rFonts w:ascii="Calibri" w:hAnsi="Calibri"/>
                <w:sz w:val="18"/>
                <w:szCs w:val="18"/>
              </w:rPr>
              <w:t xml:space="preserve">Signalements reçus ; démentis renvoyés dans le groupe d'origine</w:t>
            </w:r>
          </w:p>
        </w:tc>
      </w:tr>
      <w:tr>
        <w:tc>
          <w:tcPr>
            <w:tcW w:w="600" w:type="dxa"/>
            <w:tcMar>
              <w:top w:w="80" w:type="dxa"/>
              <w:bottom w:w="80" w:type="dxa"/>
              <w:left w:w="120" w:type="dxa"/>
              <w:right w:w="120" w:type="dxa"/>
            </w:tcMar>
          </w:tcPr>
          <w:p>
            <w:pPr>
              <w:spacing w:before="0" w:after="0" w:line="276" w:lineRule="auto"/>
            </w:pPr>
            <w:r>
              <w:rPr>
                <w:rFonts w:ascii="Calibri" w:hAnsi="Calibri"/>
                <w:sz w:val="18"/>
                <w:szCs w:val="18"/>
              </w:rPr>
              <w:t xml:space="preserve">2</w:t>
            </w:r>
          </w:p>
        </w:tc>
        <w:tc>
          <w:tcPr>
            <w:tcW w:w="1900" w:type="dxa"/>
            <w:tcMar>
              <w:top w:w="80" w:type="dxa"/>
              <w:bottom w:w="80" w:type="dxa"/>
              <w:left w:w="120" w:type="dxa"/>
              <w:right w:w="120" w:type="dxa"/>
            </w:tcMar>
          </w:tcPr>
          <w:p>
            <w:pPr>
              <w:spacing w:before="0" w:after="0" w:line="276" w:lineRule="auto"/>
            </w:pPr>
            <w:r>
              <w:rPr>
                <w:rFonts w:ascii="Calibri" w:hAnsi="Calibri"/>
                <w:sz w:val="18"/>
                <w:szCs w:val="18"/>
              </w:rPr>
              <w:t xml:space="preserve">Cartes de démenti
(images partageables)</w:t>
            </w:r>
          </w:p>
        </w:tc>
        <w:tc>
          <w:tcPr>
            <w:tcW w:w="2600" w:type="dxa"/>
            <w:tcMar>
              <w:top w:w="80" w:type="dxa"/>
              <w:bottom w:w="80" w:type="dxa"/>
              <w:left w:w="120" w:type="dxa"/>
              <w:right w:w="120" w:type="dxa"/>
            </w:tcMar>
          </w:tcPr>
          <w:p>
            <w:pPr>
              <w:spacing w:before="0" w:after="0" w:line="276" w:lineRule="auto"/>
            </w:pPr>
            <w:r>
              <w:rPr>
                <w:rFonts w:ascii="Calibri" w:hAnsi="Calibri"/>
                <w:sz w:val="18"/>
                <w:szCs w:val="18"/>
              </w:rPr>
              <w:t xml:space="preserve">Le format qui voyage : lisible sans cliquer, verdict apposé</w:t>
            </w:r>
          </w:p>
        </w:tc>
        <w:tc>
          <w:tcPr>
            <w:tcW w:w="1600" w:type="dxa"/>
            <w:tcMar>
              <w:top w:w="80" w:type="dxa"/>
              <w:bottom w:w="80" w:type="dxa"/>
              <w:left w:w="120" w:type="dxa"/>
              <w:right w:w="120" w:type="dxa"/>
            </w:tcMar>
          </w:tcPr>
          <w:p>
            <w:pPr>
              <w:spacing w:before="0" w:after="0" w:line="276" w:lineRule="auto"/>
            </w:pPr>
            <w:r>
              <w:rPr>
                <w:rFonts w:ascii="Calibri" w:hAnsi="Calibri"/>
                <w:sz w:val="18"/>
                <w:szCs w:val="18"/>
              </w:rPr>
              <w:t xml:space="preserve">1 par vérification publiée</w:t>
            </w:r>
          </w:p>
        </w:tc>
        <w:tc>
          <w:tcPr>
            <w:tcW w:w="2660" w:type="dxa"/>
            <w:tcMar>
              <w:top w:w="80" w:type="dxa"/>
              <w:bottom w:w="80" w:type="dxa"/>
              <w:left w:w="120" w:type="dxa"/>
              <w:right w:w="120" w:type="dxa"/>
            </w:tcMar>
          </w:tcPr>
          <w:p>
            <w:pPr>
              <w:spacing w:before="0" w:after="0" w:line="276" w:lineRule="auto"/>
            </w:pPr>
            <w:r>
              <w:rPr>
                <w:rFonts w:ascii="Calibri" w:hAnsi="Calibri"/>
                <w:sz w:val="18"/>
                <w:szCs w:val="18"/>
              </w:rPr>
              <w:t xml:space="preserve">Repartages, pas impressions</w:t>
            </w:r>
          </w:p>
        </w:tc>
      </w:tr>
      <w:tr>
        <w:tc>
          <w:tcPr>
            <w:tcW w:w="600" w:type="dxa"/>
            <w:tcMar>
              <w:top w:w="80" w:type="dxa"/>
              <w:bottom w:w="80" w:type="dxa"/>
              <w:left w:w="120" w:type="dxa"/>
              <w:right w:w="120" w:type="dxa"/>
            </w:tcMar>
          </w:tcPr>
          <w:p>
            <w:pPr>
              <w:spacing w:before="0" w:after="0" w:line="276" w:lineRule="auto"/>
            </w:pPr>
            <w:r>
              <w:rPr>
                <w:rFonts w:ascii="Calibri" w:hAnsi="Calibri"/>
                <w:sz w:val="18"/>
                <w:szCs w:val="18"/>
              </w:rPr>
              <w:t xml:space="preserve">3</w:t>
            </w:r>
          </w:p>
        </w:tc>
        <w:tc>
          <w:tcPr>
            <w:tcW w:w="1900" w:type="dxa"/>
            <w:tcMar>
              <w:top w:w="80" w:type="dxa"/>
              <w:bottom w:w="80" w:type="dxa"/>
              <w:left w:w="120" w:type="dxa"/>
              <w:right w:w="120" w:type="dxa"/>
            </w:tcMar>
          </w:tcPr>
          <w:p>
            <w:pPr>
              <w:spacing w:before="0" w:after="0" w:line="276" w:lineRule="auto"/>
            </w:pPr>
            <w:r>
              <w:rPr>
                <w:rFonts w:ascii="Calibri" w:hAnsi="Calibri"/>
                <w:sz w:val="18"/>
                <w:szCs w:val="18"/>
              </w:rPr>
              <w:t xml:space="preserve">Facebook</w:t>
            </w:r>
          </w:p>
        </w:tc>
        <w:tc>
          <w:tcPr>
            <w:tcW w:w="2600" w:type="dxa"/>
            <w:tcMar>
              <w:top w:w="80" w:type="dxa"/>
              <w:bottom w:w="80" w:type="dxa"/>
              <w:left w:w="120" w:type="dxa"/>
              <w:right w:w="120" w:type="dxa"/>
            </w:tcMar>
          </w:tcPr>
          <w:p>
            <w:pPr>
              <w:spacing w:before="0" w:after="0" w:line="276" w:lineRule="auto"/>
            </w:pPr>
            <w:r>
              <w:rPr>
                <w:rFonts w:ascii="Calibri" w:hAnsi="Calibri"/>
                <w:sz w:val="18"/>
                <w:szCs w:val="18"/>
              </w:rPr>
              <w:t xml:space="preserve">L'audience la plus large au Bénin, tous âges</w:t>
            </w:r>
          </w:p>
        </w:tc>
        <w:tc>
          <w:tcPr>
            <w:tcW w:w="1600" w:type="dxa"/>
            <w:tcMar>
              <w:top w:w="80" w:type="dxa"/>
              <w:bottom w:w="80" w:type="dxa"/>
              <w:left w:w="120" w:type="dxa"/>
              <w:right w:w="120" w:type="dxa"/>
            </w:tcMar>
          </w:tcPr>
          <w:p>
            <w:pPr>
              <w:spacing w:before="0" w:after="0" w:line="276" w:lineRule="auto"/>
            </w:pPr>
            <w:r>
              <w:rPr>
                <w:rFonts w:ascii="Calibri" w:hAnsi="Calibri"/>
                <w:sz w:val="18"/>
                <w:szCs w:val="18"/>
              </w:rPr>
              <w:t xml:space="preserve">4 à 5 publications par semaine</w:t>
            </w:r>
          </w:p>
        </w:tc>
        <w:tc>
          <w:tcPr>
            <w:tcW w:w="2660" w:type="dxa"/>
            <w:tcMar>
              <w:top w:w="80" w:type="dxa"/>
              <w:bottom w:w="80" w:type="dxa"/>
              <w:left w:w="120" w:type="dxa"/>
              <w:right w:w="120" w:type="dxa"/>
            </w:tcMar>
          </w:tcPr>
          <w:p>
            <w:pPr>
              <w:spacing w:before="0" w:after="0" w:line="276" w:lineRule="auto"/>
            </w:pPr>
            <w:r>
              <w:rPr>
                <w:rFonts w:ascii="Calibri" w:hAnsi="Calibri"/>
                <w:sz w:val="18"/>
                <w:szCs w:val="18"/>
              </w:rPr>
              <w:t xml:space="preserve">Commentaires demandant une vérification</w:t>
            </w:r>
          </w:p>
        </w:tc>
      </w:tr>
      <w:tr>
        <w:tc>
          <w:tcPr>
            <w:tcW w:w="600" w:type="dxa"/>
            <w:tcMar>
              <w:top w:w="80" w:type="dxa"/>
              <w:bottom w:w="80" w:type="dxa"/>
              <w:left w:w="120" w:type="dxa"/>
              <w:right w:w="120" w:type="dxa"/>
            </w:tcMar>
          </w:tcPr>
          <w:p>
            <w:pPr>
              <w:spacing w:before="0" w:after="0" w:line="276" w:lineRule="auto"/>
            </w:pPr>
            <w:r>
              <w:rPr>
                <w:rFonts w:ascii="Calibri" w:hAnsi="Calibri"/>
                <w:sz w:val="18"/>
                <w:szCs w:val="18"/>
              </w:rPr>
              <w:t xml:space="preserve">4</w:t>
            </w:r>
          </w:p>
        </w:tc>
        <w:tc>
          <w:tcPr>
            <w:tcW w:w="1900" w:type="dxa"/>
            <w:tcMar>
              <w:top w:w="80" w:type="dxa"/>
              <w:bottom w:w="80" w:type="dxa"/>
              <w:left w:w="120" w:type="dxa"/>
              <w:right w:w="120" w:type="dxa"/>
            </w:tcMar>
          </w:tcPr>
          <w:p>
            <w:pPr>
              <w:spacing w:before="0" w:after="0" w:line="276" w:lineRule="auto"/>
            </w:pPr>
            <w:r>
              <w:rPr>
                <w:rFonts w:ascii="Calibri" w:hAnsi="Calibri"/>
                <w:sz w:val="18"/>
                <w:szCs w:val="18"/>
              </w:rPr>
              <w:t xml:space="preserve">Référencement naturel</w:t>
            </w:r>
          </w:p>
        </w:tc>
        <w:tc>
          <w:tcPr>
            <w:tcW w:w="2600" w:type="dxa"/>
            <w:tcMar>
              <w:top w:w="80" w:type="dxa"/>
              <w:bottom w:w="80" w:type="dxa"/>
              <w:left w:w="120" w:type="dxa"/>
              <w:right w:w="120" w:type="dxa"/>
            </w:tcMar>
          </w:tcPr>
          <w:p>
            <w:pPr>
              <w:spacing w:before="0" w:after="0" w:line="276" w:lineRule="auto"/>
            </w:pPr>
            <w:r>
              <w:rPr>
                <w:rFonts w:ascii="Calibri" w:hAnsi="Calibri"/>
                <w:sz w:val="18"/>
                <w:szCs w:val="18"/>
              </w:rPr>
              <w:t xml:space="preserve">Capter « bourse », « concours », « est-ce vrai que »</w:t>
            </w:r>
          </w:p>
        </w:tc>
        <w:tc>
          <w:tcPr>
            <w:tcW w:w="1600" w:type="dxa"/>
            <w:tcMar>
              <w:top w:w="80" w:type="dxa"/>
              <w:bottom w:w="80" w:type="dxa"/>
              <w:left w:w="120" w:type="dxa"/>
              <w:right w:w="120" w:type="dxa"/>
            </w:tcMar>
          </w:tcPr>
          <w:p>
            <w:pPr>
              <w:spacing w:before="0" w:after="0" w:line="276" w:lineRule="auto"/>
            </w:pPr>
            <w:r>
              <w:rPr>
                <w:rFonts w:ascii="Calibri" w:hAnsi="Calibri"/>
                <w:sz w:val="18"/>
                <w:szCs w:val="18"/>
              </w:rPr>
              <w:t xml:space="preserve">Continu</w:t>
            </w:r>
          </w:p>
        </w:tc>
        <w:tc>
          <w:tcPr>
            <w:tcW w:w="2660" w:type="dxa"/>
            <w:tcMar>
              <w:top w:w="80" w:type="dxa"/>
              <w:bottom w:w="80" w:type="dxa"/>
              <w:left w:w="120" w:type="dxa"/>
              <w:right w:w="120" w:type="dxa"/>
            </w:tcMar>
          </w:tcPr>
          <w:p>
            <w:pPr>
              <w:spacing w:before="0" w:after="0" w:line="276" w:lineRule="auto"/>
            </w:pPr>
            <w:r>
              <w:rPr>
                <w:rFonts w:ascii="Calibri" w:hAnsi="Calibri"/>
                <w:sz w:val="18"/>
                <w:szCs w:val="18"/>
              </w:rPr>
              <w:t xml:space="preserve">Position sur les requêtes d'opportunités</w:t>
            </w:r>
          </w:p>
        </w:tc>
      </w:tr>
      <w:tr>
        <w:tc>
          <w:tcPr>
            <w:tcW w:w="600" w:type="dxa"/>
            <w:tcMar>
              <w:top w:w="80" w:type="dxa"/>
              <w:bottom w:w="80" w:type="dxa"/>
              <w:left w:w="120" w:type="dxa"/>
              <w:right w:w="120" w:type="dxa"/>
            </w:tcMar>
          </w:tcPr>
          <w:p>
            <w:pPr>
              <w:spacing w:before="0" w:after="0" w:line="276" w:lineRule="auto"/>
            </w:pPr>
            <w:r>
              <w:rPr>
                <w:rFonts w:ascii="Calibri" w:hAnsi="Calibri"/>
                <w:sz w:val="18"/>
                <w:szCs w:val="18"/>
              </w:rPr>
              <w:t xml:space="preserve">5</w:t>
            </w:r>
          </w:p>
        </w:tc>
        <w:tc>
          <w:tcPr>
            <w:tcW w:w="1900" w:type="dxa"/>
            <w:tcMar>
              <w:top w:w="80" w:type="dxa"/>
              <w:bottom w:w="80" w:type="dxa"/>
              <w:left w:w="120" w:type="dxa"/>
              <w:right w:w="120" w:type="dxa"/>
            </w:tcMar>
          </w:tcPr>
          <w:p>
            <w:pPr>
              <w:spacing w:before="0" w:after="0" w:line="276" w:lineRule="auto"/>
            </w:pPr>
            <w:r>
              <w:rPr>
                <w:rFonts w:ascii="Calibri" w:hAnsi="Calibri"/>
                <w:sz w:val="18"/>
                <w:szCs w:val="18"/>
              </w:rPr>
              <w:t xml:space="preserve">TikTok / Instagram</w:t>
            </w:r>
          </w:p>
        </w:tc>
        <w:tc>
          <w:tcPr>
            <w:tcW w:w="2600" w:type="dxa"/>
            <w:tcMar>
              <w:top w:w="80" w:type="dxa"/>
              <w:bottom w:w="80" w:type="dxa"/>
              <w:left w:w="120" w:type="dxa"/>
              <w:right w:w="120" w:type="dxa"/>
            </w:tcMar>
          </w:tcPr>
          <w:p>
            <w:pPr>
              <w:spacing w:before="0" w:after="0" w:line="276" w:lineRule="auto"/>
            </w:pPr>
            <w:r>
              <w:rPr>
                <w:rFonts w:ascii="Calibri" w:hAnsi="Calibri"/>
                <w:sz w:val="18"/>
                <w:szCs w:val="18"/>
              </w:rPr>
              <w:t xml:space="preserve">Les 18-25 ans, format court, méthode montrée</w:t>
            </w:r>
          </w:p>
        </w:tc>
        <w:tc>
          <w:tcPr>
            <w:tcW w:w="1600" w:type="dxa"/>
            <w:tcMar>
              <w:top w:w="80" w:type="dxa"/>
              <w:bottom w:w="80" w:type="dxa"/>
              <w:left w:w="120" w:type="dxa"/>
              <w:right w:w="120" w:type="dxa"/>
            </w:tcMar>
          </w:tcPr>
          <w:p>
            <w:pPr>
              <w:spacing w:before="0" w:after="0" w:line="276" w:lineRule="auto"/>
            </w:pPr>
            <w:r>
              <w:rPr>
                <w:rFonts w:ascii="Calibri" w:hAnsi="Calibri"/>
                <w:sz w:val="18"/>
                <w:szCs w:val="18"/>
              </w:rPr>
              <w:t xml:space="preserve">2 par semaine</w:t>
            </w:r>
          </w:p>
        </w:tc>
        <w:tc>
          <w:tcPr>
            <w:tcW w:w="2660" w:type="dxa"/>
            <w:tcMar>
              <w:top w:w="80" w:type="dxa"/>
              <w:bottom w:w="80" w:type="dxa"/>
              <w:left w:w="120" w:type="dxa"/>
              <w:right w:w="120" w:type="dxa"/>
            </w:tcMar>
          </w:tcPr>
          <w:p>
            <w:pPr>
              <w:spacing w:before="0" w:after="0" w:line="276" w:lineRule="auto"/>
            </w:pPr>
            <w:r>
              <w:rPr>
                <w:rFonts w:ascii="Calibri" w:hAnsi="Calibri"/>
                <w:sz w:val="18"/>
                <w:szCs w:val="18"/>
              </w:rPr>
              <w:t xml:space="preserve">Taux de complétion</w:t>
            </w:r>
          </w:p>
        </w:tc>
      </w:tr>
      <w:tr>
        <w:tc>
          <w:tcPr>
            <w:tcW w:w="600" w:type="dxa"/>
            <w:tcMar>
              <w:top w:w="80" w:type="dxa"/>
              <w:bottom w:w="80" w:type="dxa"/>
              <w:left w:w="120" w:type="dxa"/>
              <w:right w:w="120" w:type="dxa"/>
            </w:tcMar>
          </w:tcPr>
          <w:p>
            <w:pPr>
              <w:spacing w:before="0" w:after="0" w:line="276" w:lineRule="auto"/>
            </w:pPr>
            <w:r>
              <w:rPr>
                <w:rFonts w:ascii="Calibri" w:hAnsi="Calibri"/>
                <w:sz w:val="18"/>
                <w:szCs w:val="18"/>
              </w:rPr>
              <w:t xml:space="preserve">6</w:t>
            </w:r>
          </w:p>
        </w:tc>
        <w:tc>
          <w:tcPr>
            <w:tcW w:w="1900" w:type="dxa"/>
            <w:tcMar>
              <w:top w:w="80" w:type="dxa"/>
              <w:bottom w:w="80" w:type="dxa"/>
              <w:left w:w="120" w:type="dxa"/>
              <w:right w:w="120" w:type="dxa"/>
            </w:tcMar>
          </w:tcPr>
          <w:p>
            <w:pPr>
              <w:spacing w:before="0" w:after="0" w:line="276" w:lineRule="auto"/>
            </w:pPr>
            <w:r>
              <w:rPr>
                <w:rFonts w:ascii="Calibri" w:hAnsi="Calibri"/>
                <w:sz w:val="18"/>
                <w:szCs w:val="18"/>
              </w:rPr>
              <w:t xml:space="preserve">LinkedIn</w:t>
            </w:r>
          </w:p>
        </w:tc>
        <w:tc>
          <w:tcPr>
            <w:tcW w:w="2600" w:type="dxa"/>
            <w:tcMar>
              <w:top w:w="80" w:type="dxa"/>
              <w:bottom w:w="80" w:type="dxa"/>
              <w:left w:w="120" w:type="dxa"/>
              <w:right w:w="120" w:type="dxa"/>
            </w:tcMar>
          </w:tcPr>
          <w:p>
            <w:pPr>
              <w:spacing w:before="0" w:after="0" w:line="276" w:lineRule="auto"/>
            </w:pPr>
            <w:r>
              <w:rPr>
                <w:rFonts w:ascii="Calibri" w:hAnsi="Calibri"/>
                <w:sz w:val="18"/>
                <w:szCs w:val="18"/>
              </w:rPr>
              <w:t xml:space="preserve">Institutions, ONG, bailleurs, partenariats</w:t>
            </w:r>
          </w:p>
        </w:tc>
        <w:tc>
          <w:tcPr>
            <w:tcW w:w="1600" w:type="dxa"/>
            <w:tcMar>
              <w:top w:w="80" w:type="dxa"/>
              <w:bottom w:w="80" w:type="dxa"/>
              <w:left w:w="120" w:type="dxa"/>
              <w:right w:w="120" w:type="dxa"/>
            </w:tcMar>
          </w:tcPr>
          <w:p>
            <w:pPr>
              <w:spacing w:before="0" w:after="0" w:line="276" w:lineRule="auto"/>
            </w:pPr>
            <w:r>
              <w:rPr>
                <w:rFonts w:ascii="Calibri" w:hAnsi="Calibri"/>
                <w:sz w:val="18"/>
                <w:szCs w:val="18"/>
              </w:rPr>
              <w:t xml:space="preserve">1 par semaine</w:t>
            </w:r>
          </w:p>
        </w:tc>
        <w:tc>
          <w:tcPr>
            <w:tcW w:w="2660" w:type="dxa"/>
            <w:tcMar>
              <w:top w:w="80" w:type="dxa"/>
              <w:bottom w:w="80" w:type="dxa"/>
              <w:left w:w="120" w:type="dxa"/>
              <w:right w:w="120" w:type="dxa"/>
            </w:tcMar>
          </w:tcPr>
          <w:p>
            <w:pPr>
              <w:spacing w:before="0" w:after="0" w:line="276" w:lineRule="auto"/>
            </w:pPr>
            <w:r>
              <w:rPr>
                <w:rFonts w:ascii="Calibri" w:hAnsi="Calibri"/>
                <w:sz w:val="18"/>
                <w:szCs w:val="18"/>
              </w:rPr>
              <w:t xml:space="preserve">Prises de contact partenariales</w:t>
            </w:r>
          </w:p>
        </w:tc>
      </w:tr>
      <w:tr>
        <w:tc>
          <w:tcPr>
            <w:tcW w:w="600" w:type="dxa"/>
            <w:tcMar>
              <w:top w:w="80" w:type="dxa"/>
              <w:bottom w:w="80" w:type="dxa"/>
              <w:left w:w="120" w:type="dxa"/>
              <w:right w:w="120" w:type="dxa"/>
            </w:tcMar>
          </w:tcPr>
          <w:p>
            <w:pPr>
              <w:spacing w:before="0" w:after="0" w:line="276" w:lineRule="auto"/>
            </w:pPr>
            <w:r>
              <w:rPr>
                <w:rFonts w:ascii="Calibri" w:hAnsi="Calibri"/>
                <w:sz w:val="18"/>
                <w:szCs w:val="18"/>
              </w:rPr>
              <w:t xml:space="preserve">7</w:t>
            </w:r>
          </w:p>
        </w:tc>
        <w:tc>
          <w:tcPr>
            <w:tcW w:w="1900" w:type="dxa"/>
            <w:tcMar>
              <w:top w:w="80" w:type="dxa"/>
              <w:bottom w:w="80" w:type="dxa"/>
              <w:left w:w="120" w:type="dxa"/>
              <w:right w:w="120" w:type="dxa"/>
            </w:tcMar>
          </w:tcPr>
          <w:p>
            <w:pPr>
              <w:spacing w:before="0" w:after="0" w:line="276" w:lineRule="auto"/>
            </w:pPr>
            <w:r>
              <w:rPr>
                <w:rFonts w:ascii="Calibri" w:hAnsi="Calibri"/>
                <w:sz w:val="18"/>
                <w:szCs w:val="18"/>
              </w:rPr>
              <w:t xml:space="preserve">Infolettre</w:t>
            </w:r>
          </w:p>
        </w:tc>
        <w:tc>
          <w:tcPr>
            <w:tcW w:w="2600" w:type="dxa"/>
            <w:tcMar>
              <w:top w:w="80" w:type="dxa"/>
              <w:bottom w:w="80" w:type="dxa"/>
              <w:left w:w="120" w:type="dxa"/>
              <w:right w:w="120" w:type="dxa"/>
            </w:tcMar>
          </w:tcPr>
          <w:p>
            <w:pPr>
              <w:spacing w:before="0" w:after="0" w:line="276" w:lineRule="auto"/>
            </w:pPr>
            <w:r>
              <w:rPr>
                <w:rFonts w:ascii="Calibri" w:hAnsi="Calibri"/>
                <w:sz w:val="18"/>
                <w:szCs w:val="18"/>
              </w:rPr>
              <w:t xml:space="preserve">Le récapitulatif mensuel des rumeurs vérifiées</w:t>
            </w:r>
          </w:p>
        </w:tc>
        <w:tc>
          <w:tcPr>
            <w:tcW w:w="1600" w:type="dxa"/>
            <w:tcMar>
              <w:top w:w="80" w:type="dxa"/>
              <w:bottom w:w="80" w:type="dxa"/>
              <w:left w:w="120" w:type="dxa"/>
              <w:right w:w="120" w:type="dxa"/>
            </w:tcMar>
          </w:tcPr>
          <w:p>
            <w:pPr>
              <w:spacing w:before="0" w:after="0" w:line="276" w:lineRule="auto"/>
            </w:pPr>
            <w:r>
              <w:rPr>
                <w:rFonts w:ascii="Calibri" w:hAnsi="Calibri"/>
                <w:sz w:val="18"/>
                <w:szCs w:val="18"/>
              </w:rPr>
              <w:t xml:space="preserve">Mensuelle</w:t>
            </w:r>
          </w:p>
        </w:tc>
        <w:tc>
          <w:tcPr>
            <w:tcW w:w="2660" w:type="dxa"/>
            <w:tcMar>
              <w:top w:w="80" w:type="dxa"/>
              <w:bottom w:w="80" w:type="dxa"/>
              <w:left w:w="120" w:type="dxa"/>
              <w:right w:w="120" w:type="dxa"/>
            </w:tcMar>
          </w:tcPr>
          <w:p>
            <w:pPr>
              <w:spacing w:before="0" w:after="0" w:line="276" w:lineRule="auto"/>
            </w:pPr>
            <w:r>
              <w:rPr>
                <w:rFonts w:ascii="Calibri" w:hAnsi="Calibri"/>
                <w:sz w:val="18"/>
                <w:szCs w:val="18"/>
              </w:rPr>
              <w:t xml:space="preserve">Taux d'ouverture, désabonnements</w:t>
            </w:r>
          </w:p>
        </w:tc>
      </w:tr>
    </w:tbl>
    <w:p>
      <w:pPr>
        <w:spacing w:before="0" w:after="160" w:line="276" w:lineRule="auto"/>
      </w:pPr>
    </w:p>
    <w:tbl>
      <w:tblPr>
        <w:tblW w:w="9360" w:type="dxa"/>
        <w:tblBorders>
          <w:top w:val="single" w:sz="4" w:space="0" w:color="9BE0B8"/>
          <w:left w:val="single" w:sz="18" w:space="0" w:color="09B850"/>
          <w:bottom w:val="single" w:sz="4" w:space="0" w:color="9BE0B8"/>
          <w:right w:val="single" w:sz="4" w:space="0" w:color="9BE0B8"/>
        </w:tblBorders>
      </w:tblPr>
      <w:tr>
        <w:tc>
          <w:tcPr>
            <w:tcW w:w="9360" w:type="dxa"/>
            <w:shd w:val="clear" w:fill="F4FBF7"/>
            <w:tcMar>
              <w:top w:w="160" w:type="dxa"/>
              <w:bottom w:w="160" w:type="dxa"/>
              <w:left w:w="200" w:type="dxa"/>
              <w:right w:w="200" w:type="dxa"/>
            </w:tcMar>
          </w:tcPr>
          <w:p>
            <w:pPr>
              <w:spacing w:before="0" w:after="80" w:line="276" w:lineRule="auto"/>
            </w:pPr>
            <w:r>
              <w:rPr>
                <w:rFonts w:ascii="Calibri" w:hAnsi="Calibri"/>
                <w:b/>
                <w:color w:val="067A35"/>
                <w:sz w:val="22"/>
                <w:szCs w:val="22"/>
              </w:rPr>
              <w:t xml:space="preserve">Le chantier prioritaire du trimestre 1</w:t>
            </w:r>
          </w:p>
          <w:p>
            <w:pPr>
              <w:spacing w:before="0" w:after="80" w:line="276" w:lineRule="auto"/>
            </w:pPr>
            <w:r>
              <w:rPr>
                <w:rFonts w:ascii="Calibri" w:hAnsi="Calibri"/>
                <w:b/>
                <w:sz w:val="20"/>
                <w:szCs w:val="20"/>
              </w:rPr>
              <w:t xml:space="preserve">Ouvrir la tipline WhatsApp.</w:t>
            </w:r>
            <w:r>
              <w:rPr>
                <w:rFonts w:ascii="Calibri" w:hAnsi="Calibri"/>
                <w:sz w:val="20"/>
                <w:szCs w:val="20"/>
              </w:rPr>
              <w:t xml:space="preserve"> Le module est construit et attend la configuration de l'API Business. Tant qu'il est fermé, nous demandons aux gens de quitter l'endroit où ils sont pour venir chez nous — c'est-à-dire que nous perdons la majorité d'entre eux.</w:t>
            </w:r>
          </w:p>
          <w:p>
            <w:pPr>
              <w:spacing w:before="0" w:after="80" w:line="276" w:lineRule="auto"/>
            </w:pPr>
            <w:r>
              <w:rPr>
                <w:rFonts w:ascii="Calibri" w:hAnsi="Calibri"/>
                <w:sz w:val="20"/>
                <w:szCs w:val="20"/>
              </w:rPr>
              <w:t xml:space="preserve">Aucune campagne d'acquisition ne rendra autant que ce déblocage. C'est la différence entre un site qu'on visite et un réflexe qu'on a.</w:t>
            </w:r>
          </w:p>
        </w:tc>
      </w:tr>
    </w:tbl>
    <w:p>
      <w:pPr>
        <w:spacing w:before="0" w:after="160" w:line="276" w:lineRule="auto"/>
      </w:pPr>
    </w:p>
    <w:p>
      <w:r>
        <w:br w:type="page"/>
      </w:r>
    </w:p>
    <w:p>
      <w:pPr>
        <w:spacing w:before="360" w:after="140" w:line="276" w:lineRule="auto"/>
      </w:pPr>
      <w:r>
        <w:rPr>
          <w:rFonts w:ascii="Calibri" w:hAnsi="Calibri"/>
          <w:b/>
          <w:color w:val="067A35"/>
          <w:sz w:val="36"/>
          <w:szCs w:val="36"/>
        </w:rPr>
        <w:t xml:space="preserve">7. Les rendez-vous récurrents</w:t>
      </w:r>
    </w:p>
    <w:p>
      <w:pPr>
        <w:spacing w:before="0" w:after="120" w:line="276" w:lineRule="auto"/>
      </w:pPr>
      <w:r>
        <w:rPr>
          <w:rFonts w:ascii="Calibri" w:hAnsi="Calibri"/>
        </w:rPr>
        <w:t xml:space="preserve">Un public revient pour des rendez-vous, pas pour des publications isolées. Cinq formats, chacun rattaché à un pilier.</w:t>
      </w:r>
    </w:p>
    <w:tbl>
      <w:tblPr>
        <w:tblW w:w="9360" w:type="dxa"/>
        <w:tblBorders>
          <w:top w:val="single" w:sz="4" w:space="0" w:color="D8E0DB"/>
          <w:left w:val="single" w:sz="4" w:space="0" w:color="D8E0DB"/>
          <w:bottom w:val="single" w:sz="4" w:space="0" w:color="D8E0DB"/>
          <w:right w:val="single" w:sz="4" w:space="0" w:color="D8E0DB"/>
          <w:insideH w:val="single" w:sz="4" w:space="0" w:color="D8E0DB"/>
          <w:insideV w:val="single" w:sz="4" w:space="0" w:color="D8E0DB"/>
        </w:tblBorders>
        <w:tblLayout w:type="fixed"/>
      </w:tblPr>
      <w:tr>
        <w:trPr>
          <w:tblHeader/>
        </w:trPr>
        <w:tc>
          <w:tcPr>
            <w:tcW w:w="2200" w:type="dxa"/>
            <w:shd w:val="clear" w:fill="EAF9F0"/>
            <w:tcMar>
              <w:top w:w="80" w:type="dxa"/>
              <w:bottom w:w="80" w:type="dxa"/>
              <w:left w:w="120" w:type="dxa"/>
              <w:right w:w="120" w:type="dxa"/>
            </w:tcMar>
          </w:tcPr>
          <w:p>
            <w:pPr>
              <w:spacing w:before="0" w:after="0" w:line="276" w:lineRule="auto"/>
            </w:pPr>
            <w:r>
              <w:rPr>
                <w:rFonts w:ascii="Calibri" w:hAnsi="Calibri"/>
                <w:b/>
                <w:color w:val="067A35"/>
                <w:sz w:val="18"/>
                <w:szCs w:val="18"/>
              </w:rPr>
              <w:t xml:space="preserve">Format</w:t>
            </w:r>
          </w:p>
        </w:tc>
        <w:tc>
          <w:tcPr>
            <w:tcW w:w="1400" w:type="dxa"/>
            <w:shd w:val="clear" w:fill="EAF9F0"/>
            <w:tcMar>
              <w:top w:w="80" w:type="dxa"/>
              <w:bottom w:w="80" w:type="dxa"/>
              <w:left w:w="120" w:type="dxa"/>
              <w:right w:w="120" w:type="dxa"/>
            </w:tcMar>
          </w:tcPr>
          <w:p>
            <w:pPr>
              <w:spacing w:before="0" w:after="0" w:line="276" w:lineRule="auto"/>
            </w:pPr>
            <w:r>
              <w:rPr>
                <w:rFonts w:ascii="Calibri" w:hAnsi="Calibri"/>
                <w:b/>
                <w:color w:val="067A35"/>
                <w:sz w:val="18"/>
                <w:szCs w:val="18"/>
              </w:rPr>
              <w:t xml:space="preserve">Rythme</w:t>
            </w:r>
          </w:p>
        </w:tc>
        <w:tc>
          <w:tcPr>
            <w:tcW w:w="1600" w:type="dxa"/>
            <w:shd w:val="clear" w:fill="EAF9F0"/>
            <w:tcMar>
              <w:top w:w="80" w:type="dxa"/>
              <w:bottom w:w="80" w:type="dxa"/>
              <w:left w:w="120" w:type="dxa"/>
              <w:right w:w="120" w:type="dxa"/>
            </w:tcMar>
          </w:tcPr>
          <w:p>
            <w:pPr>
              <w:spacing w:before="0" w:after="0" w:line="276" w:lineRule="auto"/>
            </w:pPr>
            <w:r>
              <w:rPr>
                <w:rFonts w:ascii="Calibri" w:hAnsi="Calibri"/>
                <w:b/>
                <w:color w:val="067A35"/>
                <w:sz w:val="18"/>
                <w:szCs w:val="18"/>
              </w:rPr>
              <w:t xml:space="preserve">Pilier</w:t>
            </w:r>
          </w:p>
        </w:tc>
        <w:tc>
          <w:tcPr>
            <w:tcW w:w="4160" w:type="dxa"/>
            <w:shd w:val="clear" w:fill="EAF9F0"/>
            <w:tcMar>
              <w:top w:w="80" w:type="dxa"/>
              <w:bottom w:w="80" w:type="dxa"/>
              <w:left w:w="120" w:type="dxa"/>
              <w:right w:w="120" w:type="dxa"/>
            </w:tcMar>
          </w:tcPr>
          <w:p>
            <w:pPr>
              <w:spacing w:before="0" w:after="0" w:line="276" w:lineRule="auto"/>
            </w:pPr>
            <w:r>
              <w:rPr>
                <w:rFonts w:ascii="Calibri" w:hAnsi="Calibri"/>
                <w:b/>
                <w:color w:val="067A35"/>
                <w:sz w:val="18"/>
                <w:szCs w:val="18"/>
              </w:rPr>
              <w:t xml:space="preserve">Description</w:t>
            </w:r>
          </w:p>
        </w:tc>
      </w:tr>
      <w:tr>
        <w:tc>
          <w:tcPr>
            <w:tcW w:w="2200" w:type="dxa"/>
            <w:tcMar>
              <w:top w:w="80" w:type="dxa"/>
              <w:bottom w:w="80" w:type="dxa"/>
              <w:left w:w="120" w:type="dxa"/>
              <w:right w:w="120" w:type="dxa"/>
            </w:tcMar>
          </w:tcPr>
          <w:p>
            <w:pPr>
              <w:spacing w:before="0" w:after="0" w:line="276" w:lineRule="auto"/>
            </w:pPr>
            <w:r>
              <w:rPr>
                <w:rFonts w:ascii="Calibri" w:hAnsi="Calibri"/>
                <w:b/>
                <w:sz w:val="18"/>
                <w:szCs w:val="18"/>
              </w:rPr>
              <w:t xml:space="preserve">La rumeur de la semaine</w:t>
            </w:r>
          </w:p>
        </w:tc>
        <w:tc>
          <w:tcPr>
            <w:tcW w:w="1400" w:type="dxa"/>
            <w:tcMar>
              <w:top w:w="80" w:type="dxa"/>
              <w:bottom w:w="80" w:type="dxa"/>
              <w:left w:w="120" w:type="dxa"/>
              <w:right w:w="120" w:type="dxa"/>
            </w:tcMar>
          </w:tcPr>
          <w:p>
            <w:pPr>
              <w:spacing w:before="0" w:after="0" w:line="276" w:lineRule="auto"/>
            </w:pPr>
            <w:r>
              <w:rPr>
                <w:rFonts w:ascii="Calibri" w:hAnsi="Calibri"/>
                <w:sz w:val="18"/>
                <w:szCs w:val="18"/>
              </w:rPr>
              <w:t xml:space="preserve">Hebdomadaire</w:t>
            </w:r>
          </w:p>
        </w:tc>
        <w:tc>
          <w:tcPr>
            <w:tcW w:w="1600" w:type="dxa"/>
            <w:tcMar>
              <w:top w:w="80" w:type="dxa"/>
              <w:bottom w:w="80" w:type="dxa"/>
              <w:left w:w="120" w:type="dxa"/>
              <w:right w:w="120" w:type="dxa"/>
            </w:tcMar>
          </w:tcPr>
          <w:p>
            <w:pPr>
              <w:spacing w:before="0" w:after="0" w:line="276" w:lineRule="auto"/>
            </w:pPr>
            <w:r>
              <w:rPr>
                <w:rFonts w:ascii="Calibri" w:hAnsi="Calibri"/>
                <w:sz w:val="18"/>
                <w:szCs w:val="18"/>
              </w:rPr>
              <w:t xml:space="preserve">Fact-checking</w:t>
            </w:r>
          </w:p>
        </w:tc>
        <w:tc>
          <w:tcPr>
            <w:tcW w:w="4160" w:type="dxa"/>
            <w:tcMar>
              <w:top w:w="80" w:type="dxa"/>
              <w:bottom w:w="80" w:type="dxa"/>
              <w:left w:w="120" w:type="dxa"/>
              <w:right w:w="120" w:type="dxa"/>
            </w:tcMar>
          </w:tcPr>
          <w:p>
            <w:pPr>
              <w:spacing w:before="0" w:after="0" w:line="276" w:lineRule="auto"/>
            </w:pPr>
            <w:r>
              <w:rPr>
                <w:rFonts w:ascii="Calibri" w:hAnsi="Calibri"/>
                <w:sz w:val="18"/>
                <w:szCs w:val="18"/>
              </w:rPr>
              <w:t xml:space="preserve">La fausse information qui a le plus circulé, son verdict, ses sources. Format carte de démenti + fil détaillé.</w:t>
            </w:r>
          </w:p>
        </w:tc>
      </w:tr>
      <w:tr>
        <w:tc>
          <w:tcPr>
            <w:tcW w:w="2200" w:type="dxa"/>
            <w:tcMar>
              <w:top w:w="80" w:type="dxa"/>
              <w:bottom w:w="80" w:type="dxa"/>
              <w:left w:w="120" w:type="dxa"/>
              <w:right w:w="120" w:type="dxa"/>
            </w:tcMar>
          </w:tcPr>
          <w:p>
            <w:pPr>
              <w:spacing w:before="0" w:after="0" w:line="276" w:lineRule="auto"/>
            </w:pPr>
            <w:r>
              <w:rPr>
                <w:rFonts w:ascii="Calibri" w:hAnsi="Calibri"/>
                <w:b/>
                <w:sz w:val="18"/>
                <w:szCs w:val="18"/>
              </w:rPr>
              <w:t xml:space="preserve">Vérifié pour vous</w:t>
            </w:r>
          </w:p>
        </w:tc>
        <w:tc>
          <w:tcPr>
            <w:tcW w:w="1400" w:type="dxa"/>
            <w:tcMar>
              <w:top w:w="80" w:type="dxa"/>
              <w:bottom w:w="80" w:type="dxa"/>
              <w:left w:w="120" w:type="dxa"/>
              <w:right w:w="120" w:type="dxa"/>
            </w:tcMar>
          </w:tcPr>
          <w:p>
            <w:pPr>
              <w:spacing w:before="0" w:after="0" w:line="276" w:lineRule="auto"/>
            </w:pPr>
            <w:r>
              <w:rPr>
                <w:rFonts w:ascii="Calibri" w:hAnsi="Calibri"/>
                <w:sz w:val="18"/>
                <w:szCs w:val="18"/>
              </w:rPr>
              <w:t xml:space="preserve">Hebdomadaire</w:t>
            </w:r>
          </w:p>
        </w:tc>
        <w:tc>
          <w:tcPr>
            <w:tcW w:w="1600" w:type="dxa"/>
            <w:tcMar>
              <w:top w:w="80" w:type="dxa"/>
              <w:bottom w:w="80" w:type="dxa"/>
              <w:left w:w="120" w:type="dxa"/>
              <w:right w:w="120" w:type="dxa"/>
            </w:tcMar>
          </w:tcPr>
          <w:p>
            <w:pPr>
              <w:spacing w:before="0" w:after="0" w:line="276" w:lineRule="auto"/>
            </w:pPr>
            <w:r>
              <w:rPr>
                <w:rFonts w:ascii="Calibri" w:hAnsi="Calibri"/>
                <w:sz w:val="18"/>
                <w:szCs w:val="18"/>
              </w:rPr>
              <w:t xml:space="preserve">Hub</w:t>
            </w:r>
          </w:p>
        </w:tc>
        <w:tc>
          <w:tcPr>
            <w:tcW w:w="4160" w:type="dxa"/>
            <w:tcMar>
              <w:top w:w="80" w:type="dxa"/>
              <w:bottom w:w="80" w:type="dxa"/>
              <w:left w:w="120" w:type="dxa"/>
              <w:right w:w="120" w:type="dxa"/>
            </w:tcMar>
          </w:tcPr>
          <w:p>
            <w:pPr>
              <w:spacing w:before="0" w:after="0" w:line="276" w:lineRule="auto"/>
            </w:pPr>
            <w:r>
              <w:rPr>
                <w:rFonts w:ascii="Calibri" w:hAnsi="Calibri"/>
                <w:sz w:val="18"/>
                <w:szCs w:val="18"/>
              </w:rPr>
              <w:t xml:space="preserve">Trois opportunités contrôlées : organisation, canal, coordonnées. Et le rappel : jamais de frais de dossier.</w:t>
            </w:r>
          </w:p>
        </w:tc>
      </w:tr>
      <w:tr>
        <w:tc>
          <w:tcPr>
            <w:tcW w:w="2200" w:type="dxa"/>
            <w:tcMar>
              <w:top w:w="80" w:type="dxa"/>
              <w:bottom w:w="80" w:type="dxa"/>
              <w:left w:w="120" w:type="dxa"/>
              <w:right w:w="120" w:type="dxa"/>
            </w:tcMar>
          </w:tcPr>
          <w:p>
            <w:pPr>
              <w:spacing w:before="0" w:after="0" w:line="276" w:lineRule="auto"/>
            </w:pPr>
            <w:r>
              <w:rPr>
                <w:rFonts w:ascii="Calibri" w:hAnsi="Calibri"/>
                <w:b/>
                <w:sz w:val="18"/>
                <w:szCs w:val="18"/>
              </w:rPr>
              <w:t xml:space="preserve">Le réflexe du mardi</w:t>
            </w:r>
          </w:p>
        </w:tc>
        <w:tc>
          <w:tcPr>
            <w:tcW w:w="1400" w:type="dxa"/>
            <w:tcMar>
              <w:top w:w="80" w:type="dxa"/>
              <w:bottom w:w="80" w:type="dxa"/>
              <w:left w:w="120" w:type="dxa"/>
              <w:right w:w="120" w:type="dxa"/>
            </w:tcMar>
          </w:tcPr>
          <w:p>
            <w:pPr>
              <w:spacing w:before="0" w:after="0" w:line="276" w:lineRule="auto"/>
            </w:pPr>
            <w:r>
              <w:rPr>
                <w:rFonts w:ascii="Calibri" w:hAnsi="Calibri"/>
                <w:sz w:val="18"/>
                <w:szCs w:val="18"/>
              </w:rPr>
              <w:t xml:space="preserve">Hebdomadaire</w:t>
            </w:r>
          </w:p>
        </w:tc>
        <w:tc>
          <w:tcPr>
            <w:tcW w:w="1600" w:type="dxa"/>
            <w:tcMar>
              <w:top w:w="80" w:type="dxa"/>
              <w:bottom w:w="80" w:type="dxa"/>
              <w:left w:w="120" w:type="dxa"/>
              <w:right w:w="120" w:type="dxa"/>
            </w:tcMar>
          </w:tcPr>
          <w:p>
            <w:pPr>
              <w:spacing w:before="0" w:after="0" w:line="276" w:lineRule="auto"/>
            </w:pPr>
            <w:r>
              <w:rPr>
                <w:rFonts w:ascii="Calibri" w:hAnsi="Calibri"/>
                <w:sz w:val="18"/>
                <w:szCs w:val="18"/>
              </w:rPr>
              <w:t xml:space="preserve">Académie</w:t>
            </w:r>
          </w:p>
        </w:tc>
        <w:tc>
          <w:tcPr>
            <w:tcW w:w="4160" w:type="dxa"/>
            <w:tcMar>
              <w:top w:w="80" w:type="dxa"/>
              <w:bottom w:w="80" w:type="dxa"/>
              <w:left w:w="120" w:type="dxa"/>
              <w:right w:w="120" w:type="dxa"/>
            </w:tcMar>
          </w:tcPr>
          <w:p>
            <w:pPr>
              <w:spacing w:before="0" w:after="0" w:line="276" w:lineRule="auto"/>
            </w:pPr>
            <w:r>
              <w:rPr>
                <w:rFonts w:ascii="Calibri" w:hAnsi="Calibri"/>
                <w:sz w:val="18"/>
                <w:szCs w:val="18"/>
              </w:rPr>
              <w:t xml:space="preserve">Une technique en soixante secondes : recherche inversée, lecture d'une URL, repérage d'un compte usurpé.</w:t>
            </w:r>
          </w:p>
        </w:tc>
      </w:tr>
      <w:tr>
        <w:tc>
          <w:tcPr>
            <w:tcW w:w="2200" w:type="dxa"/>
            <w:tcMar>
              <w:top w:w="80" w:type="dxa"/>
              <w:bottom w:w="80" w:type="dxa"/>
              <w:left w:w="120" w:type="dxa"/>
              <w:right w:w="120" w:type="dxa"/>
            </w:tcMar>
          </w:tcPr>
          <w:p>
            <w:pPr>
              <w:spacing w:before="0" w:after="0" w:line="276" w:lineRule="auto"/>
            </w:pPr>
            <w:r>
              <w:rPr>
                <w:rFonts w:ascii="Calibri" w:hAnsi="Calibri"/>
                <w:b/>
                <w:sz w:val="18"/>
                <w:szCs w:val="18"/>
              </w:rPr>
              <w:t xml:space="preserve">On ne sait pas</w:t>
            </w:r>
          </w:p>
        </w:tc>
        <w:tc>
          <w:tcPr>
            <w:tcW w:w="1400" w:type="dxa"/>
            <w:tcMar>
              <w:top w:w="80" w:type="dxa"/>
              <w:bottom w:w="80" w:type="dxa"/>
              <w:left w:w="120" w:type="dxa"/>
              <w:right w:w="120" w:type="dxa"/>
            </w:tcMar>
          </w:tcPr>
          <w:p>
            <w:pPr>
              <w:spacing w:before="0" w:after="0" w:line="276" w:lineRule="auto"/>
            </w:pPr>
            <w:r>
              <w:rPr>
                <w:rFonts w:ascii="Calibri" w:hAnsi="Calibri"/>
                <w:sz w:val="18"/>
                <w:szCs w:val="18"/>
              </w:rPr>
              <w:t xml:space="preserve">Mensuel</w:t>
            </w:r>
          </w:p>
        </w:tc>
        <w:tc>
          <w:tcPr>
            <w:tcW w:w="1600" w:type="dxa"/>
            <w:tcMar>
              <w:top w:w="80" w:type="dxa"/>
              <w:bottom w:w="80" w:type="dxa"/>
              <w:left w:w="120" w:type="dxa"/>
              <w:right w:w="120" w:type="dxa"/>
            </w:tcMar>
          </w:tcPr>
          <w:p>
            <w:pPr>
              <w:spacing w:before="0" w:after="0" w:line="276" w:lineRule="auto"/>
            </w:pPr>
            <w:r>
              <w:rPr>
                <w:rFonts w:ascii="Calibri" w:hAnsi="Calibri"/>
                <w:sz w:val="18"/>
                <w:szCs w:val="18"/>
              </w:rPr>
              <w:t xml:space="preserve">Positionnement</w:t>
            </w:r>
          </w:p>
        </w:tc>
        <w:tc>
          <w:tcPr>
            <w:tcW w:w="4160" w:type="dxa"/>
            <w:tcMar>
              <w:top w:w="80" w:type="dxa"/>
              <w:bottom w:w="80" w:type="dxa"/>
              <w:left w:w="120" w:type="dxa"/>
              <w:right w:w="120" w:type="dxa"/>
            </w:tcMar>
          </w:tcPr>
          <w:p>
            <w:pPr>
              <w:spacing w:before="0" w:after="0" w:line="276" w:lineRule="auto"/>
            </w:pPr>
            <w:r>
              <w:rPr>
                <w:rFonts w:ascii="Calibri" w:hAnsi="Calibri"/>
                <w:sz w:val="18"/>
                <w:szCs w:val="18"/>
              </w:rPr>
              <w:t xml:space="preserve">Une affirmation que nous n'avons PAS pu trancher, et pourquoi. Le format le plus contre-intuitif, et le plus différenciant.</w:t>
            </w:r>
          </w:p>
        </w:tc>
      </w:tr>
      <w:tr>
        <w:tc>
          <w:tcPr>
            <w:tcW w:w="2200" w:type="dxa"/>
            <w:tcMar>
              <w:top w:w="80" w:type="dxa"/>
              <w:bottom w:w="80" w:type="dxa"/>
              <w:left w:w="120" w:type="dxa"/>
              <w:right w:w="120" w:type="dxa"/>
            </w:tcMar>
          </w:tcPr>
          <w:p>
            <w:pPr>
              <w:spacing w:before="0" w:after="0" w:line="276" w:lineRule="auto"/>
            </w:pPr>
            <w:r>
              <w:rPr>
                <w:rFonts w:ascii="Calibri" w:hAnsi="Calibri"/>
                <w:b/>
                <w:sz w:val="18"/>
                <w:szCs w:val="18"/>
              </w:rPr>
              <w:t xml:space="preserve">Le rapport du mois</w:t>
            </w:r>
          </w:p>
        </w:tc>
        <w:tc>
          <w:tcPr>
            <w:tcW w:w="1400" w:type="dxa"/>
            <w:tcMar>
              <w:top w:w="80" w:type="dxa"/>
              <w:bottom w:w="80" w:type="dxa"/>
              <w:left w:w="120" w:type="dxa"/>
              <w:right w:w="120" w:type="dxa"/>
            </w:tcMar>
          </w:tcPr>
          <w:p>
            <w:pPr>
              <w:spacing w:before="0" w:after="0" w:line="276" w:lineRule="auto"/>
            </w:pPr>
            <w:r>
              <w:rPr>
                <w:rFonts w:ascii="Calibri" w:hAnsi="Calibri"/>
                <w:sz w:val="18"/>
                <w:szCs w:val="18"/>
              </w:rPr>
              <w:t xml:space="preserve">Mensuel</w:t>
            </w:r>
          </w:p>
        </w:tc>
        <w:tc>
          <w:tcPr>
            <w:tcW w:w="1600" w:type="dxa"/>
            <w:tcMar>
              <w:top w:w="80" w:type="dxa"/>
              <w:bottom w:w="80" w:type="dxa"/>
              <w:left w:w="120" w:type="dxa"/>
              <w:right w:w="120" w:type="dxa"/>
            </w:tcMar>
          </w:tcPr>
          <w:p>
            <w:pPr>
              <w:spacing w:before="0" w:after="0" w:line="276" w:lineRule="auto"/>
            </w:pPr>
            <w:r>
              <w:rPr>
                <w:rFonts w:ascii="Calibri" w:hAnsi="Calibri"/>
                <w:sz w:val="18"/>
                <w:szCs w:val="18"/>
              </w:rPr>
              <w:t xml:space="preserve">Transparence</w:t>
            </w:r>
          </w:p>
        </w:tc>
        <w:tc>
          <w:tcPr>
            <w:tcW w:w="4160" w:type="dxa"/>
            <w:tcMar>
              <w:top w:w="80" w:type="dxa"/>
              <w:bottom w:w="80" w:type="dxa"/>
              <w:left w:w="120" w:type="dxa"/>
              <w:right w:w="120" w:type="dxa"/>
            </w:tcMar>
          </w:tcPr>
          <w:p>
            <w:pPr>
              <w:spacing w:before="0" w:after="0" w:line="276" w:lineRule="auto"/>
            </w:pPr>
            <w:r>
              <w:rPr>
                <w:rFonts w:ascii="Calibri" w:hAnsi="Calibri"/>
                <w:sz w:val="18"/>
                <w:szCs w:val="18"/>
              </w:rPr>
              <w:t xml:space="preserve">Nombre de vérifications, répartition des verdicts, corrections apportées à nos propres publications.</w:t>
            </w:r>
          </w:p>
        </w:tc>
      </w:tr>
    </w:tbl>
    <w:p>
      <w:pPr>
        <w:spacing w:before="0" w:after="160" w:line="276" w:lineRule="auto"/>
      </w:pPr>
    </w:p>
    <w:tbl>
      <w:tblPr>
        <w:tblW w:w="9360" w:type="dxa"/>
        <w:tblBorders>
          <w:top w:val="single" w:sz="4" w:space="0" w:color="9BE0B8"/>
          <w:left w:val="single" w:sz="18" w:space="0" w:color="09B850"/>
          <w:bottom w:val="single" w:sz="4" w:space="0" w:color="9BE0B8"/>
          <w:right w:val="single" w:sz="4" w:space="0" w:color="9BE0B8"/>
        </w:tblBorders>
      </w:tblPr>
      <w:tr>
        <w:tc>
          <w:tcPr>
            <w:tcW w:w="9360" w:type="dxa"/>
            <w:shd w:val="clear" w:fill="F4FBF7"/>
            <w:tcMar>
              <w:top w:w="160" w:type="dxa"/>
              <w:bottom w:w="160" w:type="dxa"/>
              <w:left w:w="200" w:type="dxa"/>
              <w:right w:w="200" w:type="dxa"/>
            </w:tcMar>
          </w:tcPr>
          <w:p>
            <w:pPr>
              <w:spacing w:before="0" w:after="80" w:line="276" w:lineRule="auto"/>
            </w:pPr>
            <w:r>
              <w:rPr>
                <w:rFonts w:ascii="Calibri" w:hAnsi="Calibri"/>
                <w:b/>
                <w:color w:val="067A35"/>
                <w:sz w:val="22"/>
                <w:szCs w:val="22"/>
              </w:rPr>
              <w:t xml:space="preserve">« On ne sait pas » : le format qui fera la différence</w:t>
            </w:r>
          </w:p>
          <w:p>
            <w:pPr>
              <w:spacing w:before="0" w:after="80" w:line="276" w:lineRule="auto"/>
            </w:pPr>
            <w:r>
              <w:rPr>
                <w:rFonts w:ascii="Calibri" w:hAnsi="Calibri"/>
                <w:sz w:val="20"/>
                <w:szCs w:val="20"/>
              </w:rPr>
              <w:t xml:space="preserve">Publier chaque mois une affirmation que nous n'avons pas su trancher paraît absurde en communication. C'est pourtant le format qui installera notre position le plus vite.</w:t>
            </w:r>
          </w:p>
          <w:p>
            <w:pPr>
              <w:spacing w:before="0" w:after="80" w:line="276" w:lineRule="auto"/>
            </w:pPr>
            <w:r>
              <w:rPr>
                <w:rFonts w:ascii="Calibri" w:hAnsi="Calibri"/>
                <w:sz w:val="20"/>
                <w:szCs w:val="20"/>
              </w:rPr>
              <w:t xml:space="preserve">Il démontre par l'exemple que nos verdicts ne sont pas distribués au hasard, il désamorce l'accusation de parti pris — on ne peut pas nous reprocher de conclure quand nous montrons que nous nous en abstenons — et aucun concurrent ne pourra le copier sans reconnaître ses propres limites.</w:t>
            </w:r>
          </w:p>
        </w:tc>
      </w:tr>
    </w:tbl>
    <w:p>
      <w:pPr>
        <w:spacing w:before="0" w:after="160" w:line="276" w:lineRule="auto"/>
      </w:pPr>
    </w:p>
    <w:p>
      <w:r>
        <w:br w:type="page"/>
      </w:r>
    </w:p>
    <w:p>
      <w:pPr>
        <w:spacing w:before="360" w:after="140" w:line="276" w:lineRule="auto"/>
      </w:pPr>
      <w:r>
        <w:rPr>
          <w:rFonts w:ascii="Calibri" w:hAnsi="Calibri"/>
          <w:b/>
          <w:color w:val="067A35"/>
          <w:sz w:val="36"/>
          <w:szCs w:val="36"/>
        </w:rPr>
        <w:t xml:space="preserve">8. Le calendrier éditorial sur douze mois</w:t>
      </w:r>
    </w:p>
    <w:p>
      <w:pPr>
        <w:spacing w:before="0" w:after="120" w:line="276" w:lineRule="auto"/>
      </w:pPr>
      <w:r>
        <w:rPr>
          <w:rFonts w:ascii="Calibri" w:hAnsi="Calibri"/>
        </w:rPr>
        <w:t xml:space="preserve">Le calendrier s'appuie sur des cycles </w:t>
      </w:r>
      <w:r>
        <w:rPr>
          <w:rFonts w:ascii="Calibri" w:hAnsi="Calibri"/>
          <w:b/>
        </w:rPr>
        <w:t xml:space="preserve">récurrents et vérifiables</w:t>
      </w:r>
      <w:r>
        <w:rPr>
          <w:rFonts w:ascii="Calibri" w:hAnsi="Calibri"/>
        </w:rPr>
        <w:t xml:space="preserve"> — rentrée scolaire, saison des bourses, examens, fêtes — et non sur des dates politiques ou sanitaires que ce document ne peut pas garantir. Les repères à confirmer sont signalés comme tels.</w:t>
      </w:r>
    </w:p>
    <w:p>
      <w:pPr>
        <w:spacing w:before="0" w:after="120" w:line="276" w:lineRule="auto"/>
      </w:pPr>
      <w:r>
        <w:rPr>
          <w:rFonts w:ascii="Calibri" w:hAnsi="Calibri"/>
          <w:i/>
          <w:sz w:val="20"/>
          <w:szCs w:val="20"/>
        </w:rPr>
        <w:t xml:space="preserve">Chaque mois porte : un thème directeur, la campagne du Hub qui lui correspond, l'angle Académie, et le jalon institutionnel qui prépare l'accréditation.</w:t>
      </w:r>
    </w:p>
    <w:p>
      <w:pPr>
        <w:spacing w:before="280" w:after="140" w:line="276" w:lineRule="auto"/>
      </w:pPr>
      <w:r>
        <w:rPr>
          <w:rFonts w:ascii="Calibri" w:hAnsi="Calibri"/>
          <w:b/>
          <w:color w:val="0E1A14"/>
          <w:sz w:val="28"/>
          <w:szCs w:val="28"/>
        </w:rPr>
        <w:t xml:space="preserve">Trimestre 1 — Installer les fondations (mois 1 à 3)</w:t>
      </w:r>
    </w:p>
    <w:tbl>
      <w:tblPr>
        <w:tblW w:w="9360" w:type="dxa"/>
        <w:tblBorders>
          <w:top w:val="single" w:sz="4" w:space="0" w:color="D8E0DB"/>
          <w:left w:val="single" w:sz="4" w:space="0" w:color="D8E0DB"/>
          <w:bottom w:val="single" w:sz="4" w:space="0" w:color="D8E0DB"/>
          <w:right w:val="single" w:sz="4" w:space="0" w:color="D8E0DB"/>
          <w:insideH w:val="single" w:sz="4" w:space="0" w:color="D8E0DB"/>
          <w:insideV w:val="single" w:sz="4" w:space="0" w:color="D8E0DB"/>
        </w:tblBorders>
        <w:tblLayout w:type="fixed"/>
      </w:tblPr>
      <w:tr>
        <w:trPr>
          <w:tblHeader/>
        </w:trPr>
        <w:tc>
          <w:tcPr>
            <w:tcW w:w="900" w:type="dxa"/>
            <w:shd w:val="clear" w:fill="EAF9F0"/>
            <w:tcMar>
              <w:top w:w="80" w:type="dxa"/>
              <w:bottom w:w="80" w:type="dxa"/>
              <w:left w:w="120" w:type="dxa"/>
              <w:right w:w="120" w:type="dxa"/>
            </w:tcMar>
          </w:tcPr>
          <w:p>
            <w:pPr>
              <w:spacing w:before="0" w:after="0" w:line="276" w:lineRule="auto"/>
            </w:pPr>
            <w:r>
              <w:rPr>
                <w:rFonts w:ascii="Calibri" w:hAnsi="Calibri"/>
                <w:b/>
                <w:color w:val="067A35"/>
                <w:sz w:val="18"/>
                <w:szCs w:val="18"/>
              </w:rPr>
              <w:t xml:space="preserve">Mois</w:t>
            </w:r>
          </w:p>
        </w:tc>
        <w:tc>
          <w:tcPr>
            <w:tcW w:w="3000" w:type="dxa"/>
            <w:shd w:val="clear" w:fill="EAF9F0"/>
            <w:tcMar>
              <w:top w:w="80" w:type="dxa"/>
              <w:bottom w:w="80" w:type="dxa"/>
              <w:left w:w="120" w:type="dxa"/>
              <w:right w:w="120" w:type="dxa"/>
            </w:tcMar>
          </w:tcPr>
          <w:p>
            <w:pPr>
              <w:spacing w:before="0" w:after="0" w:line="276" w:lineRule="auto"/>
            </w:pPr>
            <w:r>
              <w:rPr>
                <w:rFonts w:ascii="Calibri" w:hAnsi="Calibri"/>
                <w:b/>
                <w:color w:val="067A35"/>
                <w:sz w:val="18"/>
                <w:szCs w:val="18"/>
              </w:rPr>
              <w:t xml:space="preserve">Thème directeur</w:t>
            </w:r>
          </w:p>
        </w:tc>
        <w:tc>
          <w:tcPr>
            <w:tcW w:w="2000" w:type="dxa"/>
            <w:shd w:val="clear" w:fill="EAF9F0"/>
            <w:tcMar>
              <w:top w:w="80" w:type="dxa"/>
              <w:bottom w:w="80" w:type="dxa"/>
              <w:left w:w="120" w:type="dxa"/>
              <w:right w:w="120" w:type="dxa"/>
            </w:tcMar>
          </w:tcPr>
          <w:p>
            <w:pPr>
              <w:spacing w:before="0" w:after="0" w:line="276" w:lineRule="auto"/>
            </w:pPr>
            <w:r>
              <w:rPr>
                <w:rFonts w:ascii="Calibri" w:hAnsi="Calibri"/>
                <w:b/>
                <w:color w:val="067A35"/>
                <w:sz w:val="18"/>
                <w:szCs w:val="18"/>
              </w:rPr>
              <w:t xml:space="preserve">Hub d'opportunités</w:t>
            </w:r>
          </w:p>
        </w:tc>
        <w:tc>
          <w:tcPr>
            <w:tcW w:w="1800" w:type="dxa"/>
            <w:shd w:val="clear" w:fill="EAF9F0"/>
            <w:tcMar>
              <w:top w:w="80" w:type="dxa"/>
              <w:bottom w:w="80" w:type="dxa"/>
              <w:left w:w="120" w:type="dxa"/>
              <w:right w:w="120" w:type="dxa"/>
            </w:tcMar>
          </w:tcPr>
          <w:p>
            <w:pPr>
              <w:spacing w:before="0" w:after="0" w:line="276" w:lineRule="auto"/>
            </w:pPr>
            <w:r>
              <w:rPr>
                <w:rFonts w:ascii="Calibri" w:hAnsi="Calibri"/>
                <w:b/>
                <w:color w:val="067A35"/>
                <w:sz w:val="18"/>
                <w:szCs w:val="18"/>
              </w:rPr>
              <w:t xml:space="preserve">Académie</w:t>
            </w:r>
          </w:p>
        </w:tc>
        <w:tc>
          <w:tcPr>
            <w:tcW w:w="1660" w:type="dxa"/>
            <w:shd w:val="clear" w:fill="EAF9F0"/>
            <w:tcMar>
              <w:top w:w="80" w:type="dxa"/>
              <w:bottom w:w="80" w:type="dxa"/>
              <w:left w:w="120" w:type="dxa"/>
              <w:right w:w="120" w:type="dxa"/>
            </w:tcMar>
          </w:tcPr>
          <w:p>
            <w:pPr>
              <w:spacing w:before="0" w:after="0" w:line="276" w:lineRule="auto"/>
            </w:pPr>
            <w:r>
              <w:rPr>
                <w:rFonts w:ascii="Calibri" w:hAnsi="Calibri"/>
                <w:b/>
                <w:color w:val="067A35"/>
                <w:sz w:val="18"/>
                <w:szCs w:val="18"/>
              </w:rPr>
              <w:t xml:space="preserve">Jalon institutionnel</w:t>
            </w:r>
          </w:p>
        </w:tc>
      </w:tr>
      <w:tr>
        <w:tc>
          <w:tcPr>
            <w:tcW w:w="900" w:type="dxa"/>
            <w:tcMar>
              <w:top w:w="80" w:type="dxa"/>
              <w:bottom w:w="80" w:type="dxa"/>
              <w:left w:w="120" w:type="dxa"/>
              <w:right w:w="120" w:type="dxa"/>
            </w:tcMar>
          </w:tcPr>
          <w:p>
            <w:pPr>
              <w:spacing w:before="0" w:after="0" w:line="276" w:lineRule="auto"/>
            </w:pPr>
            <w:r>
              <w:rPr>
                <w:rFonts w:ascii="Calibri" w:hAnsi="Calibri"/>
                <w:sz w:val="18"/>
                <w:szCs w:val="18"/>
              </w:rPr>
              <w:t xml:space="preserve">Mois 1</w:t>
            </w:r>
          </w:p>
        </w:tc>
        <w:tc>
          <w:tcPr>
            <w:tcW w:w="3000" w:type="dxa"/>
            <w:tcMar>
              <w:top w:w="80" w:type="dxa"/>
              <w:bottom w:w="80" w:type="dxa"/>
              <w:left w:w="120" w:type="dxa"/>
              <w:right w:w="120" w:type="dxa"/>
            </w:tcMar>
          </w:tcPr>
          <w:p>
            <w:pPr>
              <w:spacing w:before="0" w:after="0" w:line="276" w:lineRule="auto"/>
            </w:pPr>
            <w:r>
              <w:rPr>
                <w:rFonts w:ascii="Calibri" w:hAnsi="Calibri"/>
                <w:b/>
                <w:sz w:val="18"/>
                <w:szCs w:val="18"/>
              </w:rPr>
              <w:t xml:space="preserve">Qui sommes-nous, et ce que nous ne savons pas faire.</w:t>
            </w:r>
            <w:r>
              <w:rPr>
                <w:rFonts w:ascii="Calibri" w:hAnsi="Calibri"/>
                <w:sz w:val="18"/>
                <w:szCs w:val="18"/>
              </w:rPr>
              <w:t xml:space="preserve"> Publication de la méthodologie en format grand public. Lancement du format « On ne sait pas ».</w:t>
            </w:r>
          </w:p>
        </w:tc>
        <w:tc>
          <w:tcPr>
            <w:tcW w:w="2000" w:type="dxa"/>
            <w:tcMar>
              <w:top w:w="80" w:type="dxa"/>
              <w:bottom w:w="80" w:type="dxa"/>
              <w:left w:w="120" w:type="dxa"/>
              <w:right w:w="120" w:type="dxa"/>
            </w:tcMar>
          </w:tcPr>
          <w:p>
            <w:pPr>
              <w:spacing w:before="0" w:after="0" w:line="276" w:lineRule="auto"/>
            </w:pPr>
            <w:r>
              <w:rPr>
                <w:rFonts w:ascii="Calibri" w:hAnsi="Calibri"/>
                <w:sz w:val="18"/>
                <w:szCs w:val="18"/>
              </w:rPr>
              <w:t xml:space="preserve">Arnaques à l'emploi : les cinq signaux qui ne trompent pas</w:t>
            </w:r>
          </w:p>
        </w:tc>
        <w:tc>
          <w:tcPr>
            <w:tcW w:w="1800" w:type="dxa"/>
            <w:tcMar>
              <w:top w:w="80" w:type="dxa"/>
              <w:bottom w:w="80" w:type="dxa"/>
              <w:left w:w="120" w:type="dxa"/>
              <w:right w:w="120" w:type="dxa"/>
            </w:tcMar>
          </w:tcPr>
          <w:p>
            <w:pPr>
              <w:spacing w:before="0" w:after="0" w:line="276" w:lineRule="auto"/>
            </w:pPr>
            <w:r>
              <w:rPr>
                <w:rFonts w:ascii="Calibri" w:hAnsi="Calibri"/>
                <w:sz w:val="18"/>
                <w:szCs w:val="18"/>
              </w:rPr>
              <w:t xml:space="preserve">Lancement du CLOM gratuit (42 min)</w:t>
            </w:r>
          </w:p>
        </w:tc>
        <w:tc>
          <w:tcPr>
            <w:tcW w:w="1660" w:type="dxa"/>
            <w:tcMar>
              <w:top w:w="80" w:type="dxa"/>
              <w:bottom w:w="80" w:type="dxa"/>
              <w:left w:w="120" w:type="dxa"/>
              <w:right w:w="120" w:type="dxa"/>
            </w:tcMar>
          </w:tcPr>
          <w:p>
            <w:pPr>
              <w:spacing w:before="0" w:after="0" w:line="276" w:lineRule="auto"/>
            </w:pPr>
            <w:r>
              <w:rPr>
                <w:rFonts w:ascii="Calibri" w:hAnsi="Calibri"/>
                <w:b/>
                <w:sz w:val="18"/>
                <w:szCs w:val="18"/>
              </w:rPr>
              <w:t xml:space="preserve">Ouverture de la tipline WhatsApp</w:t>
            </w:r>
          </w:p>
        </w:tc>
      </w:tr>
      <w:tr>
        <w:tc>
          <w:tcPr>
            <w:tcW w:w="900" w:type="dxa"/>
            <w:tcMar>
              <w:top w:w="80" w:type="dxa"/>
              <w:bottom w:w="80" w:type="dxa"/>
              <w:left w:w="120" w:type="dxa"/>
              <w:right w:w="120" w:type="dxa"/>
            </w:tcMar>
          </w:tcPr>
          <w:p>
            <w:pPr>
              <w:spacing w:before="0" w:after="0" w:line="276" w:lineRule="auto"/>
            </w:pPr>
            <w:r>
              <w:rPr>
                <w:rFonts w:ascii="Calibri" w:hAnsi="Calibri"/>
                <w:sz w:val="18"/>
                <w:szCs w:val="18"/>
              </w:rPr>
              <w:t xml:space="preserve">Mois 2</w:t>
            </w:r>
          </w:p>
        </w:tc>
        <w:tc>
          <w:tcPr>
            <w:tcW w:w="3000" w:type="dxa"/>
            <w:tcMar>
              <w:top w:w="80" w:type="dxa"/>
              <w:bottom w:w="80" w:type="dxa"/>
              <w:left w:w="120" w:type="dxa"/>
              <w:right w:w="120" w:type="dxa"/>
            </w:tcMar>
          </w:tcPr>
          <w:p>
            <w:pPr>
              <w:spacing w:before="0" w:after="0" w:line="276" w:lineRule="auto"/>
            </w:pPr>
            <w:r>
              <w:rPr>
                <w:rFonts w:ascii="Calibri" w:hAnsi="Calibri"/>
                <w:b/>
                <w:sz w:val="18"/>
                <w:szCs w:val="18"/>
              </w:rPr>
              <w:t xml:space="preserve">Les arnaques financières.</w:t>
            </w:r>
            <w:r>
              <w:rPr>
                <w:rFonts w:ascii="Calibri" w:hAnsi="Calibri"/>
                <w:sz w:val="18"/>
                <w:szCs w:val="18"/>
              </w:rPr>
              <w:t xml:space="preserve"> Faux transferts, fausses promotions d'opérateurs, chaînes d'argent.</w:t>
            </w:r>
          </w:p>
        </w:tc>
        <w:tc>
          <w:tcPr>
            <w:tcW w:w="2000" w:type="dxa"/>
            <w:tcMar>
              <w:top w:w="80" w:type="dxa"/>
              <w:bottom w:w="80" w:type="dxa"/>
              <w:left w:w="120" w:type="dxa"/>
              <w:right w:w="120" w:type="dxa"/>
            </w:tcMar>
          </w:tcPr>
          <w:p>
            <w:pPr>
              <w:spacing w:before="0" w:after="0" w:line="276" w:lineRule="auto"/>
            </w:pPr>
            <w:r>
              <w:rPr>
                <w:rFonts w:ascii="Calibri" w:hAnsi="Calibri"/>
                <w:sz w:val="18"/>
                <w:szCs w:val="18"/>
              </w:rPr>
              <w:t xml:space="preserve">Bourses régionales : comment vérifier un organisme en trois clics</w:t>
            </w:r>
          </w:p>
        </w:tc>
        <w:tc>
          <w:tcPr>
            <w:tcW w:w="1800" w:type="dxa"/>
            <w:tcMar>
              <w:top w:w="80" w:type="dxa"/>
              <w:bottom w:w="80" w:type="dxa"/>
              <w:left w:w="120" w:type="dxa"/>
              <w:right w:w="120" w:type="dxa"/>
            </w:tcMar>
          </w:tcPr>
          <w:p>
            <w:pPr>
              <w:spacing w:before="0" w:after="0" w:line="276" w:lineRule="auto"/>
            </w:pPr>
            <w:r>
              <w:rPr>
                <w:rFonts w:ascii="Calibri" w:hAnsi="Calibri"/>
                <w:sz w:val="18"/>
                <w:szCs w:val="18"/>
              </w:rPr>
              <w:t xml:space="preserve">Atelier : reconnaître un site usurpé</w:t>
            </w:r>
          </w:p>
        </w:tc>
        <w:tc>
          <w:tcPr>
            <w:tcW w:w="1660" w:type="dxa"/>
            <w:tcMar>
              <w:top w:w="80" w:type="dxa"/>
              <w:bottom w:w="80" w:type="dxa"/>
              <w:left w:w="120" w:type="dxa"/>
              <w:right w:w="120" w:type="dxa"/>
            </w:tcMar>
          </w:tcPr>
          <w:p>
            <w:pPr>
              <w:spacing w:before="0" w:after="0" w:line="276" w:lineRule="auto"/>
            </w:pPr>
            <w:r>
              <w:rPr>
                <w:rFonts w:ascii="Calibri" w:hAnsi="Calibri"/>
                <w:sz w:val="18"/>
                <w:szCs w:val="18"/>
              </w:rPr>
              <w:t xml:space="preserve">Constitution du dossier IFCN</w:t>
            </w:r>
          </w:p>
        </w:tc>
      </w:tr>
      <w:tr>
        <w:tc>
          <w:tcPr>
            <w:tcW w:w="900" w:type="dxa"/>
            <w:tcMar>
              <w:top w:w="80" w:type="dxa"/>
              <w:bottom w:w="80" w:type="dxa"/>
              <w:left w:w="120" w:type="dxa"/>
              <w:right w:w="120" w:type="dxa"/>
            </w:tcMar>
          </w:tcPr>
          <w:p>
            <w:pPr>
              <w:spacing w:before="0" w:after="0" w:line="276" w:lineRule="auto"/>
            </w:pPr>
            <w:r>
              <w:rPr>
                <w:rFonts w:ascii="Calibri" w:hAnsi="Calibri"/>
                <w:sz w:val="18"/>
                <w:szCs w:val="18"/>
              </w:rPr>
              <w:t xml:space="preserve">Mois 3</w:t>
            </w:r>
          </w:p>
        </w:tc>
        <w:tc>
          <w:tcPr>
            <w:tcW w:w="3000" w:type="dxa"/>
            <w:tcMar>
              <w:top w:w="80" w:type="dxa"/>
              <w:bottom w:w="80" w:type="dxa"/>
              <w:left w:w="120" w:type="dxa"/>
              <w:right w:w="120" w:type="dxa"/>
            </w:tcMar>
          </w:tcPr>
          <w:p>
            <w:pPr>
              <w:spacing w:before="0" w:after="0" w:line="276" w:lineRule="auto"/>
            </w:pPr>
            <w:r>
              <w:rPr>
                <w:rFonts w:ascii="Calibri" w:hAnsi="Calibri"/>
                <w:b/>
                <w:sz w:val="18"/>
                <w:szCs w:val="18"/>
              </w:rPr>
              <w:t xml:space="preserve">La santé.</w:t>
            </w:r>
            <w:r>
              <w:rPr>
                <w:rFonts w:ascii="Calibri" w:hAnsi="Calibri"/>
                <w:sz w:val="18"/>
                <w:szCs w:val="18"/>
              </w:rPr>
              <w:t xml:space="preserve"> Remèdes miracles, rumeurs sur les traitements, faux communiqués d'établissements.</w:t>
            </w:r>
          </w:p>
        </w:tc>
        <w:tc>
          <w:tcPr>
            <w:tcW w:w="2000" w:type="dxa"/>
            <w:tcMar>
              <w:top w:w="80" w:type="dxa"/>
              <w:bottom w:w="80" w:type="dxa"/>
              <w:left w:w="120" w:type="dxa"/>
              <w:right w:w="120" w:type="dxa"/>
            </w:tcMar>
          </w:tcPr>
          <w:p>
            <w:pPr>
              <w:spacing w:before="0" w:after="0" w:line="276" w:lineRule="auto"/>
            </w:pPr>
            <w:r>
              <w:rPr>
                <w:rFonts w:ascii="Calibri" w:hAnsi="Calibri"/>
                <w:sz w:val="18"/>
                <w:szCs w:val="18"/>
              </w:rPr>
              <w:t xml:space="preserve">Formations professionnelles vérifiées</w:t>
            </w:r>
          </w:p>
        </w:tc>
        <w:tc>
          <w:tcPr>
            <w:tcW w:w="1800" w:type="dxa"/>
            <w:tcMar>
              <w:top w:w="80" w:type="dxa"/>
              <w:bottom w:w="80" w:type="dxa"/>
              <w:left w:w="120" w:type="dxa"/>
              <w:right w:w="120" w:type="dxa"/>
            </w:tcMar>
          </w:tcPr>
          <w:p>
            <w:pPr>
              <w:spacing w:before="0" w:after="0" w:line="276" w:lineRule="auto"/>
            </w:pPr>
            <w:r>
              <w:rPr>
                <w:rFonts w:ascii="Calibri" w:hAnsi="Calibri"/>
                <w:sz w:val="18"/>
                <w:szCs w:val="18"/>
              </w:rPr>
              <w:t xml:space="preserve">Module : lire une source scientifique sans être scientifique</w:t>
            </w:r>
          </w:p>
        </w:tc>
        <w:tc>
          <w:tcPr>
            <w:tcW w:w="1660" w:type="dxa"/>
            <w:tcMar>
              <w:top w:w="80" w:type="dxa"/>
              <w:bottom w:w="80" w:type="dxa"/>
              <w:left w:w="120" w:type="dxa"/>
              <w:right w:w="120" w:type="dxa"/>
            </w:tcMar>
          </w:tcPr>
          <w:p>
            <w:pPr>
              <w:spacing w:before="0" w:after="0" w:line="276" w:lineRule="auto"/>
            </w:pPr>
            <w:r>
              <w:rPr>
                <w:rFonts w:ascii="Calibri" w:hAnsi="Calibri"/>
                <w:sz w:val="18"/>
                <w:szCs w:val="18"/>
              </w:rPr>
              <w:t xml:space="preserve">Premiers contacts presse et ONG</w:t>
            </w:r>
          </w:p>
        </w:tc>
      </w:tr>
    </w:tbl>
    <w:p>
      <w:pPr>
        <w:spacing w:before="0" w:after="160" w:line="276" w:lineRule="auto"/>
      </w:pPr>
    </w:p>
    <w:p>
      <w:pPr>
        <w:spacing w:before="280" w:after="140" w:line="276" w:lineRule="auto"/>
      </w:pPr>
      <w:r>
        <w:rPr>
          <w:rFonts w:ascii="Calibri" w:hAnsi="Calibri"/>
          <w:b/>
          <w:color w:val="0E1A14"/>
          <w:sz w:val="28"/>
          <w:szCs w:val="28"/>
        </w:rPr>
        <w:t xml:space="preserve">Trimestre 2 — Occuper le terrain des examens (mois 4 à 6)</w:t>
      </w:r>
    </w:p>
    <w:p>
      <w:pPr>
        <w:spacing w:before="0" w:after="120" w:line="276" w:lineRule="auto"/>
      </w:pPr>
      <w:r>
        <w:rPr>
          <w:rFonts w:ascii="Calibri" w:hAnsi="Calibri"/>
          <w:i/>
          <w:sz w:val="20"/>
          <w:szCs w:val="20"/>
        </w:rPr>
        <w:t xml:space="preserve">Période des examens scolaires : c'est le moment de l'année où circulent le plus de faux sujets, de faux résultats et de fausses annonces officielles. C'est notre trimestre le plus stratégique.</w:t>
      </w:r>
    </w:p>
    <w:tbl>
      <w:tblPr>
        <w:tblW w:w="9360" w:type="dxa"/>
        <w:tblBorders>
          <w:top w:val="single" w:sz="4" w:space="0" w:color="D8E0DB"/>
          <w:left w:val="single" w:sz="4" w:space="0" w:color="D8E0DB"/>
          <w:bottom w:val="single" w:sz="4" w:space="0" w:color="D8E0DB"/>
          <w:right w:val="single" w:sz="4" w:space="0" w:color="D8E0DB"/>
          <w:insideH w:val="single" w:sz="4" w:space="0" w:color="D8E0DB"/>
          <w:insideV w:val="single" w:sz="4" w:space="0" w:color="D8E0DB"/>
        </w:tblBorders>
        <w:tblLayout w:type="fixed"/>
      </w:tblPr>
      <w:tr>
        <w:trPr>
          <w:tblHeader/>
        </w:trPr>
        <w:tc>
          <w:tcPr>
            <w:tcW w:w="900" w:type="dxa"/>
            <w:shd w:val="clear" w:fill="EAF9F0"/>
            <w:tcMar>
              <w:top w:w="80" w:type="dxa"/>
              <w:bottom w:w="80" w:type="dxa"/>
              <w:left w:w="120" w:type="dxa"/>
              <w:right w:w="120" w:type="dxa"/>
            </w:tcMar>
          </w:tcPr>
          <w:p>
            <w:pPr>
              <w:spacing w:before="0" w:after="0" w:line="276" w:lineRule="auto"/>
            </w:pPr>
            <w:r>
              <w:rPr>
                <w:rFonts w:ascii="Calibri" w:hAnsi="Calibri"/>
                <w:b/>
                <w:color w:val="067A35"/>
                <w:sz w:val="18"/>
                <w:szCs w:val="18"/>
              </w:rPr>
              <w:t xml:space="preserve">Mois</w:t>
            </w:r>
          </w:p>
        </w:tc>
        <w:tc>
          <w:tcPr>
            <w:tcW w:w="3000" w:type="dxa"/>
            <w:shd w:val="clear" w:fill="EAF9F0"/>
            <w:tcMar>
              <w:top w:w="80" w:type="dxa"/>
              <w:bottom w:w="80" w:type="dxa"/>
              <w:left w:w="120" w:type="dxa"/>
              <w:right w:w="120" w:type="dxa"/>
            </w:tcMar>
          </w:tcPr>
          <w:p>
            <w:pPr>
              <w:spacing w:before="0" w:after="0" w:line="276" w:lineRule="auto"/>
            </w:pPr>
            <w:r>
              <w:rPr>
                <w:rFonts w:ascii="Calibri" w:hAnsi="Calibri"/>
                <w:b/>
                <w:color w:val="067A35"/>
                <w:sz w:val="18"/>
                <w:szCs w:val="18"/>
              </w:rPr>
              <w:t xml:space="preserve">Thème directeur</w:t>
            </w:r>
          </w:p>
        </w:tc>
        <w:tc>
          <w:tcPr>
            <w:tcW w:w="2000" w:type="dxa"/>
            <w:shd w:val="clear" w:fill="EAF9F0"/>
            <w:tcMar>
              <w:top w:w="80" w:type="dxa"/>
              <w:bottom w:w="80" w:type="dxa"/>
              <w:left w:w="120" w:type="dxa"/>
              <w:right w:w="120" w:type="dxa"/>
            </w:tcMar>
          </w:tcPr>
          <w:p>
            <w:pPr>
              <w:spacing w:before="0" w:after="0" w:line="276" w:lineRule="auto"/>
            </w:pPr>
            <w:r>
              <w:rPr>
                <w:rFonts w:ascii="Calibri" w:hAnsi="Calibri"/>
                <w:b/>
                <w:color w:val="067A35"/>
                <w:sz w:val="18"/>
                <w:szCs w:val="18"/>
              </w:rPr>
              <w:t xml:space="preserve">Hub d'opportunités</w:t>
            </w:r>
          </w:p>
        </w:tc>
        <w:tc>
          <w:tcPr>
            <w:tcW w:w="1800" w:type="dxa"/>
            <w:shd w:val="clear" w:fill="EAF9F0"/>
            <w:tcMar>
              <w:top w:w="80" w:type="dxa"/>
              <w:bottom w:w="80" w:type="dxa"/>
              <w:left w:w="120" w:type="dxa"/>
              <w:right w:w="120" w:type="dxa"/>
            </w:tcMar>
          </w:tcPr>
          <w:p>
            <w:pPr>
              <w:spacing w:before="0" w:after="0" w:line="276" w:lineRule="auto"/>
            </w:pPr>
            <w:r>
              <w:rPr>
                <w:rFonts w:ascii="Calibri" w:hAnsi="Calibri"/>
                <w:b/>
                <w:color w:val="067A35"/>
                <w:sz w:val="18"/>
                <w:szCs w:val="18"/>
              </w:rPr>
              <w:t xml:space="preserve">Académie</w:t>
            </w:r>
          </w:p>
        </w:tc>
        <w:tc>
          <w:tcPr>
            <w:tcW w:w="1660" w:type="dxa"/>
            <w:shd w:val="clear" w:fill="EAF9F0"/>
            <w:tcMar>
              <w:top w:w="80" w:type="dxa"/>
              <w:bottom w:w="80" w:type="dxa"/>
              <w:left w:w="120" w:type="dxa"/>
              <w:right w:w="120" w:type="dxa"/>
            </w:tcMar>
          </w:tcPr>
          <w:p>
            <w:pPr>
              <w:spacing w:before="0" w:after="0" w:line="276" w:lineRule="auto"/>
            </w:pPr>
            <w:r>
              <w:rPr>
                <w:rFonts w:ascii="Calibri" w:hAnsi="Calibri"/>
                <w:b/>
                <w:color w:val="067A35"/>
                <w:sz w:val="18"/>
                <w:szCs w:val="18"/>
              </w:rPr>
              <w:t xml:space="preserve">Jalon institutionnel</w:t>
            </w:r>
          </w:p>
        </w:tc>
      </w:tr>
      <w:tr>
        <w:tc>
          <w:tcPr>
            <w:tcW w:w="900" w:type="dxa"/>
            <w:tcMar>
              <w:top w:w="80" w:type="dxa"/>
              <w:bottom w:w="80" w:type="dxa"/>
              <w:left w:w="120" w:type="dxa"/>
              <w:right w:w="120" w:type="dxa"/>
            </w:tcMar>
          </w:tcPr>
          <w:p>
            <w:pPr>
              <w:spacing w:before="0" w:after="0" w:line="276" w:lineRule="auto"/>
            </w:pPr>
            <w:r>
              <w:rPr>
                <w:rFonts w:ascii="Calibri" w:hAnsi="Calibri"/>
                <w:sz w:val="18"/>
                <w:szCs w:val="18"/>
              </w:rPr>
              <w:t xml:space="preserve">Mois 4</w:t>
            </w:r>
          </w:p>
        </w:tc>
        <w:tc>
          <w:tcPr>
            <w:tcW w:w="3000" w:type="dxa"/>
            <w:tcMar>
              <w:top w:w="80" w:type="dxa"/>
              <w:bottom w:w="80" w:type="dxa"/>
              <w:left w:w="120" w:type="dxa"/>
              <w:right w:w="120" w:type="dxa"/>
            </w:tcMar>
          </w:tcPr>
          <w:p>
            <w:pPr>
              <w:spacing w:before="0" w:after="0" w:line="276" w:lineRule="auto"/>
            </w:pPr>
            <w:r>
              <w:rPr>
                <w:rFonts w:ascii="Calibri" w:hAnsi="Calibri"/>
                <w:b/>
                <w:sz w:val="18"/>
                <w:szCs w:val="18"/>
              </w:rPr>
              <w:t xml:space="preserve">Les faux sujets d'examen.</w:t>
            </w:r>
            <w:r>
              <w:rPr>
                <w:rFonts w:ascii="Calibri" w:hAnsi="Calibri"/>
                <w:sz w:val="18"/>
                <w:szCs w:val="18"/>
              </w:rPr>
              <w:t xml:space="preserve"> Campagne d'anticipation avant la période, pas pendant : une fois le sujet en circulation, il est trop tard.</w:t>
            </w:r>
          </w:p>
        </w:tc>
        <w:tc>
          <w:tcPr>
            <w:tcW w:w="2000" w:type="dxa"/>
            <w:tcMar>
              <w:top w:w="80" w:type="dxa"/>
              <w:bottom w:w="80" w:type="dxa"/>
              <w:left w:w="120" w:type="dxa"/>
              <w:right w:w="120" w:type="dxa"/>
            </w:tcMar>
          </w:tcPr>
          <w:p>
            <w:pPr>
              <w:spacing w:before="0" w:after="0" w:line="276" w:lineRule="auto"/>
            </w:pPr>
            <w:r>
              <w:rPr>
                <w:rFonts w:ascii="Calibri" w:hAnsi="Calibri"/>
                <w:sz w:val="18"/>
                <w:szCs w:val="18"/>
              </w:rPr>
              <w:t xml:space="preserve">Concours de la fonction publique : sources officielles uniquement</w:t>
            </w:r>
          </w:p>
        </w:tc>
        <w:tc>
          <w:tcPr>
            <w:tcW w:w="1800" w:type="dxa"/>
            <w:tcMar>
              <w:top w:w="80" w:type="dxa"/>
              <w:bottom w:w="80" w:type="dxa"/>
              <w:left w:w="120" w:type="dxa"/>
              <w:right w:w="120" w:type="dxa"/>
            </w:tcMar>
          </w:tcPr>
          <w:p>
            <w:pPr>
              <w:spacing w:before="0" w:after="0" w:line="276" w:lineRule="auto"/>
            </w:pPr>
            <w:r>
              <w:rPr>
                <w:rFonts w:ascii="Calibri" w:hAnsi="Calibri"/>
                <w:sz w:val="18"/>
                <w:szCs w:val="18"/>
              </w:rPr>
              <w:t xml:space="preserve">Vérifier un document administratif</w:t>
            </w:r>
          </w:p>
        </w:tc>
        <w:tc>
          <w:tcPr>
            <w:tcW w:w="1660" w:type="dxa"/>
            <w:tcMar>
              <w:top w:w="80" w:type="dxa"/>
              <w:bottom w:w="80" w:type="dxa"/>
              <w:left w:w="120" w:type="dxa"/>
              <w:right w:w="120" w:type="dxa"/>
            </w:tcMar>
          </w:tcPr>
          <w:p>
            <w:pPr>
              <w:spacing w:before="0" w:after="0" w:line="276" w:lineRule="auto"/>
            </w:pPr>
            <w:r>
              <w:rPr>
                <w:rFonts w:ascii="Calibri" w:hAnsi="Calibri"/>
                <w:sz w:val="18"/>
                <w:szCs w:val="18"/>
              </w:rPr>
              <w:t xml:space="preserve">Partenariat avec un établissement scolaire</w:t>
            </w:r>
          </w:p>
        </w:tc>
      </w:tr>
      <w:tr>
        <w:tc>
          <w:tcPr>
            <w:tcW w:w="900" w:type="dxa"/>
            <w:tcMar>
              <w:top w:w="80" w:type="dxa"/>
              <w:bottom w:w="80" w:type="dxa"/>
              <w:left w:w="120" w:type="dxa"/>
              <w:right w:w="120" w:type="dxa"/>
            </w:tcMar>
          </w:tcPr>
          <w:p>
            <w:pPr>
              <w:spacing w:before="0" w:after="0" w:line="276" w:lineRule="auto"/>
            </w:pPr>
            <w:r>
              <w:rPr>
                <w:rFonts w:ascii="Calibri" w:hAnsi="Calibri"/>
                <w:sz w:val="18"/>
                <w:szCs w:val="18"/>
              </w:rPr>
              <w:t xml:space="preserve">Mois 5</w:t>
            </w:r>
          </w:p>
        </w:tc>
        <w:tc>
          <w:tcPr>
            <w:tcW w:w="3000" w:type="dxa"/>
            <w:tcMar>
              <w:top w:w="80" w:type="dxa"/>
              <w:bottom w:w="80" w:type="dxa"/>
              <w:left w:w="120" w:type="dxa"/>
              <w:right w:w="120" w:type="dxa"/>
            </w:tcMar>
          </w:tcPr>
          <w:p>
            <w:pPr>
              <w:spacing w:before="0" w:after="0" w:line="276" w:lineRule="auto"/>
            </w:pPr>
            <w:r>
              <w:rPr>
                <w:rFonts w:ascii="Calibri" w:hAnsi="Calibri"/>
                <w:b/>
                <w:sz w:val="18"/>
                <w:szCs w:val="18"/>
              </w:rPr>
              <w:t xml:space="preserve">Les faux résultats et les usurpations d'institutions.</w:t>
            </w:r>
            <w:r>
              <w:rPr>
                <w:rFonts w:ascii="Calibri" w:hAnsi="Calibri"/>
                <w:sz w:val="18"/>
                <w:szCs w:val="18"/>
              </w:rPr>
              <w:t xml:space="preserve"> Format court quotidien pendant la période de publication des résultats.</w:t>
            </w:r>
          </w:p>
        </w:tc>
        <w:tc>
          <w:tcPr>
            <w:tcW w:w="2000" w:type="dxa"/>
            <w:tcMar>
              <w:top w:w="80" w:type="dxa"/>
              <w:bottom w:w="80" w:type="dxa"/>
              <w:left w:w="120" w:type="dxa"/>
              <w:right w:w="120" w:type="dxa"/>
            </w:tcMar>
          </w:tcPr>
          <w:p>
            <w:pPr>
              <w:spacing w:before="0" w:after="0" w:line="276" w:lineRule="auto"/>
            </w:pPr>
            <w:r>
              <w:rPr>
                <w:rFonts w:ascii="Calibri" w:hAnsi="Calibri"/>
                <w:sz w:val="18"/>
                <w:szCs w:val="18"/>
              </w:rPr>
              <w:t xml:space="preserve">Bourses d'études : ouverture de la saison</w:t>
            </w:r>
          </w:p>
        </w:tc>
        <w:tc>
          <w:tcPr>
            <w:tcW w:w="1800" w:type="dxa"/>
            <w:tcMar>
              <w:top w:w="80" w:type="dxa"/>
              <w:bottom w:w="80" w:type="dxa"/>
              <w:left w:w="120" w:type="dxa"/>
              <w:right w:w="120" w:type="dxa"/>
            </w:tcMar>
          </w:tcPr>
          <w:p>
            <w:pPr>
              <w:spacing w:before="0" w:after="0" w:line="276" w:lineRule="auto"/>
            </w:pPr>
            <w:r>
              <w:rPr>
                <w:rFonts w:ascii="Calibri" w:hAnsi="Calibri"/>
                <w:sz w:val="18"/>
                <w:szCs w:val="18"/>
              </w:rPr>
              <w:t xml:space="preserve">Atelier en établissement (présentiel)</w:t>
            </w:r>
          </w:p>
        </w:tc>
        <w:tc>
          <w:tcPr>
            <w:tcW w:w="1660" w:type="dxa"/>
            <w:tcMar>
              <w:top w:w="80" w:type="dxa"/>
              <w:bottom w:w="80" w:type="dxa"/>
              <w:left w:w="120" w:type="dxa"/>
              <w:right w:w="120" w:type="dxa"/>
            </w:tcMar>
          </w:tcPr>
          <w:p>
            <w:pPr>
              <w:spacing w:before="0" w:after="0" w:line="276" w:lineRule="auto"/>
            </w:pPr>
            <w:r>
              <w:rPr>
                <w:rFonts w:ascii="Calibri" w:hAnsi="Calibri"/>
                <w:sz w:val="18"/>
                <w:szCs w:val="18"/>
              </w:rPr>
              <w:t xml:space="preserve">Dépôt du dossier IFCN</w:t>
            </w:r>
          </w:p>
        </w:tc>
      </w:tr>
      <w:tr>
        <w:tc>
          <w:tcPr>
            <w:tcW w:w="900" w:type="dxa"/>
            <w:tcMar>
              <w:top w:w="80" w:type="dxa"/>
              <w:bottom w:w="80" w:type="dxa"/>
              <w:left w:w="120" w:type="dxa"/>
              <w:right w:w="120" w:type="dxa"/>
            </w:tcMar>
          </w:tcPr>
          <w:p>
            <w:pPr>
              <w:spacing w:before="0" w:after="0" w:line="276" w:lineRule="auto"/>
            </w:pPr>
            <w:r>
              <w:rPr>
                <w:rFonts w:ascii="Calibri" w:hAnsi="Calibri"/>
                <w:sz w:val="18"/>
                <w:szCs w:val="18"/>
              </w:rPr>
              <w:t xml:space="preserve">Mois 6</w:t>
            </w:r>
          </w:p>
        </w:tc>
        <w:tc>
          <w:tcPr>
            <w:tcW w:w="3000" w:type="dxa"/>
            <w:tcMar>
              <w:top w:w="80" w:type="dxa"/>
              <w:bottom w:w="80" w:type="dxa"/>
              <w:left w:w="120" w:type="dxa"/>
              <w:right w:w="120" w:type="dxa"/>
            </w:tcMar>
          </w:tcPr>
          <w:p>
            <w:pPr>
              <w:spacing w:before="0" w:after="0" w:line="276" w:lineRule="auto"/>
            </w:pPr>
            <w:r>
              <w:rPr>
                <w:rFonts w:ascii="Calibri" w:hAnsi="Calibri"/>
                <w:b/>
                <w:sz w:val="18"/>
                <w:szCs w:val="18"/>
              </w:rPr>
              <w:t xml:space="preserve">L'image sortie de son contexte.</w:t>
            </w:r>
            <w:r>
              <w:rPr>
                <w:rFonts w:ascii="Calibri" w:hAnsi="Calibri"/>
                <w:sz w:val="18"/>
                <w:szCs w:val="18"/>
              </w:rPr>
              <w:t xml:space="preserve"> Notre limite reconnue — nous ne datons pas une première apparition — devient le sujet pédagogique.</w:t>
            </w:r>
          </w:p>
        </w:tc>
        <w:tc>
          <w:tcPr>
            <w:tcW w:w="2000" w:type="dxa"/>
            <w:tcMar>
              <w:top w:w="80" w:type="dxa"/>
              <w:bottom w:w="80" w:type="dxa"/>
              <w:left w:w="120" w:type="dxa"/>
              <w:right w:w="120" w:type="dxa"/>
            </w:tcMar>
          </w:tcPr>
          <w:p>
            <w:pPr>
              <w:spacing w:before="0" w:after="0" w:line="276" w:lineRule="auto"/>
            </w:pPr>
            <w:r>
              <w:rPr>
                <w:rFonts w:ascii="Calibri" w:hAnsi="Calibri"/>
                <w:sz w:val="18"/>
                <w:szCs w:val="18"/>
              </w:rPr>
              <w:t xml:space="preserve">Programmes d'été et volontariat</w:t>
            </w:r>
          </w:p>
        </w:tc>
        <w:tc>
          <w:tcPr>
            <w:tcW w:w="1800" w:type="dxa"/>
            <w:tcMar>
              <w:top w:w="80" w:type="dxa"/>
              <w:bottom w:w="80" w:type="dxa"/>
              <w:left w:w="120" w:type="dxa"/>
              <w:right w:w="120" w:type="dxa"/>
            </w:tcMar>
          </w:tcPr>
          <w:p>
            <w:pPr>
              <w:spacing w:before="0" w:after="0" w:line="276" w:lineRule="auto"/>
            </w:pPr>
            <w:r>
              <w:rPr>
                <w:rFonts w:ascii="Calibri" w:hAnsi="Calibri"/>
                <w:sz w:val="18"/>
                <w:szCs w:val="18"/>
              </w:rPr>
              <w:t xml:space="preserve">Recherche inversée d'image, pas à pas</w:t>
            </w:r>
          </w:p>
        </w:tc>
        <w:tc>
          <w:tcPr>
            <w:tcW w:w="1660" w:type="dxa"/>
            <w:tcMar>
              <w:top w:w="80" w:type="dxa"/>
              <w:bottom w:w="80" w:type="dxa"/>
              <w:left w:w="120" w:type="dxa"/>
              <w:right w:w="120" w:type="dxa"/>
            </w:tcMar>
          </w:tcPr>
          <w:p>
            <w:pPr>
              <w:spacing w:before="0" w:after="0" w:line="276" w:lineRule="auto"/>
            </w:pPr>
            <w:r>
              <w:rPr>
                <w:rFonts w:ascii="Calibri" w:hAnsi="Calibri"/>
                <w:sz w:val="18"/>
                <w:szCs w:val="18"/>
              </w:rPr>
              <w:t xml:space="preserve">Premier rapport public semestriel</w:t>
            </w:r>
          </w:p>
        </w:tc>
      </w:tr>
    </w:tbl>
    <w:p>
      <w:pPr>
        <w:spacing w:before="0" w:after="160" w:line="276" w:lineRule="auto"/>
      </w:pPr>
    </w:p>
    <w:p>
      <w:pPr>
        <w:spacing w:before="280" w:after="140" w:line="276" w:lineRule="auto"/>
      </w:pPr>
      <w:r>
        <w:rPr>
          <w:rFonts w:ascii="Calibri" w:hAnsi="Calibri"/>
          <w:b/>
          <w:color w:val="0E1A14"/>
          <w:sz w:val="28"/>
          <w:szCs w:val="28"/>
        </w:rPr>
        <w:t xml:space="preserve">Trimestre 3 — La saison des bourses (mois 7 à 9)</w:t>
      </w:r>
    </w:p>
    <w:tbl>
      <w:tblPr>
        <w:tblW w:w="9360" w:type="dxa"/>
        <w:tblBorders>
          <w:top w:val="single" w:sz="4" w:space="0" w:color="D8E0DB"/>
          <w:left w:val="single" w:sz="4" w:space="0" w:color="D8E0DB"/>
          <w:bottom w:val="single" w:sz="4" w:space="0" w:color="D8E0DB"/>
          <w:right w:val="single" w:sz="4" w:space="0" w:color="D8E0DB"/>
          <w:insideH w:val="single" w:sz="4" w:space="0" w:color="D8E0DB"/>
          <w:insideV w:val="single" w:sz="4" w:space="0" w:color="D8E0DB"/>
        </w:tblBorders>
        <w:tblLayout w:type="fixed"/>
      </w:tblPr>
      <w:tr>
        <w:trPr>
          <w:tblHeader/>
        </w:trPr>
        <w:tc>
          <w:tcPr>
            <w:tcW w:w="900" w:type="dxa"/>
            <w:shd w:val="clear" w:fill="EAF9F0"/>
            <w:tcMar>
              <w:top w:w="80" w:type="dxa"/>
              <w:bottom w:w="80" w:type="dxa"/>
              <w:left w:w="120" w:type="dxa"/>
              <w:right w:w="120" w:type="dxa"/>
            </w:tcMar>
          </w:tcPr>
          <w:p>
            <w:pPr>
              <w:spacing w:before="0" w:after="0" w:line="276" w:lineRule="auto"/>
            </w:pPr>
            <w:r>
              <w:rPr>
                <w:rFonts w:ascii="Calibri" w:hAnsi="Calibri"/>
                <w:b/>
                <w:color w:val="067A35"/>
                <w:sz w:val="18"/>
                <w:szCs w:val="18"/>
              </w:rPr>
              <w:t xml:space="preserve">Mois</w:t>
            </w:r>
          </w:p>
        </w:tc>
        <w:tc>
          <w:tcPr>
            <w:tcW w:w="3000" w:type="dxa"/>
            <w:shd w:val="clear" w:fill="EAF9F0"/>
            <w:tcMar>
              <w:top w:w="80" w:type="dxa"/>
              <w:bottom w:w="80" w:type="dxa"/>
              <w:left w:w="120" w:type="dxa"/>
              <w:right w:w="120" w:type="dxa"/>
            </w:tcMar>
          </w:tcPr>
          <w:p>
            <w:pPr>
              <w:spacing w:before="0" w:after="0" w:line="276" w:lineRule="auto"/>
            </w:pPr>
            <w:r>
              <w:rPr>
                <w:rFonts w:ascii="Calibri" w:hAnsi="Calibri"/>
                <w:b/>
                <w:color w:val="067A35"/>
                <w:sz w:val="18"/>
                <w:szCs w:val="18"/>
              </w:rPr>
              <w:t xml:space="preserve">Thème directeur</w:t>
            </w:r>
          </w:p>
        </w:tc>
        <w:tc>
          <w:tcPr>
            <w:tcW w:w="2000" w:type="dxa"/>
            <w:shd w:val="clear" w:fill="EAF9F0"/>
            <w:tcMar>
              <w:top w:w="80" w:type="dxa"/>
              <w:bottom w:w="80" w:type="dxa"/>
              <w:left w:w="120" w:type="dxa"/>
              <w:right w:w="120" w:type="dxa"/>
            </w:tcMar>
          </w:tcPr>
          <w:p>
            <w:pPr>
              <w:spacing w:before="0" w:after="0" w:line="276" w:lineRule="auto"/>
            </w:pPr>
            <w:r>
              <w:rPr>
                <w:rFonts w:ascii="Calibri" w:hAnsi="Calibri"/>
                <w:b/>
                <w:color w:val="067A35"/>
                <w:sz w:val="18"/>
                <w:szCs w:val="18"/>
              </w:rPr>
              <w:t xml:space="preserve">Hub d'opportunités</w:t>
            </w:r>
          </w:p>
        </w:tc>
        <w:tc>
          <w:tcPr>
            <w:tcW w:w="1800" w:type="dxa"/>
            <w:shd w:val="clear" w:fill="EAF9F0"/>
            <w:tcMar>
              <w:top w:w="80" w:type="dxa"/>
              <w:bottom w:w="80" w:type="dxa"/>
              <w:left w:w="120" w:type="dxa"/>
              <w:right w:w="120" w:type="dxa"/>
            </w:tcMar>
          </w:tcPr>
          <w:p>
            <w:pPr>
              <w:spacing w:before="0" w:after="0" w:line="276" w:lineRule="auto"/>
            </w:pPr>
            <w:r>
              <w:rPr>
                <w:rFonts w:ascii="Calibri" w:hAnsi="Calibri"/>
                <w:b/>
                <w:color w:val="067A35"/>
                <w:sz w:val="18"/>
                <w:szCs w:val="18"/>
              </w:rPr>
              <w:t xml:space="preserve">Académie</w:t>
            </w:r>
          </w:p>
        </w:tc>
        <w:tc>
          <w:tcPr>
            <w:tcW w:w="1660" w:type="dxa"/>
            <w:shd w:val="clear" w:fill="EAF9F0"/>
            <w:tcMar>
              <w:top w:w="80" w:type="dxa"/>
              <w:bottom w:w="80" w:type="dxa"/>
              <w:left w:w="120" w:type="dxa"/>
              <w:right w:w="120" w:type="dxa"/>
            </w:tcMar>
          </w:tcPr>
          <w:p>
            <w:pPr>
              <w:spacing w:before="0" w:after="0" w:line="276" w:lineRule="auto"/>
            </w:pPr>
            <w:r>
              <w:rPr>
                <w:rFonts w:ascii="Calibri" w:hAnsi="Calibri"/>
                <w:b/>
                <w:color w:val="067A35"/>
                <w:sz w:val="18"/>
                <w:szCs w:val="18"/>
              </w:rPr>
              <w:t xml:space="preserve">Jalon institutionnel</w:t>
            </w:r>
          </w:p>
        </w:tc>
      </w:tr>
      <w:tr>
        <w:tc>
          <w:tcPr>
            <w:tcW w:w="900" w:type="dxa"/>
            <w:tcMar>
              <w:top w:w="80" w:type="dxa"/>
              <w:bottom w:w="80" w:type="dxa"/>
              <w:left w:w="120" w:type="dxa"/>
              <w:right w:w="120" w:type="dxa"/>
            </w:tcMar>
          </w:tcPr>
          <w:p>
            <w:pPr>
              <w:spacing w:before="0" w:after="0" w:line="276" w:lineRule="auto"/>
            </w:pPr>
            <w:r>
              <w:rPr>
                <w:rFonts w:ascii="Calibri" w:hAnsi="Calibri"/>
                <w:sz w:val="18"/>
                <w:szCs w:val="18"/>
              </w:rPr>
              <w:t xml:space="preserve">Mois 7</w:t>
            </w:r>
          </w:p>
        </w:tc>
        <w:tc>
          <w:tcPr>
            <w:tcW w:w="3000" w:type="dxa"/>
            <w:tcMar>
              <w:top w:w="80" w:type="dxa"/>
              <w:bottom w:w="80" w:type="dxa"/>
              <w:left w:w="120" w:type="dxa"/>
              <w:right w:w="120" w:type="dxa"/>
            </w:tcMar>
          </w:tcPr>
          <w:p>
            <w:pPr>
              <w:spacing w:before="0" w:after="0" w:line="276" w:lineRule="auto"/>
            </w:pPr>
            <w:r>
              <w:rPr>
                <w:rFonts w:ascii="Calibri" w:hAnsi="Calibri"/>
                <w:b/>
                <w:sz w:val="18"/>
                <w:szCs w:val="18"/>
              </w:rPr>
              <w:t xml:space="preserve">Les fausses bourses.</w:t>
            </w:r>
            <w:r>
              <w:rPr>
                <w:rFonts w:ascii="Calibri" w:hAnsi="Calibri"/>
                <w:sz w:val="18"/>
                <w:szCs w:val="18"/>
              </w:rPr>
              <w:t xml:space="preserve"> Notre pilier Hub devient le sujet principal. Le rappel « jamais de frais de dossier » en tête de chaque publication.</w:t>
            </w:r>
          </w:p>
        </w:tc>
        <w:tc>
          <w:tcPr>
            <w:tcW w:w="2000" w:type="dxa"/>
            <w:tcMar>
              <w:top w:w="80" w:type="dxa"/>
              <w:bottom w:w="80" w:type="dxa"/>
              <w:left w:w="120" w:type="dxa"/>
              <w:right w:w="120" w:type="dxa"/>
            </w:tcMar>
          </w:tcPr>
          <w:p>
            <w:pPr>
              <w:spacing w:before="0" w:after="0" w:line="276" w:lineRule="auto"/>
            </w:pPr>
            <w:r>
              <w:rPr>
                <w:rFonts w:ascii="Calibri" w:hAnsi="Calibri"/>
                <w:sz w:val="18"/>
                <w:szCs w:val="18"/>
              </w:rPr>
              <w:t xml:space="preserve">Grand dossier : bourses internationales vérifiées</w:t>
            </w:r>
          </w:p>
        </w:tc>
        <w:tc>
          <w:tcPr>
            <w:tcW w:w="1800" w:type="dxa"/>
            <w:tcMar>
              <w:top w:w="80" w:type="dxa"/>
              <w:bottom w:w="80" w:type="dxa"/>
              <w:left w:w="120" w:type="dxa"/>
              <w:right w:w="120" w:type="dxa"/>
            </w:tcMar>
          </w:tcPr>
          <w:p>
            <w:pPr>
              <w:spacing w:before="0" w:after="0" w:line="276" w:lineRule="auto"/>
            </w:pPr>
            <w:r>
              <w:rPr>
                <w:rFonts w:ascii="Calibri" w:hAnsi="Calibri"/>
                <w:sz w:val="18"/>
                <w:szCs w:val="18"/>
              </w:rPr>
              <w:t xml:space="preserve">Reconnaître une fausse offre en 60 secondes</w:t>
            </w:r>
          </w:p>
        </w:tc>
        <w:tc>
          <w:tcPr>
            <w:tcW w:w="1660" w:type="dxa"/>
            <w:tcMar>
              <w:top w:w="80" w:type="dxa"/>
              <w:bottom w:w="80" w:type="dxa"/>
              <w:left w:w="120" w:type="dxa"/>
              <w:right w:w="120" w:type="dxa"/>
            </w:tcMar>
          </w:tcPr>
          <w:p>
            <w:pPr>
              <w:spacing w:before="0" w:after="0" w:line="276" w:lineRule="auto"/>
            </w:pPr>
            <w:r>
              <w:rPr>
                <w:rFonts w:ascii="Calibri" w:hAnsi="Calibri"/>
                <w:sz w:val="18"/>
                <w:szCs w:val="18"/>
              </w:rPr>
              <w:t xml:space="preserve">Réponse IFCN attendue</w:t>
            </w:r>
          </w:p>
        </w:tc>
      </w:tr>
      <w:tr>
        <w:tc>
          <w:tcPr>
            <w:tcW w:w="900" w:type="dxa"/>
            <w:tcMar>
              <w:top w:w="80" w:type="dxa"/>
              <w:bottom w:w="80" w:type="dxa"/>
              <w:left w:w="120" w:type="dxa"/>
              <w:right w:w="120" w:type="dxa"/>
            </w:tcMar>
          </w:tcPr>
          <w:p>
            <w:pPr>
              <w:spacing w:before="0" w:after="0" w:line="276" w:lineRule="auto"/>
            </w:pPr>
            <w:r>
              <w:rPr>
                <w:rFonts w:ascii="Calibri" w:hAnsi="Calibri"/>
                <w:sz w:val="18"/>
                <w:szCs w:val="18"/>
              </w:rPr>
              <w:t xml:space="preserve">Mois 8</w:t>
            </w:r>
          </w:p>
        </w:tc>
        <w:tc>
          <w:tcPr>
            <w:tcW w:w="3000" w:type="dxa"/>
            <w:tcMar>
              <w:top w:w="80" w:type="dxa"/>
              <w:bottom w:w="80" w:type="dxa"/>
              <w:left w:w="120" w:type="dxa"/>
              <w:right w:w="120" w:type="dxa"/>
            </w:tcMar>
          </w:tcPr>
          <w:p>
            <w:pPr>
              <w:spacing w:before="0" w:after="0" w:line="276" w:lineRule="auto"/>
            </w:pPr>
            <w:r>
              <w:rPr>
                <w:rFonts w:ascii="Calibri" w:hAnsi="Calibri"/>
                <w:b/>
                <w:sz w:val="18"/>
                <w:szCs w:val="18"/>
              </w:rPr>
              <w:t xml:space="preserve">La rentrée.</w:t>
            </w:r>
            <w:r>
              <w:rPr>
                <w:rFonts w:ascii="Calibri" w:hAnsi="Calibri"/>
                <w:sz w:val="18"/>
                <w:szCs w:val="18"/>
              </w:rPr>
              <w:t xml:space="preserve"> Faux établissements, faux diplômes, fausses équivalences.</w:t>
            </w:r>
          </w:p>
        </w:tc>
        <w:tc>
          <w:tcPr>
            <w:tcW w:w="2000" w:type="dxa"/>
            <w:tcMar>
              <w:top w:w="80" w:type="dxa"/>
              <w:bottom w:w="80" w:type="dxa"/>
              <w:left w:w="120" w:type="dxa"/>
              <w:right w:w="120" w:type="dxa"/>
            </w:tcMar>
          </w:tcPr>
          <w:p>
            <w:pPr>
              <w:spacing w:before="0" w:after="0" w:line="276" w:lineRule="auto"/>
            </w:pPr>
            <w:r>
              <w:rPr>
                <w:rFonts w:ascii="Calibri" w:hAnsi="Calibri"/>
                <w:sz w:val="18"/>
                <w:szCs w:val="18"/>
              </w:rPr>
              <w:t xml:space="preserve">Écoles et formations : établissements confirmés</w:t>
            </w:r>
          </w:p>
        </w:tc>
        <w:tc>
          <w:tcPr>
            <w:tcW w:w="1800" w:type="dxa"/>
            <w:tcMar>
              <w:top w:w="80" w:type="dxa"/>
              <w:bottom w:w="80" w:type="dxa"/>
              <w:left w:w="120" w:type="dxa"/>
              <w:right w:w="120" w:type="dxa"/>
            </w:tcMar>
          </w:tcPr>
          <w:p>
            <w:pPr>
              <w:spacing w:before="0" w:after="0" w:line="276" w:lineRule="auto"/>
            </w:pPr>
            <w:r>
              <w:rPr>
                <w:rFonts w:ascii="Calibri" w:hAnsi="Calibri"/>
                <w:sz w:val="18"/>
                <w:szCs w:val="18"/>
              </w:rPr>
              <w:t xml:space="preserve">Vérifier un diplôme et un certificat</w:t>
            </w:r>
          </w:p>
        </w:tc>
        <w:tc>
          <w:tcPr>
            <w:tcW w:w="1660" w:type="dxa"/>
            <w:tcMar>
              <w:top w:w="80" w:type="dxa"/>
              <w:bottom w:w="80" w:type="dxa"/>
              <w:left w:w="120" w:type="dxa"/>
              <w:right w:w="120" w:type="dxa"/>
            </w:tcMar>
          </w:tcPr>
          <w:p>
            <w:pPr>
              <w:spacing w:before="0" w:after="0" w:line="276" w:lineRule="auto"/>
            </w:pPr>
            <w:r>
              <w:rPr>
                <w:rFonts w:ascii="Calibri" w:hAnsi="Calibri"/>
                <w:sz w:val="18"/>
                <w:szCs w:val="18"/>
              </w:rPr>
              <w:t xml:space="preserve">Programme d'ambassadeurs : premier appel</w:t>
            </w:r>
          </w:p>
        </w:tc>
      </w:tr>
      <w:tr>
        <w:tc>
          <w:tcPr>
            <w:tcW w:w="900" w:type="dxa"/>
            <w:tcMar>
              <w:top w:w="80" w:type="dxa"/>
              <w:bottom w:w="80" w:type="dxa"/>
              <w:left w:w="120" w:type="dxa"/>
              <w:right w:w="120" w:type="dxa"/>
            </w:tcMar>
          </w:tcPr>
          <w:p>
            <w:pPr>
              <w:spacing w:before="0" w:after="0" w:line="276" w:lineRule="auto"/>
            </w:pPr>
            <w:r>
              <w:rPr>
                <w:rFonts w:ascii="Calibri" w:hAnsi="Calibri"/>
                <w:sz w:val="18"/>
                <w:szCs w:val="18"/>
              </w:rPr>
              <w:t xml:space="preserve">Mois 9</w:t>
            </w:r>
          </w:p>
        </w:tc>
        <w:tc>
          <w:tcPr>
            <w:tcW w:w="3000" w:type="dxa"/>
            <w:tcMar>
              <w:top w:w="80" w:type="dxa"/>
              <w:bottom w:w="80" w:type="dxa"/>
              <w:left w:w="120" w:type="dxa"/>
              <w:right w:w="120" w:type="dxa"/>
            </w:tcMar>
          </w:tcPr>
          <w:p>
            <w:pPr>
              <w:spacing w:before="0" w:after="0" w:line="276" w:lineRule="auto"/>
            </w:pPr>
            <w:r>
              <w:rPr>
                <w:rFonts w:ascii="Calibri" w:hAnsi="Calibri"/>
                <w:b/>
                <w:sz w:val="18"/>
                <w:szCs w:val="18"/>
              </w:rPr>
              <w:t xml:space="preserve">L'usurpation d'identité en ligne.</w:t>
            </w:r>
            <w:r>
              <w:rPr>
                <w:rFonts w:ascii="Calibri" w:hAnsi="Calibri"/>
                <w:sz w:val="18"/>
                <w:szCs w:val="18"/>
              </w:rPr>
              <w:t xml:space="preserve"> Faux comptes d'institutions, fausses pages officielles.</w:t>
            </w:r>
          </w:p>
        </w:tc>
        <w:tc>
          <w:tcPr>
            <w:tcW w:w="2000" w:type="dxa"/>
            <w:tcMar>
              <w:top w:w="80" w:type="dxa"/>
              <w:bottom w:w="80" w:type="dxa"/>
              <w:left w:w="120" w:type="dxa"/>
              <w:right w:w="120" w:type="dxa"/>
            </w:tcMar>
          </w:tcPr>
          <w:p>
            <w:pPr>
              <w:spacing w:before="0" w:after="0" w:line="276" w:lineRule="auto"/>
            </w:pPr>
            <w:r>
              <w:rPr>
                <w:rFonts w:ascii="Calibri" w:hAnsi="Calibri"/>
                <w:sz w:val="18"/>
                <w:szCs w:val="18"/>
              </w:rPr>
              <w:t xml:space="preserve">Stages et premiers emplois</w:t>
            </w:r>
          </w:p>
        </w:tc>
        <w:tc>
          <w:tcPr>
            <w:tcW w:w="1800" w:type="dxa"/>
            <w:tcMar>
              <w:top w:w="80" w:type="dxa"/>
              <w:bottom w:w="80" w:type="dxa"/>
              <w:left w:w="120" w:type="dxa"/>
              <w:right w:w="120" w:type="dxa"/>
            </w:tcMar>
          </w:tcPr>
          <w:p>
            <w:pPr>
              <w:spacing w:before="0" w:after="0" w:line="276" w:lineRule="auto"/>
            </w:pPr>
            <w:r>
              <w:rPr>
                <w:rFonts w:ascii="Calibri" w:hAnsi="Calibri"/>
                <w:sz w:val="18"/>
                <w:szCs w:val="18"/>
              </w:rPr>
              <w:t xml:space="preserve">Analyser un compte : ancienneté, cohérence, canal officiel</w:t>
            </w:r>
          </w:p>
        </w:tc>
        <w:tc>
          <w:tcPr>
            <w:tcW w:w="1660" w:type="dxa"/>
            <w:tcMar>
              <w:top w:w="80" w:type="dxa"/>
              <w:bottom w:w="80" w:type="dxa"/>
              <w:left w:w="120" w:type="dxa"/>
              <w:right w:w="120" w:type="dxa"/>
            </w:tcMar>
          </w:tcPr>
          <w:p>
            <w:pPr>
              <w:spacing w:before="0" w:after="0" w:line="276" w:lineRule="auto"/>
            </w:pPr>
            <w:r>
              <w:rPr>
                <w:rFonts w:ascii="Calibri" w:hAnsi="Calibri"/>
                <w:sz w:val="18"/>
                <w:szCs w:val="18"/>
              </w:rPr>
              <w:t xml:space="preserve">Formation des premiers ambassadeurs</w:t>
            </w:r>
          </w:p>
        </w:tc>
      </w:tr>
    </w:tbl>
    <w:p>
      <w:pPr>
        <w:spacing w:before="0" w:after="160" w:line="276" w:lineRule="auto"/>
      </w:pPr>
    </w:p>
    <w:p>
      <w:pPr>
        <w:spacing w:before="280" w:after="140" w:line="276" w:lineRule="auto"/>
      </w:pPr>
      <w:r>
        <w:rPr>
          <w:rFonts w:ascii="Calibri" w:hAnsi="Calibri"/>
          <w:b/>
          <w:color w:val="0E1A14"/>
          <w:sz w:val="28"/>
          <w:szCs w:val="28"/>
        </w:rPr>
        <w:t xml:space="preserve">Trimestre 4 — Consolider et rendre des comptes (mois 10 à 12)</w:t>
      </w:r>
    </w:p>
    <w:tbl>
      <w:tblPr>
        <w:tblW w:w="9360" w:type="dxa"/>
        <w:tblBorders>
          <w:top w:val="single" w:sz="4" w:space="0" w:color="D8E0DB"/>
          <w:left w:val="single" w:sz="4" w:space="0" w:color="D8E0DB"/>
          <w:bottom w:val="single" w:sz="4" w:space="0" w:color="D8E0DB"/>
          <w:right w:val="single" w:sz="4" w:space="0" w:color="D8E0DB"/>
          <w:insideH w:val="single" w:sz="4" w:space="0" w:color="D8E0DB"/>
          <w:insideV w:val="single" w:sz="4" w:space="0" w:color="D8E0DB"/>
        </w:tblBorders>
        <w:tblLayout w:type="fixed"/>
      </w:tblPr>
      <w:tr>
        <w:trPr>
          <w:tblHeader/>
        </w:trPr>
        <w:tc>
          <w:tcPr>
            <w:tcW w:w="900" w:type="dxa"/>
            <w:shd w:val="clear" w:fill="EAF9F0"/>
            <w:tcMar>
              <w:top w:w="80" w:type="dxa"/>
              <w:bottom w:w="80" w:type="dxa"/>
              <w:left w:w="120" w:type="dxa"/>
              <w:right w:w="120" w:type="dxa"/>
            </w:tcMar>
          </w:tcPr>
          <w:p>
            <w:pPr>
              <w:spacing w:before="0" w:after="0" w:line="276" w:lineRule="auto"/>
            </w:pPr>
            <w:r>
              <w:rPr>
                <w:rFonts w:ascii="Calibri" w:hAnsi="Calibri"/>
                <w:b/>
                <w:color w:val="067A35"/>
                <w:sz w:val="18"/>
                <w:szCs w:val="18"/>
              </w:rPr>
              <w:t xml:space="preserve">Mois</w:t>
            </w:r>
          </w:p>
        </w:tc>
        <w:tc>
          <w:tcPr>
            <w:tcW w:w="3000" w:type="dxa"/>
            <w:shd w:val="clear" w:fill="EAF9F0"/>
            <w:tcMar>
              <w:top w:w="80" w:type="dxa"/>
              <w:bottom w:w="80" w:type="dxa"/>
              <w:left w:w="120" w:type="dxa"/>
              <w:right w:w="120" w:type="dxa"/>
            </w:tcMar>
          </w:tcPr>
          <w:p>
            <w:pPr>
              <w:spacing w:before="0" w:after="0" w:line="276" w:lineRule="auto"/>
            </w:pPr>
            <w:r>
              <w:rPr>
                <w:rFonts w:ascii="Calibri" w:hAnsi="Calibri"/>
                <w:b/>
                <w:color w:val="067A35"/>
                <w:sz w:val="18"/>
                <w:szCs w:val="18"/>
              </w:rPr>
              <w:t xml:space="preserve">Thème directeur</w:t>
            </w:r>
          </w:p>
        </w:tc>
        <w:tc>
          <w:tcPr>
            <w:tcW w:w="2000" w:type="dxa"/>
            <w:shd w:val="clear" w:fill="EAF9F0"/>
            <w:tcMar>
              <w:top w:w="80" w:type="dxa"/>
              <w:bottom w:w="80" w:type="dxa"/>
              <w:left w:w="120" w:type="dxa"/>
              <w:right w:w="120" w:type="dxa"/>
            </w:tcMar>
          </w:tcPr>
          <w:p>
            <w:pPr>
              <w:spacing w:before="0" w:after="0" w:line="276" w:lineRule="auto"/>
            </w:pPr>
            <w:r>
              <w:rPr>
                <w:rFonts w:ascii="Calibri" w:hAnsi="Calibri"/>
                <w:b/>
                <w:color w:val="067A35"/>
                <w:sz w:val="18"/>
                <w:szCs w:val="18"/>
              </w:rPr>
              <w:t xml:space="preserve">Hub d'opportunités</w:t>
            </w:r>
          </w:p>
        </w:tc>
        <w:tc>
          <w:tcPr>
            <w:tcW w:w="1800" w:type="dxa"/>
            <w:shd w:val="clear" w:fill="EAF9F0"/>
            <w:tcMar>
              <w:top w:w="80" w:type="dxa"/>
              <w:bottom w:w="80" w:type="dxa"/>
              <w:left w:w="120" w:type="dxa"/>
              <w:right w:w="120" w:type="dxa"/>
            </w:tcMar>
          </w:tcPr>
          <w:p>
            <w:pPr>
              <w:spacing w:before="0" w:after="0" w:line="276" w:lineRule="auto"/>
            </w:pPr>
            <w:r>
              <w:rPr>
                <w:rFonts w:ascii="Calibri" w:hAnsi="Calibri"/>
                <w:b/>
                <w:color w:val="067A35"/>
                <w:sz w:val="18"/>
                <w:szCs w:val="18"/>
              </w:rPr>
              <w:t xml:space="preserve">Académie</w:t>
            </w:r>
          </w:p>
        </w:tc>
        <w:tc>
          <w:tcPr>
            <w:tcW w:w="1660" w:type="dxa"/>
            <w:shd w:val="clear" w:fill="EAF9F0"/>
            <w:tcMar>
              <w:top w:w="80" w:type="dxa"/>
              <w:bottom w:w="80" w:type="dxa"/>
              <w:left w:w="120" w:type="dxa"/>
              <w:right w:w="120" w:type="dxa"/>
            </w:tcMar>
          </w:tcPr>
          <w:p>
            <w:pPr>
              <w:spacing w:before="0" w:after="0" w:line="276" w:lineRule="auto"/>
            </w:pPr>
            <w:r>
              <w:rPr>
                <w:rFonts w:ascii="Calibri" w:hAnsi="Calibri"/>
                <w:b/>
                <w:color w:val="067A35"/>
                <w:sz w:val="18"/>
                <w:szCs w:val="18"/>
              </w:rPr>
              <w:t xml:space="preserve">Jalon institutionnel</w:t>
            </w:r>
          </w:p>
        </w:tc>
      </w:tr>
      <w:tr>
        <w:tc>
          <w:tcPr>
            <w:tcW w:w="900" w:type="dxa"/>
            <w:tcMar>
              <w:top w:w="80" w:type="dxa"/>
              <w:bottom w:w="80" w:type="dxa"/>
              <w:left w:w="120" w:type="dxa"/>
              <w:right w:w="120" w:type="dxa"/>
            </w:tcMar>
          </w:tcPr>
          <w:p>
            <w:pPr>
              <w:spacing w:before="0" w:after="0" w:line="276" w:lineRule="auto"/>
            </w:pPr>
            <w:r>
              <w:rPr>
                <w:rFonts w:ascii="Calibri" w:hAnsi="Calibri"/>
                <w:sz w:val="18"/>
                <w:szCs w:val="18"/>
              </w:rPr>
              <w:t xml:space="preserve">Mois 10</w:t>
            </w:r>
          </w:p>
        </w:tc>
        <w:tc>
          <w:tcPr>
            <w:tcW w:w="3000" w:type="dxa"/>
            <w:tcMar>
              <w:top w:w="80" w:type="dxa"/>
              <w:bottom w:w="80" w:type="dxa"/>
              <w:left w:w="120" w:type="dxa"/>
              <w:right w:w="120" w:type="dxa"/>
            </w:tcMar>
          </w:tcPr>
          <w:p>
            <w:pPr>
              <w:spacing w:before="0" w:after="0" w:line="276" w:lineRule="auto"/>
            </w:pPr>
            <w:r>
              <w:rPr>
                <w:rFonts w:ascii="Calibri" w:hAnsi="Calibri"/>
                <w:b/>
                <w:sz w:val="18"/>
                <w:szCs w:val="18"/>
              </w:rPr>
              <w:t xml:space="preserve">L'intelligence artificielle et ses limites.</w:t>
            </w:r>
            <w:r>
              <w:rPr>
                <w:rFonts w:ascii="Calibri" w:hAnsi="Calibri"/>
                <w:sz w:val="18"/>
                <w:szCs w:val="18"/>
              </w:rPr>
              <w:t xml:space="preserve"> Ce que les détecteurs savent faire, ce qu'ils ne savent pas — y compris les nôtres.</w:t>
            </w:r>
          </w:p>
        </w:tc>
        <w:tc>
          <w:tcPr>
            <w:tcW w:w="2000" w:type="dxa"/>
            <w:tcMar>
              <w:top w:w="80" w:type="dxa"/>
              <w:bottom w:w="80" w:type="dxa"/>
              <w:left w:w="120" w:type="dxa"/>
              <w:right w:w="120" w:type="dxa"/>
            </w:tcMar>
          </w:tcPr>
          <w:p>
            <w:pPr>
              <w:spacing w:before="0" w:after="0" w:line="276" w:lineRule="auto"/>
            </w:pPr>
            <w:r>
              <w:rPr>
                <w:rFonts w:ascii="Calibri" w:hAnsi="Calibri"/>
                <w:sz w:val="18"/>
                <w:szCs w:val="18"/>
              </w:rPr>
              <w:t xml:space="preserve">Métiers du numérique : offres vérifiées</w:t>
            </w:r>
          </w:p>
        </w:tc>
        <w:tc>
          <w:tcPr>
            <w:tcW w:w="1800" w:type="dxa"/>
            <w:tcMar>
              <w:top w:w="80" w:type="dxa"/>
              <w:bottom w:w="80" w:type="dxa"/>
              <w:left w:w="120" w:type="dxa"/>
              <w:right w:w="120" w:type="dxa"/>
            </w:tcMar>
          </w:tcPr>
          <w:p>
            <w:pPr>
              <w:spacing w:before="0" w:after="0" w:line="276" w:lineRule="auto"/>
            </w:pPr>
            <w:r>
              <w:rPr>
                <w:rFonts w:ascii="Calibri" w:hAnsi="Calibri"/>
                <w:sz w:val="18"/>
                <w:szCs w:val="18"/>
              </w:rPr>
              <w:t xml:space="preserve">Module avancé : contenus générés</w:t>
            </w:r>
          </w:p>
        </w:tc>
        <w:tc>
          <w:tcPr>
            <w:tcW w:w="1660" w:type="dxa"/>
            <w:tcMar>
              <w:top w:w="80" w:type="dxa"/>
              <w:bottom w:w="80" w:type="dxa"/>
              <w:left w:w="120" w:type="dxa"/>
              <w:right w:w="120" w:type="dxa"/>
            </w:tcMar>
          </w:tcPr>
          <w:p>
            <w:pPr>
              <w:spacing w:before="0" w:after="0" w:line="276" w:lineRule="auto"/>
            </w:pPr>
            <w:r>
              <w:rPr>
                <w:rFonts w:ascii="Calibri" w:hAnsi="Calibri"/>
                <w:sz w:val="18"/>
                <w:szCs w:val="18"/>
              </w:rPr>
              <w:t xml:space="preserve">Bascule des moteurs réels (si clés configurées)</w:t>
            </w:r>
          </w:p>
        </w:tc>
      </w:tr>
      <w:tr>
        <w:tc>
          <w:tcPr>
            <w:tcW w:w="900" w:type="dxa"/>
            <w:tcMar>
              <w:top w:w="80" w:type="dxa"/>
              <w:bottom w:w="80" w:type="dxa"/>
              <w:left w:w="120" w:type="dxa"/>
              <w:right w:w="120" w:type="dxa"/>
            </w:tcMar>
          </w:tcPr>
          <w:p>
            <w:pPr>
              <w:spacing w:before="0" w:after="0" w:line="276" w:lineRule="auto"/>
            </w:pPr>
            <w:r>
              <w:rPr>
                <w:rFonts w:ascii="Calibri" w:hAnsi="Calibri"/>
                <w:sz w:val="18"/>
                <w:szCs w:val="18"/>
              </w:rPr>
              <w:t xml:space="preserve">Mois 11</w:t>
            </w:r>
          </w:p>
        </w:tc>
        <w:tc>
          <w:tcPr>
            <w:tcW w:w="3000" w:type="dxa"/>
            <w:tcMar>
              <w:top w:w="80" w:type="dxa"/>
              <w:bottom w:w="80" w:type="dxa"/>
              <w:left w:w="120" w:type="dxa"/>
              <w:right w:w="120" w:type="dxa"/>
            </w:tcMar>
          </w:tcPr>
          <w:p>
            <w:pPr>
              <w:spacing w:before="0" w:after="0" w:line="276" w:lineRule="auto"/>
            </w:pPr>
            <w:r>
              <w:rPr>
                <w:rFonts w:ascii="Calibri" w:hAnsi="Calibri"/>
                <w:b/>
                <w:sz w:val="18"/>
                <w:szCs w:val="18"/>
              </w:rPr>
              <w:t xml:space="preserve">Les arnaques de fin d'année.</w:t>
            </w:r>
            <w:r>
              <w:rPr>
                <w:rFonts w:ascii="Calibri" w:hAnsi="Calibri"/>
                <w:sz w:val="18"/>
                <w:szCs w:val="18"/>
              </w:rPr>
              <w:t xml:space="preserve"> Fausses promotions, faux tirages, faux colis.</w:t>
            </w:r>
          </w:p>
        </w:tc>
        <w:tc>
          <w:tcPr>
            <w:tcW w:w="2000" w:type="dxa"/>
            <w:tcMar>
              <w:top w:w="80" w:type="dxa"/>
              <w:bottom w:w="80" w:type="dxa"/>
              <w:left w:w="120" w:type="dxa"/>
              <w:right w:w="120" w:type="dxa"/>
            </w:tcMar>
          </w:tcPr>
          <w:p>
            <w:pPr>
              <w:spacing w:before="0" w:after="0" w:line="276" w:lineRule="auto"/>
            </w:pPr>
            <w:r>
              <w:rPr>
                <w:rFonts w:ascii="Calibri" w:hAnsi="Calibri"/>
                <w:sz w:val="18"/>
                <w:szCs w:val="18"/>
              </w:rPr>
              <w:t xml:space="preserve">Financements et appels à projets</w:t>
            </w:r>
          </w:p>
        </w:tc>
        <w:tc>
          <w:tcPr>
            <w:tcW w:w="1800" w:type="dxa"/>
            <w:tcMar>
              <w:top w:w="80" w:type="dxa"/>
              <w:bottom w:w="80" w:type="dxa"/>
              <w:left w:w="120" w:type="dxa"/>
              <w:right w:w="120" w:type="dxa"/>
            </w:tcMar>
          </w:tcPr>
          <w:p>
            <w:pPr>
              <w:spacing w:before="0" w:after="0" w:line="276" w:lineRule="auto"/>
            </w:pPr>
            <w:r>
              <w:rPr>
                <w:rFonts w:ascii="Calibri" w:hAnsi="Calibri"/>
                <w:sz w:val="18"/>
                <w:szCs w:val="18"/>
              </w:rPr>
              <w:t xml:space="preserve">Protéger ses proches : la formation à transmettre</w:t>
            </w:r>
          </w:p>
        </w:tc>
        <w:tc>
          <w:tcPr>
            <w:tcW w:w="1660" w:type="dxa"/>
            <w:tcMar>
              <w:top w:w="80" w:type="dxa"/>
              <w:bottom w:w="80" w:type="dxa"/>
              <w:left w:w="120" w:type="dxa"/>
              <w:right w:w="120" w:type="dxa"/>
            </w:tcMar>
          </w:tcPr>
          <w:p>
            <w:pPr>
              <w:spacing w:before="0" w:after="0" w:line="276" w:lineRule="auto"/>
            </w:pPr>
            <w:r>
              <w:rPr>
                <w:rFonts w:ascii="Calibri" w:hAnsi="Calibri"/>
                <w:sz w:val="18"/>
                <w:szCs w:val="18"/>
              </w:rPr>
              <w:t xml:space="preserve">Bilan des partenariats</w:t>
            </w:r>
          </w:p>
        </w:tc>
      </w:tr>
      <w:tr>
        <w:tc>
          <w:tcPr>
            <w:tcW w:w="900" w:type="dxa"/>
            <w:tcMar>
              <w:top w:w="80" w:type="dxa"/>
              <w:bottom w:w="80" w:type="dxa"/>
              <w:left w:w="120" w:type="dxa"/>
              <w:right w:w="120" w:type="dxa"/>
            </w:tcMar>
          </w:tcPr>
          <w:p>
            <w:pPr>
              <w:spacing w:before="0" w:after="0" w:line="276" w:lineRule="auto"/>
            </w:pPr>
            <w:r>
              <w:rPr>
                <w:rFonts w:ascii="Calibri" w:hAnsi="Calibri"/>
                <w:sz w:val="18"/>
                <w:szCs w:val="18"/>
              </w:rPr>
              <w:t xml:space="preserve">Mois 12</w:t>
            </w:r>
          </w:p>
        </w:tc>
        <w:tc>
          <w:tcPr>
            <w:tcW w:w="3000" w:type="dxa"/>
            <w:tcMar>
              <w:top w:w="80" w:type="dxa"/>
              <w:bottom w:w="80" w:type="dxa"/>
              <w:left w:w="120" w:type="dxa"/>
              <w:right w:w="120" w:type="dxa"/>
            </w:tcMar>
          </w:tcPr>
          <w:p>
            <w:pPr>
              <w:spacing w:before="0" w:after="0" w:line="276" w:lineRule="auto"/>
            </w:pPr>
            <w:r>
              <w:rPr>
                <w:rFonts w:ascii="Calibri" w:hAnsi="Calibri"/>
                <w:b/>
                <w:sz w:val="18"/>
                <w:szCs w:val="18"/>
              </w:rPr>
              <w:t xml:space="preserve">Nos erreurs.</w:t>
            </w:r>
            <w:r>
              <w:rPr>
                <w:rFonts w:ascii="Calibri" w:hAnsi="Calibri"/>
                <w:sz w:val="18"/>
                <w:szCs w:val="18"/>
              </w:rPr>
              <w:t xml:space="preserve"> Rétrospective des corrections apportées à nos propres verdicts, avec leurs dates et leurs raisons.</w:t>
            </w:r>
          </w:p>
        </w:tc>
        <w:tc>
          <w:tcPr>
            <w:tcW w:w="2000" w:type="dxa"/>
            <w:tcMar>
              <w:top w:w="80" w:type="dxa"/>
              <w:bottom w:w="80" w:type="dxa"/>
              <w:left w:w="120" w:type="dxa"/>
              <w:right w:w="120" w:type="dxa"/>
            </w:tcMar>
          </w:tcPr>
          <w:p>
            <w:pPr>
              <w:spacing w:before="0" w:after="0" w:line="276" w:lineRule="auto"/>
            </w:pPr>
            <w:r>
              <w:rPr>
                <w:rFonts w:ascii="Calibri" w:hAnsi="Calibri"/>
                <w:sz w:val="18"/>
                <w:szCs w:val="18"/>
              </w:rPr>
              <w:t xml:space="preserve">Rétrospective : les opportunités de l'année</w:t>
            </w:r>
          </w:p>
        </w:tc>
        <w:tc>
          <w:tcPr>
            <w:tcW w:w="1800" w:type="dxa"/>
            <w:tcMar>
              <w:top w:w="80" w:type="dxa"/>
              <w:bottom w:w="80" w:type="dxa"/>
              <w:left w:w="120" w:type="dxa"/>
              <w:right w:w="120" w:type="dxa"/>
            </w:tcMar>
          </w:tcPr>
          <w:p>
            <w:pPr>
              <w:spacing w:before="0" w:after="0" w:line="276" w:lineRule="auto"/>
            </w:pPr>
            <w:r>
              <w:rPr>
                <w:rFonts w:ascii="Calibri" w:hAnsi="Calibri"/>
                <w:sz w:val="18"/>
                <w:szCs w:val="18"/>
              </w:rPr>
              <w:t xml:space="preserve">Certification des ambassadeurs</w:t>
            </w:r>
          </w:p>
        </w:tc>
        <w:tc>
          <w:tcPr>
            <w:tcW w:w="1660" w:type="dxa"/>
            <w:tcMar>
              <w:top w:w="80" w:type="dxa"/>
              <w:bottom w:w="80" w:type="dxa"/>
              <w:left w:w="120" w:type="dxa"/>
              <w:right w:w="120" w:type="dxa"/>
            </w:tcMar>
          </w:tcPr>
          <w:p>
            <w:pPr>
              <w:spacing w:before="0" w:after="0" w:line="276" w:lineRule="auto"/>
            </w:pPr>
            <w:r>
              <w:rPr>
                <w:rFonts w:ascii="Calibri" w:hAnsi="Calibri"/>
                <w:b/>
                <w:sz w:val="18"/>
                <w:szCs w:val="18"/>
              </w:rPr>
              <w:t xml:space="preserve">Rapport annuel de transparence</w:t>
            </w:r>
          </w:p>
        </w:tc>
      </w:tr>
    </w:tbl>
    <w:p>
      <w:pPr>
        <w:spacing w:before="0" w:after="160" w:line="276" w:lineRule="auto"/>
      </w:pPr>
    </w:p>
    <w:tbl>
      <w:tblPr>
        <w:tblW w:w="9360" w:type="dxa"/>
        <w:tblBorders>
          <w:top w:val="single" w:sz="4" w:space="0" w:color="9BE0B8"/>
          <w:left w:val="single" w:sz="18" w:space="0" w:color="09B850"/>
          <w:bottom w:val="single" w:sz="4" w:space="0" w:color="9BE0B8"/>
          <w:right w:val="single" w:sz="4" w:space="0" w:color="9BE0B8"/>
        </w:tblBorders>
      </w:tblPr>
      <w:tr>
        <w:tc>
          <w:tcPr>
            <w:tcW w:w="9360" w:type="dxa"/>
            <w:shd w:val="clear" w:fill="F4FBF7"/>
            <w:tcMar>
              <w:top w:w="160" w:type="dxa"/>
              <w:bottom w:w="160" w:type="dxa"/>
              <w:left w:w="200" w:type="dxa"/>
              <w:right w:w="200" w:type="dxa"/>
            </w:tcMar>
          </w:tcPr>
          <w:p>
            <w:pPr>
              <w:spacing w:before="0" w:after="80" w:line="276" w:lineRule="auto"/>
            </w:pPr>
            <w:r>
              <w:rPr>
                <w:rFonts w:ascii="Calibri" w:hAnsi="Calibri"/>
                <w:b/>
                <w:color w:val="067A35"/>
                <w:sz w:val="22"/>
                <w:szCs w:val="22"/>
              </w:rPr>
              <w:t xml:space="preserve">Le mois 12 est le plus important du calendrier</w:t>
            </w:r>
          </w:p>
          <w:p>
            <w:pPr>
              <w:spacing w:before="0" w:after="80" w:line="276" w:lineRule="auto"/>
            </w:pPr>
            <w:r>
              <w:rPr>
                <w:rFonts w:ascii="Calibri" w:hAnsi="Calibri"/>
                <w:sz w:val="20"/>
                <w:szCs w:val="20"/>
              </w:rPr>
              <w:t xml:space="preserve">Publier ses propres erreurs, avec leurs dates et leurs raisons, est ce qui sépare une organisation de fact-checking d'un média d'opinion.</w:t>
            </w:r>
          </w:p>
          <w:p>
            <w:pPr>
              <w:spacing w:before="0" w:after="80" w:line="276" w:lineRule="auto"/>
            </w:pPr>
            <w:r>
              <w:rPr>
                <w:rFonts w:ascii="Calibri" w:hAnsi="Calibri"/>
                <w:sz w:val="20"/>
                <w:szCs w:val="20"/>
              </w:rPr>
              <w:t xml:space="preserve">Le produit le permet déjà : un verdict qui change ne disparaît pas, le précédent reste publié avec le motif du changement, et aucune correction ne peut être enregistrée sans raison écrite. La communication n'a qu'à rassembler ce que le système conserve déjà.</w:t>
            </w:r>
          </w:p>
        </w:tc>
      </w:tr>
    </w:tbl>
    <w:p>
      <w:pPr>
        <w:spacing w:before="0" w:after="160" w:line="276" w:lineRule="auto"/>
      </w:pPr>
    </w:p>
    <w:p>
      <w:r>
        <w:br w:type="page"/>
      </w:r>
    </w:p>
    <w:p>
      <w:pPr>
        <w:spacing w:before="360" w:after="140" w:line="276" w:lineRule="auto"/>
      </w:pPr>
      <w:r>
        <w:rPr>
          <w:rFonts w:ascii="Calibri" w:hAnsi="Calibri"/>
          <w:b/>
          <w:color w:val="067A35"/>
          <w:sz w:val="36"/>
          <w:szCs w:val="36"/>
        </w:rPr>
        <w:t xml:space="preserve">9. La stratégie de crédibilité : IFCN, presse, partenariats</w:t>
      </w:r>
    </w:p>
    <w:p>
      <w:pPr>
        <w:spacing w:before="280" w:after="140" w:line="276" w:lineRule="auto"/>
      </w:pPr>
      <w:r>
        <w:rPr>
          <w:rFonts w:ascii="Calibri" w:hAnsi="Calibri"/>
          <w:b/>
          <w:color w:val="0E1A14"/>
          <w:sz w:val="28"/>
          <w:szCs w:val="28"/>
        </w:rPr>
        <w:t xml:space="preserve">L'accréditation IFCN n'est pas un trophée, c'est une porte</w:t>
      </w:r>
    </w:p>
    <w:p>
      <w:pPr>
        <w:spacing w:before="0" w:after="120" w:line="276" w:lineRule="auto"/>
      </w:pPr>
      <w:r>
        <w:rPr>
          <w:rFonts w:ascii="Calibri" w:hAnsi="Calibri"/>
        </w:rPr>
        <w:t xml:space="preserve">Elle conditionne l'accès aux programmes de vérification de Meta et à l'écosystème Google Fact Check Tools. Sans elle, notre balisage ClaimReview est techniquement valide mais commercialement inexploité.</w:t>
      </w:r>
    </w:p>
    <w:p>
      <w:pPr>
        <w:spacing w:before="160" w:after="120" w:line="276" w:lineRule="auto"/>
      </w:pPr>
      <w:r>
        <w:rPr>
          <w:rFonts w:ascii="Calibri" w:hAnsi="Calibri"/>
        </w:rPr>
        <w:t xml:space="preserve">Ce que le dossier exige, et où nous en sommes :</w:t>
      </w:r>
    </w:p>
    <w:tbl>
      <w:tblPr>
        <w:tblW w:w="9360" w:type="dxa"/>
        <w:tblBorders>
          <w:top w:val="single" w:sz="4" w:space="0" w:color="D8E0DB"/>
          <w:left w:val="single" w:sz="4" w:space="0" w:color="D8E0DB"/>
          <w:bottom w:val="single" w:sz="4" w:space="0" w:color="D8E0DB"/>
          <w:right w:val="single" w:sz="4" w:space="0" w:color="D8E0DB"/>
          <w:insideH w:val="single" w:sz="4" w:space="0" w:color="D8E0DB"/>
          <w:insideV w:val="single" w:sz="4" w:space="0" w:color="D8E0DB"/>
        </w:tblBorders>
        <w:tblLayout w:type="fixed"/>
      </w:tblPr>
      <w:tr>
        <w:trPr>
          <w:tblHeader/>
        </w:trPr>
        <w:tc>
          <w:tcPr>
            <w:tcW w:w="3800" w:type="dxa"/>
            <w:shd w:val="clear" w:fill="EAF9F0"/>
            <w:tcMar>
              <w:top w:w="80" w:type="dxa"/>
              <w:bottom w:w="80" w:type="dxa"/>
              <w:left w:w="120" w:type="dxa"/>
              <w:right w:w="120" w:type="dxa"/>
            </w:tcMar>
          </w:tcPr>
          <w:p>
            <w:pPr>
              <w:spacing w:before="0" w:after="0" w:line="276" w:lineRule="auto"/>
            </w:pPr>
            <w:r>
              <w:rPr>
                <w:rFonts w:ascii="Calibri" w:hAnsi="Calibri"/>
                <w:b/>
                <w:color w:val="067A35"/>
                <w:sz w:val="18"/>
                <w:szCs w:val="18"/>
              </w:rPr>
              <w:t xml:space="preserve">Exigence IFCN</w:t>
            </w:r>
          </w:p>
        </w:tc>
        <w:tc>
          <w:tcPr>
            <w:tcW w:w="5560" w:type="dxa"/>
            <w:shd w:val="clear" w:fill="EAF9F0"/>
            <w:tcMar>
              <w:top w:w="80" w:type="dxa"/>
              <w:bottom w:w="80" w:type="dxa"/>
              <w:left w:w="120" w:type="dxa"/>
              <w:right w:w="120" w:type="dxa"/>
            </w:tcMar>
          </w:tcPr>
          <w:p>
            <w:pPr>
              <w:spacing w:before="0" w:after="0" w:line="276" w:lineRule="auto"/>
            </w:pPr>
            <w:r>
              <w:rPr>
                <w:rFonts w:ascii="Calibri" w:hAnsi="Calibri"/>
                <w:b/>
                <w:color w:val="067A35"/>
                <w:sz w:val="18"/>
                <w:szCs w:val="18"/>
              </w:rPr>
              <w:t xml:space="preserve">État</w:t>
            </w:r>
          </w:p>
        </w:tc>
      </w:tr>
      <w:tr>
        <w:tc>
          <w:tcPr>
            <w:tcW w:w="3800" w:type="dxa"/>
            <w:tcMar>
              <w:top w:w="80" w:type="dxa"/>
              <w:bottom w:w="80" w:type="dxa"/>
              <w:left w:w="120" w:type="dxa"/>
              <w:right w:w="120" w:type="dxa"/>
            </w:tcMar>
          </w:tcPr>
          <w:p>
            <w:pPr>
              <w:spacing w:before="0" w:after="0" w:line="276" w:lineRule="auto"/>
            </w:pPr>
            <w:r>
              <w:rPr>
                <w:rFonts w:ascii="Calibri" w:hAnsi="Calibri"/>
                <w:sz w:val="18"/>
                <w:szCs w:val="18"/>
              </w:rPr>
              <w:t xml:space="preserve">Méthodologie publique et détaillée</w:t>
            </w:r>
          </w:p>
        </w:tc>
        <w:tc>
          <w:tcPr>
            <w:tcW w:w="5560" w:type="dxa"/>
            <w:tcMar>
              <w:top w:w="80" w:type="dxa"/>
              <w:bottom w:w="80" w:type="dxa"/>
              <w:left w:w="120" w:type="dxa"/>
              <w:right w:w="120" w:type="dxa"/>
            </w:tcMar>
          </w:tcPr>
          <w:p>
            <w:pPr>
              <w:spacing w:before="0" w:after="0" w:line="276" w:lineRule="auto"/>
            </w:pPr>
            <w:r>
              <w:rPr>
                <w:rFonts w:ascii="Calibri" w:hAnsi="Calibri"/>
                <w:b/>
                <w:sz w:val="18"/>
                <w:szCs w:val="18"/>
              </w:rPr>
              <w:t xml:space="preserve">Acquis</w:t>
            </w:r>
            <w:r>
              <w:rPr>
                <w:rFonts w:ascii="Calibri" w:hAnsi="Calibri"/>
                <w:sz w:val="18"/>
                <w:szCs w:val="18"/>
              </w:rPr>
              <w:t xml:space="preserve"> — page publiée, six étapes, poids et seuils</w:t>
            </w:r>
          </w:p>
        </w:tc>
      </w:tr>
      <w:tr>
        <w:tc>
          <w:tcPr>
            <w:tcW w:w="3800" w:type="dxa"/>
            <w:tcMar>
              <w:top w:w="80" w:type="dxa"/>
              <w:bottom w:w="80" w:type="dxa"/>
              <w:left w:w="120" w:type="dxa"/>
              <w:right w:w="120" w:type="dxa"/>
            </w:tcMar>
          </w:tcPr>
          <w:p>
            <w:pPr>
              <w:spacing w:before="0" w:after="0" w:line="276" w:lineRule="auto"/>
            </w:pPr>
            <w:r>
              <w:rPr>
                <w:rFonts w:ascii="Calibri" w:hAnsi="Calibri"/>
                <w:sz w:val="18"/>
                <w:szCs w:val="18"/>
              </w:rPr>
              <w:t xml:space="preserve">Transparence sur les sources</w:t>
            </w:r>
          </w:p>
        </w:tc>
        <w:tc>
          <w:tcPr>
            <w:tcW w:w="5560" w:type="dxa"/>
            <w:tcMar>
              <w:top w:w="80" w:type="dxa"/>
              <w:bottom w:w="80" w:type="dxa"/>
              <w:left w:w="120" w:type="dxa"/>
              <w:right w:w="120" w:type="dxa"/>
            </w:tcMar>
          </w:tcPr>
          <w:p>
            <w:pPr>
              <w:spacing w:before="0" w:after="0" w:line="276" w:lineRule="auto"/>
            </w:pPr>
            <w:r>
              <w:rPr>
                <w:rFonts w:ascii="Calibri" w:hAnsi="Calibri"/>
                <w:b/>
                <w:sz w:val="18"/>
                <w:szCs w:val="18"/>
              </w:rPr>
              <w:t xml:space="preserve">Acquis</w:t>
            </w:r>
            <w:r>
              <w:rPr>
                <w:rFonts w:ascii="Calibri" w:hAnsi="Calibri"/>
                <w:sz w:val="18"/>
                <w:szCs w:val="18"/>
              </w:rPr>
              <w:t xml:space="preserve"> — sources listées dans chaque rapport</w:t>
            </w:r>
          </w:p>
        </w:tc>
      </w:tr>
      <w:tr>
        <w:tc>
          <w:tcPr>
            <w:tcW w:w="3800" w:type="dxa"/>
            <w:tcMar>
              <w:top w:w="80" w:type="dxa"/>
              <w:bottom w:w="80" w:type="dxa"/>
              <w:left w:w="120" w:type="dxa"/>
              <w:right w:w="120" w:type="dxa"/>
            </w:tcMar>
          </w:tcPr>
          <w:p>
            <w:pPr>
              <w:spacing w:before="0" w:after="0" w:line="276" w:lineRule="auto"/>
            </w:pPr>
            <w:r>
              <w:rPr>
                <w:rFonts w:ascii="Calibri" w:hAnsi="Calibri"/>
                <w:sz w:val="18"/>
                <w:szCs w:val="18"/>
              </w:rPr>
              <w:t xml:space="preserve">Politique de correction publique</w:t>
            </w:r>
          </w:p>
        </w:tc>
        <w:tc>
          <w:tcPr>
            <w:tcW w:w="5560" w:type="dxa"/>
            <w:tcMar>
              <w:top w:w="80" w:type="dxa"/>
              <w:bottom w:w="80" w:type="dxa"/>
              <w:left w:w="120" w:type="dxa"/>
              <w:right w:w="120" w:type="dxa"/>
            </w:tcMar>
          </w:tcPr>
          <w:p>
            <w:pPr>
              <w:spacing w:before="0" w:after="0" w:line="276" w:lineRule="auto"/>
            </w:pPr>
            <w:r>
              <w:rPr>
                <w:rFonts w:ascii="Calibri" w:hAnsi="Calibri"/>
                <w:b/>
                <w:sz w:val="18"/>
                <w:szCs w:val="18"/>
              </w:rPr>
              <w:t xml:space="preserve">Acquis</w:t>
            </w:r>
            <w:r>
              <w:rPr>
                <w:rFonts w:ascii="Calibri" w:hAnsi="Calibri"/>
                <w:sz w:val="18"/>
                <w:szCs w:val="18"/>
              </w:rPr>
              <w:t xml:space="preserve"> — verdicts précédents conservés avec motif</w:t>
            </w:r>
          </w:p>
        </w:tc>
      </w:tr>
      <w:tr>
        <w:tc>
          <w:tcPr>
            <w:tcW w:w="3800" w:type="dxa"/>
            <w:tcMar>
              <w:top w:w="80" w:type="dxa"/>
              <w:bottom w:w="80" w:type="dxa"/>
              <w:left w:w="120" w:type="dxa"/>
              <w:right w:w="120" w:type="dxa"/>
            </w:tcMar>
          </w:tcPr>
          <w:p>
            <w:pPr>
              <w:spacing w:before="0" w:after="0" w:line="276" w:lineRule="auto"/>
            </w:pPr>
            <w:r>
              <w:rPr>
                <w:rFonts w:ascii="Calibri" w:hAnsi="Calibri"/>
                <w:sz w:val="18"/>
                <w:szCs w:val="18"/>
              </w:rPr>
              <w:t xml:space="preserve">Transparence sur le financement</w:t>
            </w:r>
          </w:p>
        </w:tc>
        <w:tc>
          <w:tcPr>
            <w:tcW w:w="5560" w:type="dxa"/>
            <w:tcMar>
              <w:top w:w="80" w:type="dxa"/>
              <w:bottom w:w="80" w:type="dxa"/>
              <w:left w:w="120" w:type="dxa"/>
              <w:right w:w="120" w:type="dxa"/>
            </w:tcMar>
          </w:tcPr>
          <w:p>
            <w:pPr>
              <w:spacing w:before="0" w:after="0" w:line="276" w:lineRule="auto"/>
            </w:pPr>
            <w:r>
              <w:rPr>
                <w:rFonts w:ascii="Calibri" w:hAnsi="Calibri"/>
                <w:b/>
                <w:sz w:val="18"/>
                <w:szCs w:val="18"/>
              </w:rPr>
              <w:t xml:space="preserve">À produire</w:t>
            </w:r>
            <w:r>
              <w:rPr>
                <w:rFonts w:ascii="Calibri" w:hAnsi="Calibri"/>
                <w:sz w:val="18"/>
                <w:szCs w:val="18"/>
              </w:rPr>
              <w:t xml:space="preserve"> — page dédiée, ventilation des ressources</w:t>
            </w:r>
          </w:p>
        </w:tc>
      </w:tr>
      <w:tr>
        <w:tc>
          <w:tcPr>
            <w:tcW w:w="3800" w:type="dxa"/>
            <w:tcMar>
              <w:top w:w="80" w:type="dxa"/>
              <w:bottom w:w="80" w:type="dxa"/>
              <w:left w:w="120" w:type="dxa"/>
              <w:right w:w="120" w:type="dxa"/>
            </w:tcMar>
          </w:tcPr>
          <w:p>
            <w:pPr>
              <w:spacing w:before="0" w:after="0" w:line="276" w:lineRule="auto"/>
            </w:pPr>
            <w:r>
              <w:rPr>
                <w:rFonts w:ascii="Calibri" w:hAnsi="Calibri"/>
                <w:sz w:val="18"/>
                <w:szCs w:val="18"/>
              </w:rPr>
              <w:t xml:space="preserve">Transparence sur l'équipe</w:t>
            </w:r>
          </w:p>
        </w:tc>
        <w:tc>
          <w:tcPr>
            <w:tcW w:w="5560" w:type="dxa"/>
            <w:tcMar>
              <w:top w:w="80" w:type="dxa"/>
              <w:bottom w:w="80" w:type="dxa"/>
              <w:left w:w="120" w:type="dxa"/>
              <w:right w:w="120" w:type="dxa"/>
            </w:tcMar>
          </w:tcPr>
          <w:p>
            <w:pPr>
              <w:spacing w:before="0" w:after="0" w:line="276" w:lineRule="auto"/>
            </w:pPr>
            <w:r>
              <w:rPr>
                <w:rFonts w:ascii="Calibri" w:hAnsi="Calibri"/>
                <w:b/>
                <w:sz w:val="18"/>
                <w:szCs w:val="18"/>
              </w:rPr>
              <w:t xml:space="preserve">Acquis</w:t>
            </w:r>
            <w:r>
              <w:rPr>
                <w:rFonts w:ascii="Calibri" w:hAnsi="Calibri"/>
                <w:sz w:val="18"/>
                <w:szCs w:val="18"/>
              </w:rPr>
              <w:t xml:space="preserve"> — page équipe, directeur de la publication nommé</w:t>
            </w:r>
          </w:p>
        </w:tc>
      </w:tr>
      <w:tr>
        <w:tc>
          <w:tcPr>
            <w:tcW w:w="3800" w:type="dxa"/>
            <w:tcMar>
              <w:top w:w="80" w:type="dxa"/>
              <w:bottom w:w="80" w:type="dxa"/>
              <w:left w:w="120" w:type="dxa"/>
              <w:right w:w="120" w:type="dxa"/>
            </w:tcMar>
          </w:tcPr>
          <w:p>
            <w:pPr>
              <w:spacing w:before="0" w:after="0" w:line="276" w:lineRule="auto"/>
            </w:pPr>
            <w:r>
              <w:rPr>
                <w:rFonts w:ascii="Calibri" w:hAnsi="Calibri"/>
                <w:sz w:val="18"/>
                <w:szCs w:val="18"/>
              </w:rPr>
              <w:t xml:space="preserve">Non-partisanerie démontrée</w:t>
            </w:r>
          </w:p>
        </w:tc>
        <w:tc>
          <w:tcPr>
            <w:tcW w:w="5560" w:type="dxa"/>
            <w:tcMar>
              <w:top w:w="80" w:type="dxa"/>
              <w:bottom w:w="80" w:type="dxa"/>
              <w:left w:w="120" w:type="dxa"/>
              <w:right w:w="120" w:type="dxa"/>
            </w:tcMar>
          </w:tcPr>
          <w:p>
            <w:pPr>
              <w:spacing w:before="0" w:after="0" w:line="276" w:lineRule="auto"/>
            </w:pPr>
            <w:r>
              <w:rPr>
                <w:rFonts w:ascii="Calibri" w:hAnsi="Calibri"/>
                <w:b/>
                <w:sz w:val="18"/>
                <w:szCs w:val="18"/>
              </w:rPr>
              <w:t xml:space="preserve">À documenter</w:t>
            </w:r>
            <w:r>
              <w:rPr>
                <w:rFonts w:ascii="Calibri" w:hAnsi="Calibri"/>
                <w:sz w:val="18"/>
                <w:szCs w:val="18"/>
              </w:rPr>
              <w:t xml:space="preserve"> — sur douze mois de publications</w:t>
            </w:r>
          </w:p>
        </w:tc>
      </w:tr>
    </w:tbl>
    <w:p>
      <w:pPr>
        <w:spacing w:before="0" w:after="160" w:line="276" w:lineRule="auto"/>
      </w:pPr>
    </w:p>
    <w:p>
      <w:pPr>
        <w:spacing w:before="0" w:after="120" w:line="276" w:lineRule="auto"/>
      </w:pPr>
      <w:r>
        <w:rPr>
          <w:rFonts w:ascii="Calibri" w:hAnsi="Calibri"/>
          <w:i/>
          <w:sz w:val="20"/>
          <w:szCs w:val="20"/>
        </w:rPr>
        <w:t xml:space="preserve">La non-partisanerie ne se déclare pas, elle se prouve par un historique. C'est la raison pour laquelle le dépôt du dossier est placé au mois 5 et non au mois 1 : il faut un corpus derrière soi.</w:t>
      </w:r>
    </w:p>
    <w:p>
      <w:pPr>
        <w:spacing w:before="280" w:after="140" w:line="276" w:lineRule="auto"/>
      </w:pPr>
      <w:r>
        <w:rPr>
          <w:rFonts w:ascii="Calibri" w:hAnsi="Calibri"/>
          <w:b/>
          <w:color w:val="0E1A14"/>
          <w:sz w:val="28"/>
          <w:szCs w:val="28"/>
        </w:rPr>
        <w:t xml:space="preserve">Les partenariats, par ordre d'utilité</w:t>
      </w:r>
    </w:p>
    <w:p>
      <w:pPr>
        <w:numPr>
          <w:ilvl w:val="0"/>
          <w:numId w:val="1"/>
        </w:numPr>
        <w:spacing w:before="0" w:after="120" w:line="276" w:lineRule="auto"/>
      </w:pPr>
      <w:r>
        <w:rPr>
          <w:rFonts w:ascii="Calibri" w:hAnsi="Calibri"/>
          <w:b/>
        </w:rPr>
        <w:t xml:space="preserve">Les établissements scolaires et universitaires.</w:t>
      </w:r>
      <w:r>
        <w:rPr>
          <w:rFonts w:ascii="Calibri" w:hAnsi="Calibri"/>
        </w:rPr>
        <w:t xml:space="preserve"> Ils donnent accès à un public captif, et l'Académie leur apporte un contenu qu'ils n'ont pas. Le QR code de parrainage est prévu pour cet usage précis.</w:t>
      </w:r>
    </w:p>
    <w:p>
      <w:pPr>
        <w:numPr>
          <w:ilvl w:val="0"/>
          <w:numId w:val="1"/>
        </w:numPr>
        <w:spacing w:before="0" w:after="120" w:line="276" w:lineRule="auto"/>
      </w:pPr>
      <w:r>
        <w:rPr>
          <w:rFonts w:ascii="Calibri" w:hAnsi="Calibri"/>
          <w:b/>
        </w:rPr>
        <w:t xml:space="preserve">Les rédactions locales.</w:t>
      </w:r>
      <w:r>
        <w:rPr>
          <w:rFonts w:ascii="Calibri" w:hAnsi="Calibri"/>
        </w:rPr>
        <w:t xml:space="preserve"> Elles citent nos vérifications, nous leur apportons l'outillage OSINT. Échange à somme positive, sans budget.</w:t>
      </w:r>
    </w:p>
    <w:p>
      <w:pPr>
        <w:numPr>
          <w:ilvl w:val="0"/>
          <w:numId w:val="1"/>
        </w:numPr>
        <w:spacing w:before="0" w:after="120" w:line="276" w:lineRule="auto"/>
      </w:pPr>
      <w:r>
        <w:rPr>
          <w:rFonts w:ascii="Calibri" w:hAnsi="Calibri"/>
          <w:b/>
        </w:rPr>
        <w:t xml:space="preserve">Les ONG et organisations de la société civile.</w:t>
      </w:r>
      <w:r>
        <w:rPr>
          <w:rFonts w:ascii="Calibri" w:hAnsi="Calibri"/>
        </w:rPr>
        <w:t xml:space="preserve"> Elles ont des réseaux que nous n'aurons jamais, et un besoin réel de former leurs relais.</w:t>
      </w:r>
    </w:p>
    <w:p>
      <w:pPr>
        <w:numPr>
          <w:ilvl w:val="0"/>
          <w:numId w:val="1"/>
        </w:numPr>
        <w:spacing w:before="0" w:after="120" w:line="276" w:lineRule="auto"/>
      </w:pPr>
      <w:r>
        <w:rPr>
          <w:rFonts w:ascii="Calibri" w:hAnsi="Calibri"/>
          <w:b/>
        </w:rPr>
        <w:t xml:space="preserve">Les opérateurs télécoms.</w:t>
      </w:r>
      <w:r>
        <w:rPr>
          <w:rFonts w:ascii="Calibri" w:hAnsi="Calibri"/>
        </w:rPr>
        <w:t xml:space="preserve"> Partenariat de long terme : la tipline gagne en portée si le numéro est connu. À n'aborder qu'une fois l'accréditation obtenue.</w:t>
      </w:r>
    </w:p>
    <w:p>
      <w:r>
        <w:br w:type="page"/>
      </w:r>
    </w:p>
    <w:p>
      <w:pPr>
        <w:spacing w:before="360" w:after="140" w:line="276" w:lineRule="auto"/>
      </w:pPr>
      <w:r>
        <w:rPr>
          <w:rFonts w:ascii="Calibri" w:hAnsi="Calibri"/>
          <w:b/>
          <w:color w:val="067A35"/>
          <w:sz w:val="36"/>
          <w:szCs w:val="36"/>
        </w:rPr>
        <w:t xml:space="preserve">10. Mesurer ce qui compte</w:t>
      </w:r>
    </w:p>
    <w:p>
      <w:pPr>
        <w:spacing w:before="0" w:after="120" w:line="276" w:lineRule="auto"/>
      </w:pPr>
      <w:r>
        <w:rPr>
          <w:rFonts w:ascii="Calibri" w:hAnsi="Calibri"/>
        </w:rPr>
        <w:t xml:space="preserve">Les indicateurs de vanité — impressions, abonnés, pages vues — décrivent une audience, pas un effet. Une plateforme de fact-checking doit mesurer si une rumeur a </w:t>
      </w:r>
      <w:r>
        <w:rPr>
          <w:rFonts w:ascii="Calibri" w:hAnsi="Calibri"/>
          <w:b/>
        </w:rPr>
        <w:t xml:space="preserve">cessé de circuler</w:t>
      </w:r>
      <w:r>
        <w:rPr>
          <w:rFonts w:ascii="Calibri" w:hAnsi="Calibri"/>
        </w:rPr>
        <w:t xml:space="preserve">, ce qui est plus difficile et plus honnête.</w:t>
      </w:r>
    </w:p>
    <w:tbl>
      <w:tblPr>
        <w:tblW w:w="9360" w:type="dxa"/>
        <w:tblBorders>
          <w:top w:val="single" w:sz="4" w:space="0" w:color="D8E0DB"/>
          <w:left w:val="single" w:sz="4" w:space="0" w:color="D8E0DB"/>
          <w:bottom w:val="single" w:sz="4" w:space="0" w:color="D8E0DB"/>
          <w:right w:val="single" w:sz="4" w:space="0" w:color="D8E0DB"/>
          <w:insideH w:val="single" w:sz="4" w:space="0" w:color="D8E0DB"/>
          <w:insideV w:val="single" w:sz="4" w:space="0" w:color="D8E0DB"/>
        </w:tblBorders>
        <w:tblLayout w:type="fixed"/>
      </w:tblPr>
      <w:tr>
        <w:trPr>
          <w:tblHeader/>
        </w:trPr>
        <w:tc>
          <w:tcPr>
            <w:tcW w:w="2600" w:type="dxa"/>
            <w:shd w:val="clear" w:fill="EAF9F0"/>
            <w:tcMar>
              <w:top w:w="80" w:type="dxa"/>
              <w:bottom w:w="80" w:type="dxa"/>
              <w:left w:w="120" w:type="dxa"/>
              <w:right w:w="120" w:type="dxa"/>
            </w:tcMar>
          </w:tcPr>
          <w:p>
            <w:pPr>
              <w:spacing w:before="0" w:after="0" w:line="276" w:lineRule="auto"/>
            </w:pPr>
            <w:r>
              <w:rPr>
                <w:rFonts w:ascii="Calibri" w:hAnsi="Calibri"/>
                <w:b/>
                <w:color w:val="067A35"/>
                <w:sz w:val="18"/>
                <w:szCs w:val="18"/>
              </w:rPr>
              <w:t xml:space="preserve">Indicateur</w:t>
            </w:r>
          </w:p>
        </w:tc>
        <w:tc>
          <w:tcPr>
            <w:tcW w:w="3800" w:type="dxa"/>
            <w:shd w:val="clear" w:fill="EAF9F0"/>
            <w:tcMar>
              <w:top w:w="80" w:type="dxa"/>
              <w:bottom w:w="80" w:type="dxa"/>
              <w:left w:w="120" w:type="dxa"/>
              <w:right w:w="120" w:type="dxa"/>
            </w:tcMar>
          </w:tcPr>
          <w:p>
            <w:pPr>
              <w:spacing w:before="0" w:after="0" w:line="276" w:lineRule="auto"/>
            </w:pPr>
            <w:r>
              <w:rPr>
                <w:rFonts w:ascii="Calibri" w:hAnsi="Calibri"/>
                <w:b/>
                <w:color w:val="067A35"/>
                <w:sz w:val="18"/>
                <w:szCs w:val="18"/>
              </w:rPr>
              <w:t xml:space="preserve">Ce qu'il mesure vraiment</w:t>
            </w:r>
          </w:p>
        </w:tc>
        <w:tc>
          <w:tcPr>
            <w:tcW w:w="2960" w:type="dxa"/>
            <w:shd w:val="clear" w:fill="EAF9F0"/>
            <w:tcMar>
              <w:top w:w="80" w:type="dxa"/>
              <w:bottom w:w="80" w:type="dxa"/>
              <w:left w:w="120" w:type="dxa"/>
              <w:right w:w="120" w:type="dxa"/>
            </w:tcMar>
          </w:tcPr>
          <w:p>
            <w:pPr>
              <w:spacing w:before="0" w:after="0" w:line="276" w:lineRule="auto"/>
            </w:pPr>
            <w:r>
              <w:rPr>
                <w:rFonts w:ascii="Calibri" w:hAnsi="Calibri"/>
                <w:b/>
                <w:color w:val="067A35"/>
                <w:sz w:val="18"/>
                <w:szCs w:val="18"/>
              </w:rPr>
              <w:t xml:space="preserve">Cible à 12 mois</w:t>
            </w:r>
          </w:p>
        </w:tc>
      </w:tr>
      <w:tr>
        <w:tc>
          <w:tcPr>
            <w:tcW w:w="2600" w:type="dxa"/>
            <w:tcMar>
              <w:top w:w="80" w:type="dxa"/>
              <w:bottom w:w="80" w:type="dxa"/>
              <w:left w:w="120" w:type="dxa"/>
              <w:right w:w="120" w:type="dxa"/>
            </w:tcMar>
          </w:tcPr>
          <w:p>
            <w:pPr>
              <w:spacing w:before="0" w:after="0" w:line="276" w:lineRule="auto"/>
            </w:pPr>
            <w:r>
              <w:rPr>
                <w:rFonts w:ascii="Calibri" w:hAnsi="Calibri"/>
                <w:sz w:val="18"/>
                <w:szCs w:val="18"/>
              </w:rPr>
              <w:t xml:space="preserve">Signalements reçus par la tipline</w:t>
            </w:r>
          </w:p>
        </w:tc>
        <w:tc>
          <w:tcPr>
            <w:tcW w:w="3800" w:type="dxa"/>
            <w:tcMar>
              <w:top w:w="80" w:type="dxa"/>
              <w:bottom w:w="80" w:type="dxa"/>
              <w:left w:w="120" w:type="dxa"/>
              <w:right w:w="120" w:type="dxa"/>
            </w:tcMar>
          </w:tcPr>
          <w:p>
            <w:pPr>
              <w:spacing w:before="0" w:after="0" w:line="276" w:lineRule="auto"/>
            </w:pPr>
            <w:r>
              <w:rPr>
                <w:rFonts w:ascii="Calibri" w:hAnsi="Calibri"/>
                <w:sz w:val="18"/>
                <w:szCs w:val="18"/>
              </w:rPr>
              <w:t xml:space="preserve">Le réflexe s'installe : on nous demande avant de partager</w:t>
            </w:r>
          </w:p>
        </w:tc>
        <w:tc>
          <w:tcPr>
            <w:tcW w:w="2960" w:type="dxa"/>
            <w:tcMar>
              <w:top w:w="80" w:type="dxa"/>
              <w:bottom w:w="80" w:type="dxa"/>
              <w:left w:w="120" w:type="dxa"/>
              <w:right w:w="120" w:type="dxa"/>
            </w:tcMar>
          </w:tcPr>
          <w:p>
            <w:pPr>
              <w:spacing w:before="0" w:after="0" w:line="276" w:lineRule="auto"/>
            </w:pPr>
            <w:r>
              <w:rPr>
                <w:rFonts w:ascii="Calibri" w:hAnsi="Calibri"/>
                <w:sz w:val="18"/>
                <w:szCs w:val="18"/>
              </w:rPr>
              <w:t xml:space="preserve">À fixer après le premier mois d'ouverture</w:t>
            </w:r>
          </w:p>
        </w:tc>
      </w:tr>
      <w:tr>
        <w:tc>
          <w:tcPr>
            <w:tcW w:w="2600" w:type="dxa"/>
            <w:tcMar>
              <w:top w:w="80" w:type="dxa"/>
              <w:bottom w:w="80" w:type="dxa"/>
              <w:left w:w="120" w:type="dxa"/>
              <w:right w:w="120" w:type="dxa"/>
            </w:tcMar>
          </w:tcPr>
          <w:p>
            <w:pPr>
              <w:spacing w:before="0" w:after="0" w:line="276" w:lineRule="auto"/>
            </w:pPr>
            <w:r>
              <w:rPr>
                <w:rFonts w:ascii="Calibri" w:hAnsi="Calibri"/>
                <w:sz w:val="18"/>
                <w:szCs w:val="18"/>
              </w:rPr>
              <w:t xml:space="preserve">Taux de repartage des cartes de démenti</w:t>
            </w:r>
          </w:p>
        </w:tc>
        <w:tc>
          <w:tcPr>
            <w:tcW w:w="3800" w:type="dxa"/>
            <w:tcMar>
              <w:top w:w="80" w:type="dxa"/>
              <w:bottom w:w="80" w:type="dxa"/>
              <w:left w:w="120" w:type="dxa"/>
              <w:right w:w="120" w:type="dxa"/>
            </w:tcMar>
          </w:tcPr>
          <w:p>
            <w:pPr>
              <w:spacing w:before="0" w:after="0" w:line="276" w:lineRule="auto"/>
            </w:pPr>
            <w:r>
              <w:rPr>
                <w:rFonts w:ascii="Calibri" w:hAnsi="Calibri"/>
                <w:sz w:val="18"/>
                <w:szCs w:val="18"/>
              </w:rPr>
              <w:t xml:space="preserve">Le démenti voyage seul, sans que nous le poussions</w:t>
            </w:r>
          </w:p>
        </w:tc>
        <w:tc>
          <w:tcPr>
            <w:tcW w:w="2960" w:type="dxa"/>
            <w:tcMar>
              <w:top w:w="80" w:type="dxa"/>
              <w:bottom w:w="80" w:type="dxa"/>
              <w:left w:w="120" w:type="dxa"/>
              <w:right w:w="120" w:type="dxa"/>
            </w:tcMar>
          </w:tcPr>
          <w:p>
            <w:pPr>
              <w:spacing w:before="0" w:after="0" w:line="276" w:lineRule="auto"/>
            </w:pPr>
            <w:r>
              <w:rPr>
                <w:rFonts w:ascii="Calibri" w:hAnsi="Calibri"/>
                <w:sz w:val="18"/>
                <w:szCs w:val="18"/>
              </w:rPr>
              <w:t xml:space="preserve">Supérieur au taux de partage des publications ordinaires</w:t>
            </w:r>
          </w:p>
        </w:tc>
      </w:tr>
      <w:tr>
        <w:tc>
          <w:tcPr>
            <w:tcW w:w="2600" w:type="dxa"/>
            <w:tcMar>
              <w:top w:w="80" w:type="dxa"/>
              <w:bottom w:w="80" w:type="dxa"/>
              <w:left w:w="120" w:type="dxa"/>
              <w:right w:w="120" w:type="dxa"/>
            </w:tcMar>
          </w:tcPr>
          <w:p>
            <w:pPr>
              <w:spacing w:before="0" w:after="0" w:line="276" w:lineRule="auto"/>
            </w:pPr>
            <w:r>
              <w:rPr>
                <w:rFonts w:ascii="Calibri" w:hAnsi="Calibri"/>
                <w:sz w:val="18"/>
                <w:szCs w:val="18"/>
              </w:rPr>
              <w:t xml:space="preserve">Vérifications escaladées depuis le forum</w:t>
            </w:r>
          </w:p>
        </w:tc>
        <w:tc>
          <w:tcPr>
            <w:tcW w:w="3800" w:type="dxa"/>
            <w:tcMar>
              <w:top w:w="80" w:type="dxa"/>
              <w:bottom w:w="80" w:type="dxa"/>
              <w:left w:w="120" w:type="dxa"/>
              <w:right w:w="120" w:type="dxa"/>
            </w:tcMar>
          </w:tcPr>
          <w:p>
            <w:pPr>
              <w:spacing w:before="0" w:after="0" w:line="276" w:lineRule="auto"/>
            </w:pPr>
            <w:r>
              <w:rPr>
                <w:rFonts w:ascii="Calibri" w:hAnsi="Calibri"/>
                <w:sz w:val="18"/>
                <w:szCs w:val="18"/>
              </w:rPr>
              <w:t xml:space="preserve">La communauté alimente la rédaction</w:t>
            </w:r>
          </w:p>
        </w:tc>
        <w:tc>
          <w:tcPr>
            <w:tcW w:w="2960" w:type="dxa"/>
            <w:tcMar>
              <w:top w:w="80" w:type="dxa"/>
              <w:bottom w:w="80" w:type="dxa"/>
              <w:left w:w="120" w:type="dxa"/>
              <w:right w:w="120" w:type="dxa"/>
            </w:tcMar>
          </w:tcPr>
          <w:p>
            <w:pPr>
              <w:spacing w:before="0" w:after="0" w:line="276" w:lineRule="auto"/>
            </w:pPr>
            <w:r>
              <w:rPr>
                <w:rFonts w:ascii="Calibri" w:hAnsi="Calibri"/>
                <w:sz w:val="18"/>
                <w:szCs w:val="18"/>
              </w:rPr>
              <w:t xml:space="preserve">Croissance mensuelle continue</w:t>
            </w:r>
          </w:p>
        </w:tc>
      </w:tr>
      <w:tr>
        <w:tc>
          <w:tcPr>
            <w:tcW w:w="2600" w:type="dxa"/>
            <w:tcMar>
              <w:top w:w="80" w:type="dxa"/>
              <w:bottom w:w="80" w:type="dxa"/>
              <w:left w:w="120" w:type="dxa"/>
              <w:right w:w="120" w:type="dxa"/>
            </w:tcMar>
          </w:tcPr>
          <w:p>
            <w:pPr>
              <w:spacing w:before="0" w:after="0" w:line="276" w:lineRule="auto"/>
            </w:pPr>
            <w:r>
              <w:rPr>
                <w:rFonts w:ascii="Calibri" w:hAnsi="Calibri"/>
                <w:sz w:val="18"/>
                <w:szCs w:val="18"/>
              </w:rPr>
              <w:t xml:space="preserve">Certificats délivrés par l'Académie</w:t>
            </w:r>
          </w:p>
        </w:tc>
        <w:tc>
          <w:tcPr>
            <w:tcW w:w="3800" w:type="dxa"/>
            <w:tcMar>
              <w:top w:w="80" w:type="dxa"/>
              <w:bottom w:w="80" w:type="dxa"/>
              <w:left w:w="120" w:type="dxa"/>
              <w:right w:w="120" w:type="dxa"/>
            </w:tcMar>
          </w:tcPr>
          <w:p>
            <w:pPr>
              <w:spacing w:before="0" w:after="0" w:line="276" w:lineRule="auto"/>
            </w:pPr>
            <w:r>
              <w:rPr>
                <w:rFonts w:ascii="Calibri" w:hAnsi="Calibri"/>
                <w:sz w:val="18"/>
                <w:szCs w:val="18"/>
              </w:rPr>
              <w:t xml:space="preserve">Le nombre d'ambassadeurs formés</w:t>
            </w:r>
          </w:p>
        </w:tc>
        <w:tc>
          <w:tcPr>
            <w:tcW w:w="2960" w:type="dxa"/>
            <w:tcMar>
              <w:top w:w="80" w:type="dxa"/>
              <w:bottom w:w="80" w:type="dxa"/>
              <w:left w:w="120" w:type="dxa"/>
              <w:right w:w="120" w:type="dxa"/>
            </w:tcMar>
          </w:tcPr>
          <w:p>
            <w:pPr>
              <w:spacing w:before="0" w:after="0" w:line="276" w:lineRule="auto"/>
            </w:pPr>
            <w:r>
              <w:rPr>
                <w:rFonts w:ascii="Calibri" w:hAnsi="Calibri"/>
                <w:sz w:val="18"/>
                <w:szCs w:val="18"/>
              </w:rPr>
              <w:t xml:space="preserve">À fixer après le premier trimestre</w:t>
            </w:r>
          </w:p>
        </w:tc>
      </w:tr>
      <w:tr>
        <w:tc>
          <w:tcPr>
            <w:tcW w:w="2600" w:type="dxa"/>
            <w:tcMar>
              <w:top w:w="80" w:type="dxa"/>
              <w:bottom w:w="80" w:type="dxa"/>
              <w:left w:w="120" w:type="dxa"/>
              <w:right w:w="120" w:type="dxa"/>
            </w:tcMar>
          </w:tcPr>
          <w:p>
            <w:pPr>
              <w:spacing w:before="0" w:after="0" w:line="276" w:lineRule="auto"/>
            </w:pPr>
            <w:r>
              <w:rPr>
                <w:rFonts w:ascii="Calibri" w:hAnsi="Calibri"/>
                <w:sz w:val="18"/>
                <w:szCs w:val="18"/>
              </w:rPr>
              <w:t xml:space="preserve">Part des verdicts « non vérifiable »</w:t>
            </w:r>
          </w:p>
        </w:tc>
        <w:tc>
          <w:tcPr>
            <w:tcW w:w="3800" w:type="dxa"/>
            <w:tcMar>
              <w:top w:w="80" w:type="dxa"/>
              <w:bottom w:w="80" w:type="dxa"/>
              <w:left w:w="120" w:type="dxa"/>
              <w:right w:w="120" w:type="dxa"/>
            </w:tcMar>
          </w:tcPr>
          <w:p>
            <w:pPr>
              <w:spacing w:before="0" w:after="0" w:line="276" w:lineRule="auto"/>
            </w:pPr>
            <w:r>
              <w:rPr>
                <w:rFonts w:ascii="Calibri" w:hAnsi="Calibri"/>
                <w:sz w:val="18"/>
                <w:szCs w:val="18"/>
              </w:rPr>
              <w:t xml:space="preserve">Notre honnêteté est mesurable : une part nulle serait suspecte</w:t>
            </w:r>
          </w:p>
        </w:tc>
        <w:tc>
          <w:tcPr>
            <w:tcW w:w="2960" w:type="dxa"/>
            <w:tcMar>
              <w:top w:w="80" w:type="dxa"/>
              <w:bottom w:w="80" w:type="dxa"/>
              <w:left w:w="120" w:type="dxa"/>
              <w:right w:w="120" w:type="dxa"/>
            </w:tcMar>
          </w:tcPr>
          <w:p>
            <w:pPr>
              <w:spacing w:before="0" w:after="0" w:line="276" w:lineRule="auto"/>
            </w:pPr>
            <w:r>
              <w:rPr>
                <w:rFonts w:ascii="Calibri" w:hAnsi="Calibri"/>
                <w:sz w:val="18"/>
                <w:szCs w:val="18"/>
              </w:rPr>
              <w:t xml:space="preserve">Stable, jamais nulle</w:t>
            </w:r>
          </w:p>
        </w:tc>
      </w:tr>
      <w:tr>
        <w:tc>
          <w:tcPr>
            <w:tcW w:w="2600" w:type="dxa"/>
            <w:tcMar>
              <w:top w:w="80" w:type="dxa"/>
              <w:bottom w:w="80" w:type="dxa"/>
              <w:left w:w="120" w:type="dxa"/>
              <w:right w:w="120" w:type="dxa"/>
            </w:tcMar>
          </w:tcPr>
          <w:p>
            <w:pPr>
              <w:spacing w:before="0" w:after="0" w:line="276" w:lineRule="auto"/>
            </w:pPr>
            <w:r>
              <w:rPr>
                <w:rFonts w:ascii="Calibri" w:hAnsi="Calibri"/>
                <w:sz w:val="18"/>
                <w:szCs w:val="18"/>
              </w:rPr>
              <w:t xml:space="preserve">Corrections apportées à nos verdicts</w:t>
            </w:r>
          </w:p>
        </w:tc>
        <w:tc>
          <w:tcPr>
            <w:tcW w:w="3800" w:type="dxa"/>
            <w:tcMar>
              <w:top w:w="80" w:type="dxa"/>
              <w:bottom w:w="80" w:type="dxa"/>
              <w:left w:w="120" w:type="dxa"/>
              <w:right w:w="120" w:type="dxa"/>
            </w:tcMar>
          </w:tcPr>
          <w:p>
            <w:pPr>
              <w:spacing w:before="0" w:after="0" w:line="276" w:lineRule="auto"/>
            </w:pPr>
            <w:r>
              <w:rPr>
                <w:rFonts w:ascii="Calibri" w:hAnsi="Calibri"/>
                <w:sz w:val="18"/>
                <w:szCs w:val="18"/>
              </w:rPr>
              <w:t xml:space="preserve">Notre capacité à nous corriger publiquement</w:t>
            </w:r>
          </w:p>
        </w:tc>
        <w:tc>
          <w:tcPr>
            <w:tcW w:w="2960" w:type="dxa"/>
            <w:tcMar>
              <w:top w:w="80" w:type="dxa"/>
              <w:bottom w:w="80" w:type="dxa"/>
              <w:left w:w="120" w:type="dxa"/>
              <w:right w:w="120" w:type="dxa"/>
            </w:tcMar>
          </w:tcPr>
          <w:p>
            <w:pPr>
              <w:spacing w:before="0" w:after="0" w:line="276" w:lineRule="auto"/>
            </w:pPr>
            <w:r>
              <w:rPr>
                <w:rFonts w:ascii="Calibri" w:hAnsi="Calibri"/>
                <w:sz w:val="18"/>
                <w:szCs w:val="18"/>
              </w:rPr>
              <w:t xml:space="preserve">Publiées intégralement, quel qu'en soit le nombre</w:t>
            </w:r>
          </w:p>
        </w:tc>
      </w:tr>
      <w:tr>
        <w:tc>
          <w:tcPr>
            <w:tcW w:w="2600" w:type="dxa"/>
            <w:tcMar>
              <w:top w:w="80" w:type="dxa"/>
              <w:bottom w:w="80" w:type="dxa"/>
              <w:left w:w="120" w:type="dxa"/>
              <w:right w:w="120" w:type="dxa"/>
            </w:tcMar>
          </w:tcPr>
          <w:p>
            <w:pPr>
              <w:spacing w:before="0" w:after="0" w:line="276" w:lineRule="auto"/>
            </w:pPr>
            <w:r>
              <w:rPr>
                <w:rFonts w:ascii="Calibri" w:hAnsi="Calibri"/>
                <w:sz w:val="18"/>
                <w:szCs w:val="18"/>
              </w:rPr>
              <w:t xml:space="preserve">Requêtes d'opportunités captées</w:t>
            </w:r>
          </w:p>
        </w:tc>
        <w:tc>
          <w:tcPr>
            <w:tcW w:w="3800" w:type="dxa"/>
            <w:tcMar>
              <w:top w:w="80" w:type="dxa"/>
              <w:bottom w:w="80" w:type="dxa"/>
              <w:left w:w="120" w:type="dxa"/>
              <w:right w:w="120" w:type="dxa"/>
            </w:tcMar>
          </w:tcPr>
          <w:p>
            <w:pPr>
              <w:spacing w:before="0" w:after="0" w:line="276" w:lineRule="auto"/>
            </w:pPr>
            <w:r>
              <w:rPr>
                <w:rFonts w:ascii="Calibri" w:hAnsi="Calibri"/>
                <w:sz w:val="18"/>
                <w:szCs w:val="18"/>
              </w:rPr>
              <w:t xml:space="preserve">Le trafic récurrent qui finance l'attention</w:t>
            </w:r>
          </w:p>
        </w:tc>
        <w:tc>
          <w:tcPr>
            <w:tcW w:w="2960" w:type="dxa"/>
            <w:tcMar>
              <w:top w:w="80" w:type="dxa"/>
              <w:bottom w:w="80" w:type="dxa"/>
              <w:left w:w="120" w:type="dxa"/>
              <w:right w:w="120" w:type="dxa"/>
            </w:tcMar>
          </w:tcPr>
          <w:p>
            <w:pPr>
              <w:spacing w:before="0" w:after="0" w:line="276" w:lineRule="auto"/>
            </w:pPr>
            <w:r>
              <w:rPr>
                <w:rFonts w:ascii="Calibri" w:hAnsi="Calibri"/>
                <w:sz w:val="18"/>
                <w:szCs w:val="18"/>
              </w:rPr>
              <w:t xml:space="preserve">Première page sur les requêtes principales</w:t>
            </w:r>
          </w:p>
        </w:tc>
      </w:tr>
    </w:tbl>
    <w:p>
      <w:pPr>
        <w:spacing w:before="0" w:after="160" w:line="276" w:lineRule="auto"/>
      </w:pPr>
    </w:p>
    <w:tbl>
      <w:tblPr>
        <w:tblW w:w="9360" w:type="dxa"/>
        <w:tblBorders>
          <w:top w:val="single" w:sz="4" w:space="0" w:color="9BE0B8"/>
          <w:left w:val="single" w:sz="18" w:space="0" w:color="09B850"/>
          <w:bottom w:val="single" w:sz="4" w:space="0" w:color="9BE0B8"/>
          <w:right w:val="single" w:sz="4" w:space="0" w:color="9BE0B8"/>
        </w:tblBorders>
      </w:tblPr>
      <w:tr>
        <w:tc>
          <w:tcPr>
            <w:tcW w:w="9360" w:type="dxa"/>
            <w:shd w:val="clear" w:fill="F4FBF7"/>
            <w:tcMar>
              <w:top w:w="160" w:type="dxa"/>
              <w:bottom w:w="160" w:type="dxa"/>
              <w:left w:w="200" w:type="dxa"/>
              <w:right w:w="200" w:type="dxa"/>
            </w:tcMar>
          </w:tcPr>
          <w:p>
            <w:pPr>
              <w:spacing w:before="0" w:after="80" w:line="276" w:lineRule="auto"/>
            </w:pPr>
            <w:r>
              <w:rPr>
                <w:rFonts w:ascii="Calibri" w:hAnsi="Calibri"/>
                <w:b/>
                <w:color w:val="067A35"/>
                <w:sz w:val="22"/>
                <w:szCs w:val="22"/>
              </w:rPr>
              <w:t xml:space="preserve">L'indicateur qu'il ne faut PAS optimiser</w:t>
            </w:r>
          </w:p>
          <w:p>
            <w:pPr>
              <w:spacing w:before="0" w:after="80" w:line="276" w:lineRule="auto"/>
            </w:pPr>
            <w:r>
              <w:rPr>
                <w:rFonts w:ascii="Calibri" w:hAnsi="Calibri"/>
                <w:sz w:val="20"/>
                <w:szCs w:val="20"/>
              </w:rPr>
              <w:t xml:space="preserve">La part de verdicts « FAUX ». Elle est tentante : elle raconte une organisation active et utile.</w:t>
            </w:r>
          </w:p>
          <w:p>
            <w:pPr>
              <w:spacing w:before="0" w:after="80" w:line="276" w:lineRule="auto"/>
            </w:pPr>
            <w:r>
              <w:rPr>
                <w:rFonts w:ascii="Calibri" w:hAnsi="Calibri"/>
                <w:sz w:val="20"/>
                <w:szCs w:val="20"/>
              </w:rPr>
              <w:t xml:space="preserve">L'optimiser conduirait à choisir les rumeurs faciles à démolir plutôt que celles qui circulent réellement, et à trancher là où il faudrait s'abstenir. Une part de « non vérifiable » qui tomberait à zéro serait le signal que nous avons commencé à deviner.</w:t>
            </w:r>
          </w:p>
        </w:tc>
      </w:tr>
    </w:tbl>
    <w:p>
      <w:pPr>
        <w:spacing w:before="0" w:after="160" w:line="276" w:lineRule="auto"/>
      </w:pPr>
    </w:p>
    <w:p>
      <w:r>
        <w:br w:type="page"/>
      </w:r>
    </w:p>
    <w:p>
      <w:pPr>
        <w:spacing w:before="360" w:after="140" w:line="276" w:lineRule="auto"/>
      </w:pPr>
      <w:r>
        <w:rPr>
          <w:rFonts w:ascii="Calibri" w:hAnsi="Calibri"/>
          <w:b/>
          <w:color w:val="067A35"/>
          <w:sz w:val="36"/>
          <w:szCs w:val="36"/>
        </w:rPr>
        <w:t xml:space="preserve">11. Les risques, et quoi faire quand ils surviennent</w:t>
      </w:r>
    </w:p>
    <w:tbl>
      <w:tblPr>
        <w:tblW w:w="9360" w:type="dxa"/>
        <w:tblBorders>
          <w:top w:val="single" w:sz="4" w:space="0" w:color="D8E0DB"/>
          <w:left w:val="single" w:sz="4" w:space="0" w:color="D8E0DB"/>
          <w:bottom w:val="single" w:sz="4" w:space="0" w:color="D8E0DB"/>
          <w:right w:val="single" w:sz="4" w:space="0" w:color="D8E0DB"/>
          <w:insideH w:val="single" w:sz="4" w:space="0" w:color="D8E0DB"/>
          <w:insideV w:val="single" w:sz="4" w:space="0" w:color="D8E0DB"/>
        </w:tblBorders>
        <w:tblLayout w:type="fixed"/>
      </w:tblPr>
      <w:tr>
        <w:trPr>
          <w:tblHeader/>
        </w:trPr>
        <w:tc>
          <w:tcPr>
            <w:tcW w:w="2800" w:type="dxa"/>
            <w:shd w:val="clear" w:fill="EAF9F0"/>
            <w:tcMar>
              <w:top w:w="80" w:type="dxa"/>
              <w:bottom w:w="80" w:type="dxa"/>
              <w:left w:w="120" w:type="dxa"/>
              <w:right w:w="120" w:type="dxa"/>
            </w:tcMar>
          </w:tcPr>
          <w:p>
            <w:pPr>
              <w:spacing w:before="0" w:after="0" w:line="276" w:lineRule="auto"/>
            </w:pPr>
            <w:r>
              <w:rPr>
                <w:rFonts w:ascii="Calibri" w:hAnsi="Calibri"/>
                <w:b/>
                <w:color w:val="067A35"/>
                <w:sz w:val="18"/>
                <w:szCs w:val="18"/>
              </w:rPr>
              <w:t xml:space="preserve">Risque</w:t>
            </w:r>
          </w:p>
        </w:tc>
        <w:tc>
          <w:tcPr>
            <w:tcW w:w="1600" w:type="dxa"/>
            <w:shd w:val="clear" w:fill="EAF9F0"/>
            <w:tcMar>
              <w:top w:w="80" w:type="dxa"/>
              <w:bottom w:w="80" w:type="dxa"/>
              <w:left w:w="120" w:type="dxa"/>
              <w:right w:w="120" w:type="dxa"/>
            </w:tcMar>
          </w:tcPr>
          <w:p>
            <w:pPr>
              <w:spacing w:before="0" w:after="0" w:line="276" w:lineRule="auto"/>
            </w:pPr>
            <w:r>
              <w:rPr>
                <w:rFonts w:ascii="Calibri" w:hAnsi="Calibri"/>
                <w:b/>
                <w:color w:val="067A35"/>
                <w:sz w:val="18"/>
                <w:szCs w:val="18"/>
              </w:rPr>
              <w:t xml:space="preserve">Probabilité</w:t>
            </w:r>
          </w:p>
        </w:tc>
        <w:tc>
          <w:tcPr>
            <w:tcW w:w="4960" w:type="dxa"/>
            <w:shd w:val="clear" w:fill="EAF9F0"/>
            <w:tcMar>
              <w:top w:w="80" w:type="dxa"/>
              <w:bottom w:w="80" w:type="dxa"/>
              <w:left w:w="120" w:type="dxa"/>
              <w:right w:w="120" w:type="dxa"/>
            </w:tcMar>
          </w:tcPr>
          <w:p>
            <w:pPr>
              <w:spacing w:before="0" w:after="0" w:line="276" w:lineRule="auto"/>
            </w:pPr>
            <w:r>
              <w:rPr>
                <w:rFonts w:ascii="Calibri" w:hAnsi="Calibri"/>
                <w:b/>
                <w:color w:val="067A35"/>
                <w:sz w:val="18"/>
                <w:szCs w:val="18"/>
              </w:rPr>
              <w:t xml:space="preserve">Réponse préparée</w:t>
            </w:r>
          </w:p>
        </w:tc>
      </w:tr>
      <w:tr>
        <w:tc>
          <w:tcPr>
            <w:tcW w:w="2800" w:type="dxa"/>
            <w:tcMar>
              <w:top w:w="80" w:type="dxa"/>
              <w:bottom w:w="80" w:type="dxa"/>
              <w:left w:w="120" w:type="dxa"/>
              <w:right w:w="120" w:type="dxa"/>
            </w:tcMar>
          </w:tcPr>
          <w:p>
            <w:pPr>
              <w:spacing w:before="0" w:after="0" w:line="276" w:lineRule="auto"/>
            </w:pPr>
            <w:r>
              <w:rPr>
                <w:rFonts w:ascii="Calibri" w:hAnsi="Calibri"/>
                <w:b/>
                <w:sz w:val="18"/>
                <w:szCs w:val="18"/>
              </w:rPr>
              <w:t xml:space="preserve">Une de nos vérifications est fausse.</w:t>
            </w:r>
          </w:p>
        </w:tc>
        <w:tc>
          <w:tcPr>
            <w:tcW w:w="1600" w:type="dxa"/>
            <w:tcMar>
              <w:top w:w="80" w:type="dxa"/>
              <w:bottom w:w="80" w:type="dxa"/>
              <w:left w:w="120" w:type="dxa"/>
              <w:right w:w="120" w:type="dxa"/>
            </w:tcMar>
          </w:tcPr>
          <w:p>
            <w:pPr>
              <w:spacing w:before="0" w:after="0" w:line="276" w:lineRule="auto"/>
            </w:pPr>
            <w:r>
              <w:rPr>
                <w:rFonts w:ascii="Calibri" w:hAnsi="Calibri"/>
                <w:sz w:val="18"/>
                <w:szCs w:val="18"/>
              </w:rPr>
              <w:t xml:space="preserve">Certaine, à terme</w:t>
            </w:r>
          </w:p>
        </w:tc>
        <w:tc>
          <w:tcPr>
            <w:tcW w:w="4960" w:type="dxa"/>
            <w:tcMar>
              <w:top w:w="80" w:type="dxa"/>
              <w:bottom w:w="80" w:type="dxa"/>
              <w:left w:w="120" w:type="dxa"/>
              <w:right w:w="120" w:type="dxa"/>
            </w:tcMar>
          </w:tcPr>
          <w:p>
            <w:pPr>
              <w:spacing w:before="0" w:after="0" w:line="276" w:lineRule="auto"/>
            </w:pPr>
            <w:r>
              <w:rPr>
                <w:rFonts w:ascii="Calibri" w:hAnsi="Calibri"/>
                <w:sz w:val="18"/>
                <w:szCs w:val="18"/>
              </w:rPr>
              <w:t xml:space="preserve">Corriger en publiant la correction aussi visiblement que l'original. Le verdict précédent reste en ligne avec sa date et le motif du changement. Ne jamais effacer.</w:t>
            </w:r>
          </w:p>
        </w:tc>
      </w:tr>
      <w:tr>
        <w:tc>
          <w:tcPr>
            <w:tcW w:w="2800" w:type="dxa"/>
            <w:tcMar>
              <w:top w:w="80" w:type="dxa"/>
              <w:bottom w:w="80" w:type="dxa"/>
              <w:left w:w="120" w:type="dxa"/>
              <w:right w:w="120" w:type="dxa"/>
            </w:tcMar>
          </w:tcPr>
          <w:p>
            <w:pPr>
              <w:spacing w:before="0" w:after="0" w:line="276" w:lineRule="auto"/>
            </w:pPr>
            <w:r>
              <w:rPr>
                <w:rFonts w:ascii="Calibri" w:hAnsi="Calibri"/>
                <w:b/>
                <w:sz w:val="18"/>
                <w:szCs w:val="18"/>
              </w:rPr>
              <w:t xml:space="preserve">Accusation de parti pris politique.</w:t>
            </w:r>
          </w:p>
        </w:tc>
        <w:tc>
          <w:tcPr>
            <w:tcW w:w="1600" w:type="dxa"/>
            <w:tcMar>
              <w:top w:w="80" w:type="dxa"/>
              <w:bottom w:w="80" w:type="dxa"/>
              <w:left w:w="120" w:type="dxa"/>
              <w:right w:w="120" w:type="dxa"/>
            </w:tcMar>
          </w:tcPr>
          <w:p>
            <w:pPr>
              <w:spacing w:before="0" w:after="0" w:line="276" w:lineRule="auto"/>
            </w:pPr>
            <w:r>
              <w:rPr>
                <w:rFonts w:ascii="Calibri" w:hAnsi="Calibri"/>
                <w:sz w:val="18"/>
                <w:szCs w:val="18"/>
              </w:rPr>
              <w:t xml:space="preserve">Élevée</w:t>
            </w:r>
          </w:p>
        </w:tc>
        <w:tc>
          <w:tcPr>
            <w:tcW w:w="4960" w:type="dxa"/>
            <w:tcMar>
              <w:top w:w="80" w:type="dxa"/>
              <w:bottom w:w="80" w:type="dxa"/>
              <w:left w:w="120" w:type="dxa"/>
              <w:right w:w="120" w:type="dxa"/>
            </w:tcMar>
          </w:tcPr>
          <w:p>
            <w:pPr>
              <w:spacing w:before="0" w:after="0" w:line="276" w:lineRule="auto"/>
            </w:pPr>
            <w:r>
              <w:rPr>
                <w:rFonts w:ascii="Calibri" w:hAnsi="Calibri"/>
                <w:sz w:val="18"/>
                <w:szCs w:val="18"/>
              </w:rPr>
              <w:t xml:space="preserve">Répondre par le corpus, pas par l'indignation : la méthodologie publique, la répartition des verdicts, le format « On ne sait pas ».</w:t>
            </w:r>
          </w:p>
        </w:tc>
      </w:tr>
      <w:tr>
        <w:tc>
          <w:tcPr>
            <w:tcW w:w="2800" w:type="dxa"/>
            <w:tcMar>
              <w:top w:w="80" w:type="dxa"/>
              <w:bottom w:w="80" w:type="dxa"/>
              <w:left w:w="120" w:type="dxa"/>
              <w:right w:w="120" w:type="dxa"/>
            </w:tcMar>
          </w:tcPr>
          <w:p>
            <w:pPr>
              <w:spacing w:before="0" w:after="0" w:line="276" w:lineRule="auto"/>
            </w:pPr>
            <w:r>
              <w:rPr>
                <w:rFonts w:ascii="Calibri" w:hAnsi="Calibri"/>
                <w:b/>
                <w:sz w:val="18"/>
                <w:szCs w:val="18"/>
              </w:rPr>
              <w:t xml:space="preserve">Usurpation de notre identité</w:t>
            </w:r>
            <w:r>
              <w:rPr>
                <w:rFonts w:ascii="Calibri" w:hAnsi="Calibri"/>
                <w:sz w:val="18"/>
                <w:szCs w:val="18"/>
              </w:rPr>
              <w:t xml:space="preserve"> (faux compte, faux démenti signé Vérif'All).</w:t>
            </w:r>
          </w:p>
        </w:tc>
        <w:tc>
          <w:tcPr>
            <w:tcW w:w="1600" w:type="dxa"/>
            <w:tcMar>
              <w:top w:w="80" w:type="dxa"/>
              <w:bottom w:w="80" w:type="dxa"/>
              <w:left w:w="120" w:type="dxa"/>
              <w:right w:w="120" w:type="dxa"/>
            </w:tcMar>
          </w:tcPr>
          <w:p>
            <w:pPr>
              <w:spacing w:before="0" w:after="0" w:line="276" w:lineRule="auto"/>
            </w:pPr>
            <w:r>
              <w:rPr>
                <w:rFonts w:ascii="Calibri" w:hAnsi="Calibri"/>
                <w:sz w:val="18"/>
                <w:szCs w:val="18"/>
              </w:rPr>
              <w:t xml:space="preserve">Élevée</w:t>
            </w:r>
          </w:p>
        </w:tc>
        <w:tc>
          <w:tcPr>
            <w:tcW w:w="4960" w:type="dxa"/>
            <w:tcMar>
              <w:top w:w="80" w:type="dxa"/>
              <w:bottom w:w="80" w:type="dxa"/>
              <w:left w:w="120" w:type="dxa"/>
              <w:right w:w="120" w:type="dxa"/>
            </w:tcMar>
          </w:tcPr>
          <w:p>
            <w:pPr>
              <w:spacing w:before="0" w:after="0" w:line="276" w:lineRule="auto"/>
            </w:pPr>
            <w:r>
              <w:rPr>
                <w:rFonts w:ascii="Calibri" w:hAnsi="Calibri"/>
                <w:sz w:val="18"/>
                <w:szCs w:val="18"/>
              </w:rPr>
              <w:t xml:space="preserve">Publier la liste de nos canaux officiels dès le mois 1, et la rappeler à chaque campagne. Le filigrane sur les cartes de démenti sert exactement à cela.</w:t>
            </w:r>
          </w:p>
        </w:tc>
      </w:tr>
      <w:tr>
        <w:tc>
          <w:tcPr>
            <w:tcW w:w="2800" w:type="dxa"/>
            <w:tcMar>
              <w:top w:w="80" w:type="dxa"/>
              <w:bottom w:w="80" w:type="dxa"/>
              <w:left w:w="120" w:type="dxa"/>
              <w:right w:w="120" w:type="dxa"/>
            </w:tcMar>
          </w:tcPr>
          <w:p>
            <w:pPr>
              <w:spacing w:before="0" w:after="0" w:line="276" w:lineRule="auto"/>
            </w:pPr>
            <w:r>
              <w:rPr>
                <w:rFonts w:ascii="Calibri" w:hAnsi="Calibri"/>
                <w:b/>
                <w:sz w:val="18"/>
                <w:szCs w:val="18"/>
              </w:rPr>
              <w:t xml:space="preserve">Harcèlement d'un membre de l'équipe.</w:t>
            </w:r>
          </w:p>
        </w:tc>
        <w:tc>
          <w:tcPr>
            <w:tcW w:w="1600" w:type="dxa"/>
            <w:tcMar>
              <w:top w:w="80" w:type="dxa"/>
              <w:bottom w:w="80" w:type="dxa"/>
              <w:left w:w="120" w:type="dxa"/>
              <w:right w:w="120" w:type="dxa"/>
            </w:tcMar>
          </w:tcPr>
          <w:p>
            <w:pPr>
              <w:spacing w:before="0" w:after="0" w:line="276" w:lineRule="auto"/>
            </w:pPr>
            <w:r>
              <w:rPr>
                <w:rFonts w:ascii="Calibri" w:hAnsi="Calibri"/>
                <w:sz w:val="18"/>
                <w:szCs w:val="18"/>
              </w:rPr>
              <w:t xml:space="preserve">Moyenne</w:t>
            </w:r>
          </w:p>
        </w:tc>
        <w:tc>
          <w:tcPr>
            <w:tcW w:w="4960" w:type="dxa"/>
            <w:tcMar>
              <w:top w:w="80" w:type="dxa"/>
              <w:bottom w:w="80" w:type="dxa"/>
              <w:left w:w="120" w:type="dxa"/>
              <w:right w:w="120" w:type="dxa"/>
            </w:tcMar>
          </w:tcPr>
          <w:p>
            <w:pPr>
              <w:spacing w:before="0" w:after="0" w:line="276" w:lineRule="auto"/>
            </w:pPr>
            <w:r>
              <w:rPr>
                <w:rFonts w:ascii="Calibri" w:hAnsi="Calibri"/>
                <w:sz w:val="18"/>
                <w:szCs w:val="18"/>
              </w:rPr>
              <w:t xml:space="preserve">Aucune vérification n'est signée d'un nom seul : elle engage la rédaction. Protocole de signalement et de retrait défini à l'avance.</w:t>
            </w:r>
          </w:p>
        </w:tc>
      </w:tr>
      <w:tr>
        <w:tc>
          <w:tcPr>
            <w:tcW w:w="2800" w:type="dxa"/>
            <w:tcMar>
              <w:top w:w="80" w:type="dxa"/>
              <w:bottom w:w="80" w:type="dxa"/>
              <w:left w:w="120" w:type="dxa"/>
              <w:right w:w="120" w:type="dxa"/>
            </w:tcMar>
          </w:tcPr>
          <w:p>
            <w:pPr>
              <w:spacing w:before="0" w:after="0" w:line="276" w:lineRule="auto"/>
            </w:pPr>
            <w:r>
              <w:rPr>
                <w:rFonts w:ascii="Calibri" w:hAnsi="Calibri"/>
                <w:b/>
                <w:sz w:val="18"/>
                <w:szCs w:val="18"/>
              </w:rPr>
              <w:t xml:space="preserve">Saturation de la tipline.</w:t>
            </w:r>
          </w:p>
        </w:tc>
        <w:tc>
          <w:tcPr>
            <w:tcW w:w="1600" w:type="dxa"/>
            <w:tcMar>
              <w:top w:w="80" w:type="dxa"/>
              <w:bottom w:w="80" w:type="dxa"/>
              <w:left w:w="120" w:type="dxa"/>
              <w:right w:w="120" w:type="dxa"/>
            </w:tcMar>
          </w:tcPr>
          <w:p>
            <w:pPr>
              <w:spacing w:before="0" w:after="0" w:line="276" w:lineRule="auto"/>
            </w:pPr>
            <w:r>
              <w:rPr>
                <w:rFonts w:ascii="Calibri" w:hAnsi="Calibri"/>
                <w:sz w:val="18"/>
                <w:szCs w:val="18"/>
              </w:rPr>
              <w:t xml:space="preserve">Moyenne, en cas de succès</w:t>
            </w:r>
          </w:p>
        </w:tc>
        <w:tc>
          <w:tcPr>
            <w:tcW w:w="4960" w:type="dxa"/>
            <w:tcMar>
              <w:top w:w="80" w:type="dxa"/>
              <w:bottom w:w="80" w:type="dxa"/>
              <w:left w:w="120" w:type="dxa"/>
              <w:right w:w="120" w:type="dxa"/>
            </w:tcMar>
          </w:tcPr>
          <w:p>
            <w:pPr>
              <w:spacing w:before="0" w:after="0" w:line="276" w:lineRule="auto"/>
            </w:pPr>
            <w:r>
              <w:rPr>
                <w:rFonts w:ascii="Calibri" w:hAnsi="Calibri"/>
                <w:sz w:val="18"/>
                <w:szCs w:val="18"/>
              </w:rPr>
              <w:t xml:space="preserve">Réponse automatique honnête sur les délais, priorisation par vitesse de propagation — le mécanisme existe déjà dans le produit.</w:t>
            </w:r>
          </w:p>
        </w:tc>
      </w:tr>
      <w:tr>
        <w:tc>
          <w:tcPr>
            <w:tcW w:w="2800" w:type="dxa"/>
            <w:tcMar>
              <w:top w:w="80" w:type="dxa"/>
              <w:bottom w:w="80" w:type="dxa"/>
              <w:left w:w="120" w:type="dxa"/>
              <w:right w:w="120" w:type="dxa"/>
            </w:tcMar>
          </w:tcPr>
          <w:p>
            <w:pPr>
              <w:spacing w:before="0" w:after="0" w:line="276" w:lineRule="auto"/>
            </w:pPr>
            <w:r>
              <w:rPr>
                <w:rFonts w:ascii="Calibri" w:hAnsi="Calibri"/>
                <w:b/>
                <w:sz w:val="18"/>
                <w:szCs w:val="18"/>
              </w:rPr>
              <w:t xml:space="preserve">Communication sur des capacités simulées.</w:t>
            </w:r>
          </w:p>
        </w:tc>
        <w:tc>
          <w:tcPr>
            <w:tcW w:w="1600" w:type="dxa"/>
            <w:tcMar>
              <w:top w:w="80" w:type="dxa"/>
              <w:bottom w:w="80" w:type="dxa"/>
              <w:left w:w="120" w:type="dxa"/>
              <w:right w:w="120" w:type="dxa"/>
            </w:tcMar>
          </w:tcPr>
          <w:p>
            <w:pPr>
              <w:spacing w:before="0" w:after="0" w:line="276" w:lineRule="auto"/>
            </w:pPr>
            <w:r>
              <w:rPr>
                <w:rFonts w:ascii="Calibri" w:hAnsi="Calibri"/>
                <w:sz w:val="18"/>
                <w:szCs w:val="18"/>
              </w:rPr>
              <w:t xml:space="preserve">Faible mais fatale</w:t>
            </w:r>
          </w:p>
        </w:tc>
        <w:tc>
          <w:tcPr>
            <w:tcW w:w="4960" w:type="dxa"/>
            <w:tcMar>
              <w:top w:w="80" w:type="dxa"/>
              <w:bottom w:w="80" w:type="dxa"/>
              <w:left w:w="120" w:type="dxa"/>
              <w:right w:w="120" w:type="dxa"/>
            </w:tcMar>
          </w:tcPr>
          <w:p>
            <w:pPr>
              <w:spacing w:before="0" w:after="0" w:line="276" w:lineRule="auto"/>
            </w:pPr>
            <w:r>
              <w:rPr>
                <w:rFonts w:ascii="Calibri" w:hAnsi="Calibri"/>
                <w:sz w:val="18"/>
                <w:szCs w:val="18"/>
              </w:rPr>
              <w:t xml:space="preserve">Interdiction absolue de communiquer sur les moteurs d'analyse tant qu'ils tournent en mode simulé.</w:t>
            </w:r>
          </w:p>
        </w:tc>
      </w:tr>
    </w:tbl>
    <w:p>
      <w:pPr>
        <w:spacing w:before="0" w:after="160" w:line="276" w:lineRule="auto"/>
      </w:pPr>
    </w:p>
    <w:p>
      <w:r>
        <w:br w:type="page"/>
      </w:r>
    </w:p>
    <w:p>
      <w:pPr>
        <w:spacing w:before="360" w:after="140" w:line="276" w:lineRule="auto"/>
      </w:pPr>
      <w:r>
        <w:rPr>
          <w:rFonts w:ascii="Calibri" w:hAnsi="Calibri"/>
          <w:b/>
          <w:color w:val="067A35"/>
          <w:sz w:val="36"/>
          <w:szCs w:val="36"/>
        </w:rPr>
        <w:t xml:space="preserve">12. Ce que ce document ne dit pas</w:t>
      </w:r>
    </w:p>
    <w:p>
      <w:pPr>
        <w:spacing w:before="0" w:after="120" w:line="276" w:lineRule="auto"/>
      </w:pPr>
      <w:r>
        <w:rPr>
          <w:rFonts w:ascii="Calibri" w:hAnsi="Calibri"/>
        </w:rPr>
        <w:t xml:space="preserve">Un plan qui prétend tout couvrir se trompe quelque part sans le signaler. Voici ses limites connues.</w:t>
      </w:r>
    </w:p>
    <w:p>
      <w:pPr>
        <w:numPr>
          <w:ilvl w:val="0"/>
          <w:numId w:val="1"/>
        </w:numPr>
        <w:spacing w:before="0" w:after="120" w:line="276" w:lineRule="auto"/>
      </w:pPr>
      <w:r>
        <w:rPr>
          <w:rFonts w:ascii="Calibri" w:hAnsi="Calibri"/>
          <w:b/>
        </w:rPr>
        <w:t xml:space="preserve">Aucun budget chiffré.</w:t>
      </w:r>
      <w:r>
        <w:rPr>
          <w:rFonts w:ascii="Calibri" w:hAnsi="Calibri"/>
        </w:rPr>
        <w:t xml:space="preserve"> Les arbitrages financiers dépendent de ressources que ce document ne connaît pas. Les actions sont classées par rendement, ce qui permet de couper par le bas si nécessaire.</w:t>
      </w:r>
    </w:p>
    <w:p>
      <w:pPr>
        <w:numPr>
          <w:ilvl w:val="0"/>
          <w:numId w:val="1"/>
        </w:numPr>
        <w:spacing w:before="0" w:after="120" w:line="276" w:lineRule="auto"/>
      </w:pPr>
      <w:r>
        <w:rPr>
          <w:rFonts w:ascii="Calibri" w:hAnsi="Calibri"/>
          <w:b/>
        </w:rPr>
        <w:t xml:space="preserve">Aucune date calendaire ferme.</w:t>
      </w:r>
      <w:r>
        <w:rPr>
          <w:rFonts w:ascii="Calibri" w:hAnsi="Calibri"/>
        </w:rPr>
        <w:t xml:space="preserve"> Le calendrier est construit sur des cycles récurrents — rentrée, examens, saison des bourses — et non sur des échéances politiques ou sanitaires qu'il faudrait confirmer auprès des sources officielles avant toute campagne.</w:t>
      </w:r>
    </w:p>
    <w:p>
      <w:pPr>
        <w:numPr>
          <w:ilvl w:val="0"/>
          <w:numId w:val="1"/>
        </w:numPr>
        <w:spacing w:before="0" w:after="120" w:line="276" w:lineRule="auto"/>
      </w:pPr>
      <w:r>
        <w:rPr>
          <w:rFonts w:ascii="Calibri" w:hAnsi="Calibri"/>
          <w:b/>
        </w:rPr>
        <w:t xml:space="preserve">Aucune projection chiffrée d'audience.</w:t>
      </w:r>
      <w:r>
        <w:rPr>
          <w:rFonts w:ascii="Calibri" w:hAnsi="Calibri"/>
        </w:rPr>
        <w:t xml:space="preserve"> Annoncer un nombre d'abonnés à douze mois sans données de départ serait inventer. Les cibles se fixent après le premier trimestre, sur des mesures réelles.</w:t>
      </w:r>
    </w:p>
    <w:p>
      <w:pPr>
        <w:numPr>
          <w:ilvl w:val="0"/>
          <w:numId w:val="1"/>
        </w:numPr>
        <w:spacing w:before="0" w:after="120" w:line="276" w:lineRule="auto"/>
      </w:pPr>
      <w:r>
        <w:rPr>
          <w:rFonts w:ascii="Calibri" w:hAnsi="Calibri"/>
          <w:b/>
        </w:rPr>
        <w:t xml:space="preserve">La stratégie anglophone est suspendue à une décision technique.</w:t>
      </w:r>
      <w:r>
        <w:rPr>
          <w:rFonts w:ascii="Calibri" w:hAnsi="Calibri"/>
        </w:rPr>
        <w:t xml:space="preserve"> Le site est intégralement traduit, mais la langue vit en session et non dans l'URL : un moteur de recherche ne voit que le français. Toute campagne régionale anglophone doit attendre cet arbitrage, sous peine de conduire vers des pages que Google n'indexe pas.</w:t>
      </w:r>
    </w:p>
    <w:tbl>
      <w:tblPr>
        <w:tblW w:w="9360" w:type="dxa"/>
        <w:tblBorders>
          <w:top w:val="single" w:sz="4" w:space="0" w:color="9BE0B8"/>
          <w:left w:val="single" w:sz="18" w:space="0" w:color="09B850"/>
          <w:bottom w:val="single" w:sz="4" w:space="0" w:color="9BE0B8"/>
          <w:right w:val="single" w:sz="4" w:space="0" w:color="9BE0B8"/>
        </w:tblBorders>
      </w:tblPr>
      <w:tr>
        <w:tc>
          <w:tcPr>
            <w:tcW w:w="9360" w:type="dxa"/>
            <w:shd w:val="clear" w:fill="F4FBF7"/>
            <w:tcMar>
              <w:top w:w="160" w:type="dxa"/>
              <w:bottom w:w="160" w:type="dxa"/>
              <w:left w:w="200" w:type="dxa"/>
              <w:right w:w="200" w:type="dxa"/>
            </w:tcMar>
          </w:tcPr>
          <w:p>
            <w:pPr>
              <w:spacing w:before="0" w:after="80" w:line="276" w:lineRule="auto"/>
            </w:pPr>
            <w:r>
              <w:rPr>
                <w:rFonts w:ascii="Calibri" w:hAnsi="Calibri"/>
                <w:b/>
                <w:color w:val="067A35"/>
                <w:sz w:val="22"/>
                <w:szCs w:val="22"/>
              </w:rPr>
              <w:t xml:space="preserve">La seule chose à retenir si tout le reste est oublié</w:t>
            </w:r>
          </w:p>
          <w:p>
            <w:pPr>
              <w:spacing w:before="0" w:after="80" w:line="276" w:lineRule="auto"/>
            </w:pPr>
            <w:r>
              <w:rPr>
                <w:rFonts w:ascii="Calibri" w:hAnsi="Calibri"/>
                <w:sz w:val="20"/>
                <w:szCs w:val="20"/>
              </w:rPr>
              <w:t xml:space="preserve">Un démenti ne circule que si quelqu'un le partage.</w:t>
            </w:r>
          </w:p>
          <w:p>
            <w:pPr>
              <w:spacing w:before="0" w:after="80" w:line="276" w:lineRule="auto"/>
            </w:pPr>
            <w:r>
              <w:rPr>
                <w:rFonts w:ascii="Calibri" w:hAnsi="Calibri"/>
                <w:sz w:val="20"/>
                <w:szCs w:val="20"/>
              </w:rPr>
              <w:t xml:space="preserve">Tout ce programme — la tipline, les cartes de démenti, l'Académie, les ambassadeurs — n'est qu'une façon d'augmenter le nombre de personnes disposées à faire ce geste-là.</w:t>
            </w:r>
          </w:p>
        </w:tc>
      </w:tr>
    </w:tbl>
    <w:p>
      <w:pPr>
        <w:spacing w:before="0" w:after="160" w:line="276" w:lineRule="auto"/>
      </w:pPr>
    </w:p>
    <w:p>
      <w:pPr>
        <w:spacing w:before="0" w:after="400" w:line="276" w:lineRule="auto"/>
      </w:pPr>
    </w:p>
    <w:p>
      <w:pPr>
        <w:jc w:val="center"/>
        <w:spacing w:before="0" w:after="120" w:line="276" w:lineRule="auto"/>
      </w:pPr>
      <w:r>
        <w:rPr>
          <w:rFonts w:ascii="Calibri" w:hAnsi="Calibri"/>
          <w:color w:val="7A8C83"/>
          <w:sz w:val="18"/>
          <w:szCs w:val="18"/>
        </w:rPr>
        <w:t xml:space="preserve">Document de travail — Vérif'All · Cotonou, Bénin</w:t>
      </w:r>
    </w:p>
    <w:sectPr>
      <w:pgSz w:w="11906" w:h="16838"/>
      <w:pgMar w:top="1134" w:right="1134" w:bottom="1134" w:left="1134"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360" w:hanging="220"/>
      </w:pPr>
      <w:rPr>
        <w:rFonts w:ascii="Calibri" w:hAnsi="Calibri"/>
        <w:color w:val="09B850"/>
      </w:rPr>
    </w:lvl>
    <w:lvl w:ilvl="1">
      <w:start w:val="1"/>
      <w:numFmt w:val="bullet"/>
      <w:lvlText w:val="–"/>
      <w:lvlJc w:val="left"/>
      <w:pPr>
        <w:ind w:left="720" w:hanging="220"/>
      </w:pPr>
      <w:rPr>
        <w:rFonts w:ascii="Calibri" w:hAnsi="Calibri"/>
        <w:color w:val="7A8C83"/>
      </w:r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1"/>
        <w:szCs w:val="21"/>
        <w:color w:val="1F2A24"/>
        <w:lang w:val="fr-FR"/>
      </w:rPr>
    </w:r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dc:title>Vérif'All — Programme de communication, de visibilité et de contenu</dc:title>
  <dc:creator>Vérif'All</dc:creator>
  <cp:lastModifiedBy>Vérif'All</cp:lastModifiedBy>
</cp:coreProperties>
</file>