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0"/>
      </w:tblGrid>
      <w:tr w:rsidR="0074042A" w14:paraId="0671FCFC" w14:textId="77777777" w:rsidTr="0074042A">
        <w:trPr>
          <w:cantSplit/>
          <w:trHeight w:val="7416"/>
        </w:trPr>
        <w:tc>
          <w:tcPr>
            <w:tcW w:w="9360" w:type="dxa"/>
          </w:tcPr>
          <w:p w14:paraId="1717F41F" w14:textId="77777777" w:rsidR="0074042A" w:rsidRPr="006F1399" w:rsidRDefault="0074042A" w:rsidP="009F5804"/>
          <w:sdt>
            <w:sdtPr>
              <w:rPr>
                <w:sz w:val="32"/>
                <w:szCs w:val="32"/>
              </w:rPr>
              <w:id w:val="929172788"/>
              <w:lock w:val="sdtLocked"/>
              <w:placeholder>
                <w:docPart w:val="2FE410A0B90642D39FB7612850054D8E"/>
              </w:placeholder>
            </w:sdtPr>
            <w:sdtEndPr/>
            <w:sdtContent>
              <w:p w14:paraId="71B8315D" w14:textId="77777777" w:rsidR="003F3A58" w:rsidRDefault="003F3A58" w:rsidP="00526F41">
                <w:pPr>
                  <w:pStyle w:val="CPHead1"/>
                  <w:contextualSpacing/>
                  <w:rPr>
                    <w:sz w:val="32"/>
                    <w:szCs w:val="32"/>
                  </w:rPr>
                </w:pPr>
              </w:p>
              <w:p w14:paraId="46BFD8FD" w14:textId="77777777" w:rsidR="003F3A58" w:rsidRDefault="003F3A58" w:rsidP="00526F41">
                <w:pPr>
                  <w:pStyle w:val="CPHead1"/>
                  <w:contextualSpacing/>
                  <w:rPr>
                    <w:sz w:val="32"/>
                    <w:szCs w:val="32"/>
                  </w:rPr>
                </w:pPr>
              </w:p>
              <w:p w14:paraId="71668921" w14:textId="2C5E45DA" w:rsidR="003F3A58" w:rsidRPr="003F3A58" w:rsidRDefault="00612375" w:rsidP="00526F41">
                <w:pPr>
                  <w:pStyle w:val="CPHead1"/>
                  <w:contextualSpacing/>
                  <w:rPr>
                    <w:sz w:val="48"/>
                    <w:szCs w:val="48"/>
                  </w:rPr>
                </w:pPr>
                <w:r>
                  <w:rPr>
                    <w:sz w:val="48"/>
                    <w:szCs w:val="48"/>
                  </w:rPr>
                  <w:t>Small Area Population Estimates for 2021 through 2030</w:t>
                </w:r>
                <w:r w:rsidR="003F3A58" w:rsidRPr="003F3A58">
                  <w:rPr>
                    <w:sz w:val="48"/>
                    <w:szCs w:val="48"/>
                  </w:rPr>
                  <w:t xml:space="preserve"> </w:t>
                </w:r>
              </w:p>
              <w:p w14:paraId="0CFD0BE0" w14:textId="36C6808F" w:rsidR="0074042A" w:rsidRPr="003F3A58" w:rsidRDefault="00A8011B" w:rsidP="00526F41">
                <w:pPr>
                  <w:pStyle w:val="CPHead1"/>
                  <w:rPr>
                    <w:sz w:val="32"/>
                    <w:szCs w:val="32"/>
                  </w:rPr>
                </w:pPr>
              </w:p>
            </w:sdtContent>
          </w:sdt>
          <w:p w14:paraId="62BD5635" w14:textId="77777777" w:rsidR="0074042A" w:rsidRDefault="0074042A" w:rsidP="0097329B">
            <w:pPr>
              <w:spacing w:after="480" w:line="240" w:lineRule="auto"/>
              <w:rPr>
                <w:color w:val="000000" w:themeColor="text1"/>
                <w:sz w:val="16"/>
                <w:szCs w:val="16"/>
              </w:rPr>
            </w:pPr>
          </w:p>
          <w:p w14:paraId="14A1142F" w14:textId="77777777" w:rsidR="0074042A" w:rsidRPr="00C56DE4" w:rsidRDefault="0074042A" w:rsidP="00526F41">
            <w:pPr>
              <w:pStyle w:val="CPHead2"/>
            </w:pPr>
          </w:p>
          <w:p w14:paraId="02901C41" w14:textId="77777777" w:rsidR="0074042A" w:rsidRDefault="0074042A" w:rsidP="0097329B">
            <w:pPr>
              <w:spacing w:after="480" w:line="240" w:lineRule="auto"/>
              <w:rPr>
                <w:color w:val="000000" w:themeColor="text1"/>
                <w:sz w:val="16"/>
                <w:szCs w:val="16"/>
              </w:rPr>
            </w:pPr>
          </w:p>
          <w:p w14:paraId="6D98A089" w14:textId="0F419AE0" w:rsidR="0074042A" w:rsidRPr="002E3B80" w:rsidRDefault="00612375" w:rsidP="00526F41">
            <w:pPr>
              <w:pStyle w:val="CPHead3"/>
            </w:pPr>
            <w:r>
              <w:t>Prepared for the Massachusetts Department of Public Health</w:t>
            </w:r>
          </w:p>
          <w:p w14:paraId="13538715" w14:textId="77777777" w:rsidR="0074042A" w:rsidRDefault="0074042A" w:rsidP="00526F41">
            <w:pPr>
              <w:spacing w:after="0" w:line="240" w:lineRule="auto"/>
              <w:rPr>
                <w:color w:val="000000" w:themeColor="text1"/>
                <w:sz w:val="16"/>
                <w:szCs w:val="16"/>
              </w:rPr>
            </w:pPr>
          </w:p>
        </w:tc>
      </w:tr>
      <w:tr w:rsidR="00526F41" w14:paraId="7DD4CB71" w14:textId="77777777" w:rsidTr="0097329B">
        <w:trPr>
          <w:cantSplit/>
          <w:trHeight w:hRule="exact" w:val="576"/>
        </w:trPr>
        <w:tc>
          <w:tcPr>
            <w:tcW w:w="9360" w:type="dxa"/>
          </w:tcPr>
          <w:p w14:paraId="5E03068B" w14:textId="60F99B70" w:rsidR="00526F41" w:rsidRPr="00A400CC" w:rsidRDefault="00001EAB" w:rsidP="00BE4B0B">
            <w:pPr>
              <w:pStyle w:val="Date"/>
              <w:spacing w:before="20"/>
              <w:rPr>
                <w:color w:val="404040" w:themeColor="text1" w:themeTint="BF"/>
              </w:rPr>
            </w:pPr>
            <w:r w:rsidRPr="00A400CC">
              <w:rPr>
                <w:color w:val="404040" w:themeColor="text1" w:themeTint="BF"/>
              </w:rPr>
              <w:t xml:space="preserve">May </w:t>
            </w:r>
            <w:r w:rsidR="00180C61" w:rsidRPr="00A400CC">
              <w:rPr>
                <w:color w:val="404040" w:themeColor="text1" w:themeTint="BF"/>
              </w:rPr>
              <w:t>8, 2025</w:t>
            </w:r>
          </w:p>
          <w:p w14:paraId="351EE8C6" w14:textId="77777777" w:rsidR="00526F41" w:rsidRDefault="00526F41" w:rsidP="00C56DE4">
            <w:pPr>
              <w:spacing w:after="840" w:line="240" w:lineRule="auto"/>
              <w:rPr>
                <w:color w:val="000000" w:themeColor="text1"/>
                <w:sz w:val="16"/>
                <w:szCs w:val="16"/>
              </w:rPr>
            </w:pPr>
          </w:p>
        </w:tc>
      </w:tr>
      <w:tr w:rsidR="00F04620" w14:paraId="4248BB04" w14:textId="77777777" w:rsidTr="0097329B">
        <w:trPr>
          <w:cantSplit/>
          <w:trHeight w:hRule="exact" w:val="576"/>
        </w:trPr>
        <w:tc>
          <w:tcPr>
            <w:tcW w:w="9360" w:type="dxa"/>
          </w:tcPr>
          <w:p w14:paraId="678DB43F" w14:textId="77777777" w:rsidR="00F04620" w:rsidRDefault="00F04620" w:rsidP="00F04620">
            <w:pPr>
              <w:pStyle w:val="Date"/>
              <w:spacing w:before="20"/>
              <w:ind w:left="0"/>
            </w:pPr>
          </w:p>
        </w:tc>
      </w:tr>
    </w:tbl>
    <w:p w14:paraId="7B3B5208" w14:textId="77777777" w:rsidR="005A1932" w:rsidRPr="00C56DE4" w:rsidRDefault="005A1932" w:rsidP="00C56DE4">
      <w:pPr>
        <w:spacing w:after="0" w:line="240" w:lineRule="auto"/>
        <w:rPr>
          <w:sz w:val="16"/>
          <w:szCs w:val="16"/>
        </w:rPr>
      </w:pPr>
    </w:p>
    <w:p w14:paraId="2DC6E4FC" w14:textId="77777777" w:rsidR="005A1932" w:rsidRPr="00C56DE4" w:rsidRDefault="005A1932" w:rsidP="00C56DE4">
      <w:pPr>
        <w:spacing w:after="0" w:line="240" w:lineRule="auto"/>
        <w:rPr>
          <w:sz w:val="16"/>
          <w:szCs w:val="16"/>
        </w:rPr>
        <w:sectPr w:rsidR="005A1932" w:rsidRPr="00C56DE4" w:rsidSect="00724A69">
          <w:headerReference w:type="default" r:id="rId11"/>
          <w:footerReference w:type="default" r:id="rId12"/>
          <w:pgSz w:w="12240" w:h="15840" w:code="1"/>
          <w:pgMar w:top="1440" w:right="1440" w:bottom="2520" w:left="1440" w:header="720" w:footer="720" w:gutter="0"/>
          <w:cols w:space="720"/>
          <w:docGrid w:linePitch="360"/>
        </w:sectPr>
      </w:pPr>
    </w:p>
    <w:p w14:paraId="72AF0387" w14:textId="0AE23D2C" w:rsidR="00D317AA" w:rsidRPr="00FB5061" w:rsidRDefault="00612375" w:rsidP="00FB5061">
      <w:pPr>
        <w:pStyle w:val="TPHead"/>
        <w:rPr>
          <w:i/>
        </w:rPr>
      </w:pPr>
      <w:bookmarkStart w:id="2" w:name="bmkTitlePageOptionalSubtitle"/>
      <w:bookmarkEnd w:id="2"/>
      <w:r>
        <w:rPr>
          <w:noProof/>
        </w:rPr>
        <w:lastRenderedPageBreak/>
        <w:t>Small Area Population Estimates for 2021 through 2030: Prepared for the Massachusetts Department of Public Helath</w:t>
      </w:r>
    </w:p>
    <w:p w14:paraId="5F44A2EF" w14:textId="77777777" w:rsidR="00384B45" w:rsidRDefault="00384B45" w:rsidP="00154506">
      <w:pPr>
        <w:pStyle w:val="TPClient"/>
      </w:pPr>
      <w:r w:rsidRPr="00384B45">
        <w:t>Prepared by the UMass Donahue Institute</w:t>
      </w:r>
      <w:bookmarkStart w:id="3" w:name="bmkTitlePageUMDIDeleteStub"/>
      <w:r w:rsidRPr="00384B45">
        <w:t>’s</w:t>
      </w:r>
      <w:r w:rsidR="00154506">
        <w:br/>
      </w:r>
      <w:bookmarkEnd w:id="3"/>
      <w:r w:rsidR="00033E73">
        <w:t>Economic &amp; Public Policy Research Group</w:t>
      </w:r>
    </w:p>
    <w:tbl>
      <w:tblPr>
        <w:tblStyle w:val="TableGrid"/>
        <w:tblW w:w="9360" w:type="dxa"/>
        <w:tblBorders>
          <w:top w:val="single" w:sz="4" w:space="0" w:color="262626" w:themeColor="text1" w:themeTint="D9"/>
          <w:left w:val="none" w:sz="0" w:space="0" w:color="auto"/>
          <w:bottom w:val="single" w:sz="4" w:space="0" w:color="262626" w:themeColor="text1" w:themeTint="D9"/>
          <w:right w:val="none" w:sz="0" w:space="0" w:color="auto"/>
          <w:insideH w:val="none" w:sz="0" w:space="0" w:color="auto"/>
          <w:insideV w:val="none" w:sz="0" w:space="0" w:color="auto"/>
        </w:tblBorders>
        <w:tblLayout w:type="fixed"/>
        <w:tblCellMar>
          <w:top w:w="288" w:type="dxa"/>
          <w:left w:w="0" w:type="dxa"/>
          <w:bottom w:w="360" w:type="dxa"/>
          <w:right w:w="0" w:type="dxa"/>
        </w:tblCellMar>
        <w:tblLook w:val="04A0" w:firstRow="1" w:lastRow="0" w:firstColumn="1" w:lastColumn="0" w:noHBand="0" w:noVBand="1"/>
      </w:tblPr>
      <w:tblGrid>
        <w:gridCol w:w="4680"/>
        <w:gridCol w:w="4670"/>
        <w:gridCol w:w="10"/>
      </w:tblGrid>
      <w:tr w:rsidR="000D57AC" w:rsidRPr="00154506" w14:paraId="1AE22A01" w14:textId="77777777" w:rsidTr="00F20978">
        <w:trPr>
          <w:trHeight w:val="20"/>
        </w:trPr>
        <w:tc>
          <w:tcPr>
            <w:tcW w:w="4680" w:type="dxa"/>
            <w:tcBorders>
              <w:top w:val="single" w:sz="4" w:space="0" w:color="999B9E"/>
              <w:bottom w:val="nil"/>
            </w:tcBorders>
            <w:tcMar>
              <w:left w:w="720" w:type="dxa"/>
            </w:tcMar>
          </w:tcPr>
          <w:p w14:paraId="672B95BF" w14:textId="77777777" w:rsidR="000D57AC" w:rsidRPr="006936DE" w:rsidRDefault="000D57AC" w:rsidP="00612AB0">
            <w:pPr>
              <w:pStyle w:val="Emphasize"/>
            </w:pPr>
            <w:r w:rsidRPr="006936DE">
              <w:t>Project Leader</w:t>
            </w:r>
          </w:p>
          <w:p w14:paraId="71AF2DED" w14:textId="77777777" w:rsidR="001C4382" w:rsidRDefault="00E24727" w:rsidP="006936DE">
            <w:pPr>
              <w:pStyle w:val="BodyTextNoSpace"/>
            </w:pPr>
            <w:r>
              <w:t>Susan Strate</w:t>
            </w:r>
            <w:r w:rsidR="00703EE8">
              <w:t>, Senior Manager</w:t>
            </w:r>
            <w:r w:rsidR="001C4382">
              <w:t xml:space="preserve">, </w:t>
            </w:r>
          </w:p>
          <w:p w14:paraId="0E1CA1F2" w14:textId="18CC5395" w:rsidR="00511462" w:rsidRPr="00511462" w:rsidRDefault="001C4382" w:rsidP="006936DE">
            <w:pPr>
              <w:pStyle w:val="BodyTextNoSpace"/>
            </w:pPr>
            <w:r>
              <w:t>Population Estimates Program</w:t>
            </w:r>
          </w:p>
          <w:p w14:paraId="7B7D876B" w14:textId="77777777" w:rsidR="00A928CC" w:rsidRPr="006936DE" w:rsidRDefault="000D57AC" w:rsidP="00612AB0">
            <w:pPr>
              <w:pStyle w:val="Emphasize"/>
            </w:pPr>
            <w:r w:rsidRPr="006936DE">
              <w:t>Project Staff</w:t>
            </w:r>
          </w:p>
          <w:p w14:paraId="4C5EBE7F" w14:textId="77777777" w:rsidR="000D57AC" w:rsidRDefault="00E24727" w:rsidP="008E6703">
            <w:pPr>
              <w:pStyle w:val="BodyTextNoSpace"/>
            </w:pPr>
            <w:r>
              <w:t>Meghan Flanagan</w:t>
            </w:r>
            <w:r w:rsidR="00A146B3">
              <w:t xml:space="preserve">, </w:t>
            </w:r>
            <w:r w:rsidR="00703EE8">
              <w:t xml:space="preserve">Senior </w:t>
            </w:r>
            <w:r w:rsidR="00A146B3">
              <w:t>Research Analyst</w:t>
            </w:r>
          </w:p>
          <w:p w14:paraId="43916487" w14:textId="2AAFAF85" w:rsidR="00612375" w:rsidRDefault="00612375" w:rsidP="008E6703">
            <w:pPr>
              <w:pStyle w:val="BodyTextNoSpace"/>
            </w:pPr>
            <w:r>
              <w:t>Thomas Peake, Senior Research Analyst</w:t>
            </w:r>
          </w:p>
          <w:p w14:paraId="1BEBC96C" w14:textId="79738457" w:rsidR="00612375" w:rsidRDefault="00612375" w:rsidP="008E6703">
            <w:pPr>
              <w:pStyle w:val="BodyTextNoSpace"/>
            </w:pPr>
            <w:r>
              <w:t>Jacob Harrington, Research Analyst II</w:t>
            </w:r>
          </w:p>
          <w:p w14:paraId="1DAA4011" w14:textId="2670AD4A" w:rsidR="00612375" w:rsidRPr="006936DE" w:rsidRDefault="00612375" w:rsidP="008E6703">
            <w:pPr>
              <w:pStyle w:val="BodyTextNoSpace"/>
            </w:pPr>
            <w:r>
              <w:t>Denis McAuliffe, Research Analyst II</w:t>
            </w:r>
          </w:p>
        </w:tc>
        <w:tc>
          <w:tcPr>
            <w:tcW w:w="4680" w:type="dxa"/>
            <w:gridSpan w:val="2"/>
            <w:tcBorders>
              <w:top w:val="single" w:sz="4" w:space="0" w:color="999B9E"/>
              <w:bottom w:val="nil"/>
            </w:tcBorders>
            <w:tcMar>
              <w:left w:w="720" w:type="dxa"/>
              <w:right w:w="720" w:type="dxa"/>
            </w:tcMar>
          </w:tcPr>
          <w:p w14:paraId="0278393E" w14:textId="77777777" w:rsidR="00612375" w:rsidRDefault="00612375" w:rsidP="00612AB0">
            <w:pPr>
              <w:pStyle w:val="Emphasize"/>
            </w:pPr>
            <w:r>
              <w:t xml:space="preserve">Research Assistants </w:t>
            </w:r>
          </w:p>
          <w:p w14:paraId="56C0F4B9" w14:textId="77777777" w:rsidR="00612375" w:rsidRPr="00612375" w:rsidRDefault="00612375" w:rsidP="00612AB0">
            <w:pPr>
              <w:pStyle w:val="Emphasize"/>
              <w:rPr>
                <w:b w:val="0"/>
                <w:bCs/>
              </w:rPr>
            </w:pPr>
            <w:r w:rsidRPr="00612375">
              <w:rPr>
                <w:b w:val="0"/>
                <w:bCs/>
              </w:rPr>
              <w:t>Aisling Donoghue</w:t>
            </w:r>
          </w:p>
          <w:p w14:paraId="48CFDBF2" w14:textId="77777777" w:rsidR="00612375" w:rsidRPr="00612375" w:rsidRDefault="00612375" w:rsidP="00612AB0">
            <w:pPr>
              <w:pStyle w:val="Emphasize"/>
              <w:rPr>
                <w:b w:val="0"/>
                <w:bCs/>
              </w:rPr>
            </w:pPr>
            <w:r w:rsidRPr="00612375">
              <w:rPr>
                <w:b w:val="0"/>
                <w:bCs/>
              </w:rPr>
              <w:t>Maxwell Williams</w:t>
            </w:r>
          </w:p>
          <w:p w14:paraId="4E0B58F0" w14:textId="77777777" w:rsidR="00612375" w:rsidRDefault="00612375" w:rsidP="00612AB0">
            <w:pPr>
              <w:pStyle w:val="Emphasize"/>
            </w:pPr>
          </w:p>
          <w:p w14:paraId="61B32813" w14:textId="6935BFC8" w:rsidR="00A146B3" w:rsidRPr="006936DE" w:rsidRDefault="00A146B3" w:rsidP="00612AB0">
            <w:pPr>
              <w:pStyle w:val="Emphasize"/>
            </w:pPr>
            <w:r w:rsidRPr="006936DE">
              <w:t>Unit Director</w:t>
            </w:r>
          </w:p>
          <w:p w14:paraId="3115581D" w14:textId="77777777" w:rsidR="000D57AC" w:rsidRPr="00154506" w:rsidRDefault="00A146B3" w:rsidP="006936DE">
            <w:pPr>
              <w:pStyle w:val="BodyTextNoSpace"/>
              <w:rPr>
                <w:color w:val="262626" w:themeColor="text1" w:themeTint="D9"/>
              </w:rPr>
            </w:pPr>
            <w:r>
              <w:rPr>
                <w:color w:val="262626" w:themeColor="text1" w:themeTint="D9"/>
              </w:rPr>
              <w:t>Mark Melnik,</w:t>
            </w:r>
            <w:r w:rsidRPr="00861BCC">
              <w:t xml:space="preserve"> Director of Economic &amp; Public Policy Research</w:t>
            </w:r>
          </w:p>
        </w:tc>
      </w:tr>
      <w:tr w:rsidR="00154506" w:rsidRPr="00154506" w14:paraId="6CE1523A" w14:textId="77777777" w:rsidTr="00F20978">
        <w:tblPrEx>
          <w:tblCellMar>
            <w:left w:w="720" w:type="dxa"/>
            <w:bottom w:w="259" w:type="dxa"/>
            <w:right w:w="720" w:type="dxa"/>
          </w:tblCellMar>
        </w:tblPrEx>
        <w:trPr>
          <w:gridAfter w:val="1"/>
          <w:wAfter w:w="10" w:type="dxa"/>
          <w:trHeight w:val="20"/>
        </w:trPr>
        <w:tc>
          <w:tcPr>
            <w:tcW w:w="9350" w:type="dxa"/>
            <w:gridSpan w:val="2"/>
            <w:tcBorders>
              <w:top w:val="single" w:sz="4" w:space="0" w:color="999B9E"/>
              <w:bottom w:val="single" w:sz="4" w:space="0" w:color="999B9E"/>
            </w:tcBorders>
          </w:tcPr>
          <w:p w14:paraId="71721731" w14:textId="77777777" w:rsidR="004E61E9" w:rsidRPr="00701B85" w:rsidRDefault="009235D5" w:rsidP="001345D9">
            <w:pPr>
              <w:rPr>
                <w:sz w:val="16"/>
                <w:szCs w:val="16"/>
              </w:rPr>
            </w:pPr>
            <w:bookmarkStart w:id="4" w:name="bmkTitleBlurbUMDI"/>
            <w:r w:rsidRPr="00701B85">
              <w:rPr>
                <w:sz w:val="16"/>
                <w:szCs w:val="16"/>
              </w:rPr>
              <w:t xml:space="preserve">Established in 1971, the UMass Donahue Institute is a public service, research, and economic </w:t>
            </w:r>
            <w:r w:rsidR="00BB1B35" w:rsidRPr="00701B85">
              <w:rPr>
                <w:sz w:val="16"/>
                <w:szCs w:val="16"/>
              </w:rPr>
              <w:t>development</w:t>
            </w:r>
            <w:r w:rsidRPr="00701B85">
              <w:rPr>
                <w:sz w:val="16"/>
                <w:szCs w:val="16"/>
              </w:rPr>
              <w:t xml:space="preserve"> arm of the University of Massachusetts. </w:t>
            </w:r>
            <w:r w:rsidR="00DE50EB" w:rsidRPr="00701B85">
              <w:rPr>
                <w:sz w:val="16"/>
                <w:szCs w:val="16"/>
              </w:rPr>
              <w:t xml:space="preserve">Our mission is </w:t>
            </w:r>
            <w:r w:rsidR="00042107" w:rsidRPr="00701B85">
              <w:rPr>
                <w:sz w:val="16"/>
                <w:szCs w:val="16"/>
              </w:rPr>
              <w:t>advancing</w:t>
            </w:r>
            <w:r w:rsidR="009F35A2" w:rsidRPr="00701B85">
              <w:rPr>
                <w:sz w:val="16"/>
                <w:szCs w:val="16"/>
              </w:rPr>
              <w:t xml:space="preserve"> equity and social justice, fostering healthy communities</w:t>
            </w:r>
            <w:r w:rsidR="003B7FFE" w:rsidRPr="00701B85">
              <w:rPr>
                <w:sz w:val="16"/>
                <w:szCs w:val="16"/>
              </w:rPr>
              <w:t>,</w:t>
            </w:r>
            <w:r w:rsidR="009F35A2" w:rsidRPr="00701B85">
              <w:rPr>
                <w:sz w:val="16"/>
                <w:szCs w:val="16"/>
              </w:rPr>
              <w:t xml:space="preserve"> and supporting inclusive economies that alleviate poverty and promote opportunity.</w:t>
            </w:r>
            <w:r w:rsidR="00042107" w:rsidRPr="00701B85">
              <w:rPr>
                <w:sz w:val="16"/>
                <w:szCs w:val="16"/>
              </w:rPr>
              <w:t xml:space="preserve"> </w:t>
            </w:r>
            <w:r w:rsidRPr="00701B85">
              <w:rPr>
                <w:sz w:val="16"/>
                <w:szCs w:val="16"/>
              </w:rPr>
              <w:t xml:space="preserve">We serve clients in the public, non-profit, and private sectors in the Commonwealth and throughout the nation and the world. For more information, </w:t>
            </w:r>
            <w:r w:rsidRPr="00701B85">
              <w:rPr>
                <w:sz w:val="16"/>
                <w:szCs w:val="16"/>
                <w:u w:val="single"/>
              </w:rPr>
              <w:t>www.donahue.umass.edu</w:t>
            </w:r>
            <w:r w:rsidRPr="00701B85">
              <w:rPr>
                <w:sz w:val="16"/>
                <w:szCs w:val="16"/>
              </w:rPr>
              <w:t>.</w:t>
            </w:r>
          </w:p>
          <w:p w14:paraId="40F0A0CC" w14:textId="77777777" w:rsidR="00FE0383" w:rsidRPr="00701B85" w:rsidRDefault="00FE0383" w:rsidP="001345D9">
            <w:pPr>
              <w:rPr>
                <w:sz w:val="16"/>
                <w:szCs w:val="16"/>
              </w:rPr>
            </w:pPr>
            <w:bookmarkStart w:id="5" w:name="bmkTitleBlurbEPPR"/>
            <w:bookmarkEnd w:id="4"/>
            <w:r w:rsidRPr="00701B85">
              <w:rPr>
                <w:sz w:val="16"/>
                <w:szCs w:val="16"/>
              </w:rPr>
              <w:t xml:space="preserve">The Institute’s Economic </w:t>
            </w:r>
            <w:r w:rsidR="00537E2B" w:rsidRPr="00701B85">
              <w:rPr>
                <w:sz w:val="16"/>
                <w:szCs w:val="16"/>
              </w:rPr>
              <w:t>&amp;</w:t>
            </w:r>
            <w:r w:rsidRPr="00701B85">
              <w:rPr>
                <w:sz w:val="16"/>
                <w:szCs w:val="16"/>
              </w:rPr>
              <w:t xml:space="preserve"> Public Policy Research (EPPR) group is a leading provider of applied research, helping clients make more informed decisions about strategic economic and public policy issues.</w:t>
            </w:r>
          </w:p>
          <w:p w14:paraId="6A557E76" w14:textId="77777777" w:rsidR="00FE0383" w:rsidRPr="00701B85" w:rsidRDefault="00FE0383" w:rsidP="001345D9">
            <w:pPr>
              <w:rPr>
                <w:sz w:val="16"/>
                <w:szCs w:val="16"/>
              </w:rPr>
            </w:pPr>
            <w:r w:rsidRPr="00701B85">
              <w:rPr>
                <w:sz w:val="16"/>
                <w:szCs w:val="16"/>
              </w:rPr>
              <w:t xml:space="preserve">EPPR produces in-depth economic impact and industry studies that help clients build credibility, gain visibility, educate constituents, and plan economic development initiatives. EPPR is known for providing unbiased economic analysis on state-level economic policy issues in Massachusetts and </w:t>
            </w:r>
            <w:r w:rsidR="00F37DBD" w:rsidRPr="00701B85">
              <w:rPr>
                <w:sz w:val="16"/>
                <w:szCs w:val="16"/>
              </w:rPr>
              <w:t>beyond and</w:t>
            </w:r>
            <w:r w:rsidRPr="00701B85">
              <w:rPr>
                <w:sz w:val="16"/>
                <w:szCs w:val="16"/>
              </w:rPr>
              <w:t xml:space="preserve"> has completed a number of industry studies on IT, defense industries, telecommunications, health care, and transportation. Their trademark publication is called </w:t>
            </w:r>
            <w:r w:rsidRPr="00701B85">
              <w:rPr>
                <w:i/>
                <w:sz w:val="16"/>
                <w:szCs w:val="16"/>
              </w:rPr>
              <w:t>MassBenchmarks</w:t>
            </w:r>
            <w:r w:rsidRPr="00701B85">
              <w:rPr>
                <w:sz w:val="16"/>
                <w:szCs w:val="16"/>
              </w:rPr>
              <w:t>, an economic journal that presents timely information concerning the performance of and prospects for the Massachusetts economy, including economic analyses of key industries that make up the economic base of the state.</w:t>
            </w:r>
            <w:bookmarkEnd w:id="5"/>
          </w:p>
        </w:tc>
      </w:tr>
    </w:tbl>
    <w:p w14:paraId="2ACF6AED" w14:textId="77777777" w:rsidR="003D6FE5" w:rsidRDefault="003D6FE5" w:rsidP="004E61E9">
      <w:pPr>
        <w:spacing w:after="0" w:line="240" w:lineRule="auto"/>
        <w:sectPr w:rsidR="003D6FE5" w:rsidSect="00724A69">
          <w:headerReference w:type="default" r:id="rId13"/>
          <w:footerReference w:type="default" r:id="rId14"/>
          <w:pgSz w:w="12240" w:h="15840"/>
          <w:pgMar w:top="1440" w:right="1440" w:bottom="2520" w:left="1440" w:header="720" w:footer="720" w:gutter="0"/>
          <w:cols w:space="720"/>
          <w:docGrid w:linePitch="360"/>
        </w:sectPr>
      </w:pPr>
    </w:p>
    <w:sdt>
      <w:sdtPr>
        <w:rPr>
          <w:rFonts w:asciiTheme="minorHAnsi" w:eastAsiaTheme="minorEastAsia" w:hAnsiTheme="minorHAnsi" w:cstheme="minorBidi"/>
          <w:b w:val="0"/>
          <w:color w:val="auto"/>
          <w:sz w:val="22"/>
          <w:szCs w:val="22"/>
        </w:rPr>
        <w:id w:val="63149453"/>
        <w:docPartObj>
          <w:docPartGallery w:val="Table of Contents"/>
          <w:docPartUnique/>
        </w:docPartObj>
      </w:sdtPr>
      <w:sdtEndPr>
        <w:rPr>
          <w:sz w:val="24"/>
          <w:szCs w:val="24"/>
        </w:rPr>
      </w:sdtEndPr>
      <w:sdtContent>
        <w:p w14:paraId="7245C689" w14:textId="77777777" w:rsidR="00A94256" w:rsidRDefault="00A94256">
          <w:pPr>
            <w:pStyle w:val="TOCHeading"/>
          </w:pPr>
          <w:r>
            <w:t>Table of Contents</w:t>
          </w:r>
        </w:p>
        <w:p w14:paraId="6915A87D" w14:textId="1CC13FD2" w:rsidR="00B355B9" w:rsidRDefault="00A94256">
          <w:pPr>
            <w:pStyle w:val="TOC1"/>
            <w:rPr>
              <w:rFonts w:eastAsiaTheme="minorEastAsia"/>
              <w:kern w:val="2"/>
              <w:szCs w:val="24"/>
              <w14:ligatures w14:val="standardContextual"/>
            </w:rPr>
          </w:pPr>
          <w:r w:rsidRPr="00453614">
            <w:rPr>
              <w:rFonts w:ascii="Calibri" w:hAnsi="Calibri" w:cs="Calibri"/>
              <w:szCs w:val="24"/>
            </w:rPr>
            <w:fldChar w:fldCharType="begin"/>
          </w:r>
          <w:r w:rsidRPr="00453614">
            <w:rPr>
              <w:rFonts w:ascii="Calibri" w:hAnsi="Calibri" w:cs="Calibri"/>
              <w:szCs w:val="24"/>
            </w:rPr>
            <w:instrText xml:space="preserve"> TOC \o "1-3" \h \z \u </w:instrText>
          </w:r>
          <w:r w:rsidRPr="00453614">
            <w:rPr>
              <w:rFonts w:ascii="Calibri" w:hAnsi="Calibri" w:cs="Calibri"/>
              <w:szCs w:val="24"/>
            </w:rPr>
            <w:fldChar w:fldCharType="separate"/>
          </w:r>
          <w:hyperlink w:anchor="_Toc197520517" w:history="1">
            <w:r w:rsidR="00B355B9" w:rsidRPr="00985F96">
              <w:rPr>
                <w:rStyle w:val="Hyperlink"/>
              </w:rPr>
              <w:t>List of Figures</w:t>
            </w:r>
            <w:r w:rsidR="00B355B9">
              <w:rPr>
                <w:webHidden/>
              </w:rPr>
              <w:tab/>
            </w:r>
            <w:r w:rsidR="00B355B9">
              <w:rPr>
                <w:webHidden/>
              </w:rPr>
              <w:fldChar w:fldCharType="begin"/>
            </w:r>
            <w:r w:rsidR="00B355B9">
              <w:rPr>
                <w:webHidden/>
              </w:rPr>
              <w:instrText xml:space="preserve"> PAGEREF _Toc197520517 \h </w:instrText>
            </w:r>
            <w:r w:rsidR="00B355B9">
              <w:rPr>
                <w:webHidden/>
              </w:rPr>
            </w:r>
            <w:r w:rsidR="00B355B9">
              <w:rPr>
                <w:webHidden/>
              </w:rPr>
              <w:fldChar w:fldCharType="separate"/>
            </w:r>
            <w:r w:rsidR="00B355B9">
              <w:rPr>
                <w:webHidden/>
              </w:rPr>
              <w:t>5</w:t>
            </w:r>
            <w:r w:rsidR="00B355B9">
              <w:rPr>
                <w:webHidden/>
              </w:rPr>
              <w:fldChar w:fldCharType="end"/>
            </w:r>
          </w:hyperlink>
        </w:p>
        <w:p w14:paraId="7EEDA8C9" w14:textId="4EB3541C" w:rsidR="00B355B9" w:rsidRDefault="00B355B9">
          <w:pPr>
            <w:pStyle w:val="TOC1"/>
            <w:rPr>
              <w:rFonts w:eastAsiaTheme="minorEastAsia"/>
              <w:kern w:val="2"/>
              <w:szCs w:val="24"/>
              <w14:ligatures w14:val="standardContextual"/>
            </w:rPr>
          </w:pPr>
          <w:hyperlink w:anchor="_Toc197520518" w:history="1">
            <w:r w:rsidRPr="00985F96">
              <w:rPr>
                <w:rStyle w:val="Hyperlink"/>
              </w:rPr>
              <w:t>Acknowledgments</w:t>
            </w:r>
            <w:r>
              <w:rPr>
                <w:webHidden/>
              </w:rPr>
              <w:tab/>
            </w:r>
            <w:r>
              <w:rPr>
                <w:webHidden/>
              </w:rPr>
              <w:fldChar w:fldCharType="begin"/>
            </w:r>
            <w:r>
              <w:rPr>
                <w:webHidden/>
              </w:rPr>
              <w:instrText xml:space="preserve"> PAGEREF _Toc197520518 \h </w:instrText>
            </w:r>
            <w:r>
              <w:rPr>
                <w:webHidden/>
              </w:rPr>
            </w:r>
            <w:r>
              <w:rPr>
                <w:webHidden/>
              </w:rPr>
              <w:fldChar w:fldCharType="separate"/>
            </w:r>
            <w:r>
              <w:rPr>
                <w:webHidden/>
              </w:rPr>
              <w:t>6</w:t>
            </w:r>
            <w:r>
              <w:rPr>
                <w:webHidden/>
              </w:rPr>
              <w:fldChar w:fldCharType="end"/>
            </w:r>
          </w:hyperlink>
        </w:p>
        <w:p w14:paraId="7E711E01" w14:textId="381121E6" w:rsidR="00B355B9" w:rsidRDefault="00B355B9">
          <w:pPr>
            <w:pStyle w:val="TOC1"/>
            <w:rPr>
              <w:rFonts w:eastAsiaTheme="minorEastAsia"/>
              <w:kern w:val="2"/>
              <w:szCs w:val="24"/>
              <w14:ligatures w14:val="standardContextual"/>
            </w:rPr>
          </w:pPr>
          <w:hyperlink w:anchor="_Toc197520519" w:history="1">
            <w:r w:rsidRPr="00985F96">
              <w:rPr>
                <w:rStyle w:val="Hyperlink"/>
              </w:rPr>
              <w:t>Background</w:t>
            </w:r>
            <w:r>
              <w:rPr>
                <w:webHidden/>
              </w:rPr>
              <w:tab/>
            </w:r>
            <w:r>
              <w:rPr>
                <w:webHidden/>
              </w:rPr>
              <w:fldChar w:fldCharType="begin"/>
            </w:r>
            <w:r>
              <w:rPr>
                <w:webHidden/>
              </w:rPr>
              <w:instrText xml:space="preserve"> PAGEREF _Toc197520519 \h </w:instrText>
            </w:r>
            <w:r>
              <w:rPr>
                <w:webHidden/>
              </w:rPr>
            </w:r>
            <w:r>
              <w:rPr>
                <w:webHidden/>
              </w:rPr>
              <w:fldChar w:fldCharType="separate"/>
            </w:r>
            <w:r>
              <w:rPr>
                <w:webHidden/>
              </w:rPr>
              <w:t>7</w:t>
            </w:r>
            <w:r>
              <w:rPr>
                <w:webHidden/>
              </w:rPr>
              <w:fldChar w:fldCharType="end"/>
            </w:r>
          </w:hyperlink>
        </w:p>
        <w:p w14:paraId="5498F749" w14:textId="0BD4D07B" w:rsidR="00B355B9" w:rsidRDefault="00B355B9">
          <w:pPr>
            <w:pStyle w:val="TOC1"/>
            <w:rPr>
              <w:rFonts w:eastAsiaTheme="minorEastAsia"/>
              <w:kern w:val="2"/>
              <w:szCs w:val="24"/>
              <w14:ligatures w14:val="standardContextual"/>
            </w:rPr>
          </w:pPr>
          <w:hyperlink w:anchor="_Toc197520520" w:history="1">
            <w:r w:rsidRPr="00985F96">
              <w:rPr>
                <w:rStyle w:val="Hyperlink"/>
              </w:rPr>
              <w:t>Method Overview</w:t>
            </w:r>
            <w:r>
              <w:rPr>
                <w:webHidden/>
              </w:rPr>
              <w:tab/>
            </w:r>
            <w:r>
              <w:rPr>
                <w:webHidden/>
              </w:rPr>
              <w:fldChar w:fldCharType="begin"/>
            </w:r>
            <w:r>
              <w:rPr>
                <w:webHidden/>
              </w:rPr>
              <w:instrText xml:space="preserve"> PAGEREF _Toc197520520 \h </w:instrText>
            </w:r>
            <w:r>
              <w:rPr>
                <w:webHidden/>
              </w:rPr>
            </w:r>
            <w:r>
              <w:rPr>
                <w:webHidden/>
              </w:rPr>
              <w:fldChar w:fldCharType="separate"/>
            </w:r>
            <w:r>
              <w:rPr>
                <w:webHidden/>
              </w:rPr>
              <w:t>9</w:t>
            </w:r>
            <w:r>
              <w:rPr>
                <w:webHidden/>
              </w:rPr>
              <w:fldChar w:fldCharType="end"/>
            </w:r>
          </w:hyperlink>
        </w:p>
        <w:p w14:paraId="0B538D28" w14:textId="7E04A9A7" w:rsidR="00B355B9" w:rsidRPr="00C823E7" w:rsidRDefault="00B355B9">
          <w:pPr>
            <w:pStyle w:val="TOC2"/>
            <w:rPr>
              <w:rFonts w:eastAsiaTheme="minorEastAsia"/>
              <w:noProof/>
              <w:kern w:val="2"/>
              <w:szCs w:val="24"/>
              <w14:ligatures w14:val="standardContextual"/>
            </w:rPr>
          </w:pPr>
          <w:hyperlink w:anchor="_Toc197520521" w:history="1">
            <w:r w:rsidRPr="00C823E7">
              <w:rPr>
                <w:rStyle w:val="Hyperlink"/>
                <w:rFonts w:eastAsia="Calibri"/>
                <w:noProof/>
                <w:color w:val="auto"/>
              </w:rPr>
              <w:t>Note on Assumptions and Special Cases</w:t>
            </w:r>
            <w:r w:rsidRPr="00C823E7">
              <w:rPr>
                <w:noProof/>
                <w:webHidden/>
              </w:rPr>
              <w:tab/>
            </w:r>
            <w:r w:rsidRPr="00C823E7">
              <w:rPr>
                <w:noProof/>
                <w:webHidden/>
              </w:rPr>
              <w:fldChar w:fldCharType="begin"/>
            </w:r>
            <w:r w:rsidRPr="00C823E7">
              <w:rPr>
                <w:noProof/>
                <w:webHidden/>
              </w:rPr>
              <w:instrText xml:space="preserve"> PAGEREF _Toc197520521 \h </w:instrText>
            </w:r>
            <w:r w:rsidRPr="00C823E7">
              <w:rPr>
                <w:noProof/>
                <w:webHidden/>
              </w:rPr>
            </w:r>
            <w:r w:rsidRPr="00C823E7">
              <w:rPr>
                <w:noProof/>
                <w:webHidden/>
              </w:rPr>
              <w:fldChar w:fldCharType="separate"/>
            </w:r>
            <w:r w:rsidRPr="00C823E7">
              <w:rPr>
                <w:noProof/>
                <w:webHidden/>
              </w:rPr>
              <w:t>11</w:t>
            </w:r>
            <w:r w:rsidRPr="00C823E7">
              <w:rPr>
                <w:noProof/>
                <w:webHidden/>
              </w:rPr>
              <w:fldChar w:fldCharType="end"/>
            </w:r>
          </w:hyperlink>
        </w:p>
        <w:p w14:paraId="1F5ADEA5" w14:textId="339DC812" w:rsidR="00B355B9" w:rsidRPr="00C823E7" w:rsidRDefault="00B355B9">
          <w:pPr>
            <w:pStyle w:val="TOC1"/>
            <w:rPr>
              <w:rFonts w:eastAsiaTheme="minorEastAsia"/>
              <w:kern w:val="2"/>
              <w:szCs w:val="24"/>
              <w14:ligatures w14:val="standardContextual"/>
            </w:rPr>
          </w:pPr>
          <w:hyperlink w:anchor="_Toc197520522" w:history="1">
            <w:r w:rsidRPr="00C823E7">
              <w:rPr>
                <w:rStyle w:val="Hyperlink"/>
                <w:color w:val="auto"/>
              </w:rPr>
              <w:t>Detailed Methodology</w:t>
            </w:r>
            <w:r w:rsidRPr="00C823E7">
              <w:rPr>
                <w:webHidden/>
              </w:rPr>
              <w:tab/>
            </w:r>
            <w:r w:rsidRPr="00C823E7">
              <w:rPr>
                <w:webHidden/>
              </w:rPr>
              <w:fldChar w:fldCharType="begin"/>
            </w:r>
            <w:r w:rsidRPr="00C823E7">
              <w:rPr>
                <w:webHidden/>
              </w:rPr>
              <w:instrText xml:space="preserve"> PAGEREF _Toc197520522 \h </w:instrText>
            </w:r>
            <w:r w:rsidRPr="00C823E7">
              <w:rPr>
                <w:webHidden/>
              </w:rPr>
            </w:r>
            <w:r w:rsidRPr="00C823E7">
              <w:rPr>
                <w:webHidden/>
              </w:rPr>
              <w:fldChar w:fldCharType="separate"/>
            </w:r>
            <w:r w:rsidRPr="00C823E7">
              <w:rPr>
                <w:webHidden/>
              </w:rPr>
              <w:t>13</w:t>
            </w:r>
            <w:r w:rsidRPr="00C823E7">
              <w:rPr>
                <w:webHidden/>
              </w:rPr>
              <w:fldChar w:fldCharType="end"/>
            </w:r>
          </w:hyperlink>
        </w:p>
        <w:p w14:paraId="7C1C32BC" w14:textId="1A53A4D1" w:rsidR="00B355B9" w:rsidRPr="00C823E7" w:rsidRDefault="00B355B9">
          <w:pPr>
            <w:pStyle w:val="TOC2"/>
            <w:rPr>
              <w:rFonts w:eastAsiaTheme="minorEastAsia"/>
              <w:noProof/>
              <w:kern w:val="2"/>
              <w:szCs w:val="24"/>
              <w14:ligatures w14:val="standardContextual"/>
            </w:rPr>
          </w:pPr>
          <w:hyperlink w:anchor="_Toc197520523" w:history="1">
            <w:r w:rsidRPr="00C823E7">
              <w:rPr>
                <w:rStyle w:val="Hyperlink"/>
                <w:noProof/>
                <w:color w:val="auto"/>
              </w:rPr>
              <w:t>1) Obtaining, structuring, and normalizing 2000, 2010, and 2020 census data</w:t>
            </w:r>
            <w:r w:rsidRPr="00C823E7">
              <w:rPr>
                <w:noProof/>
                <w:webHidden/>
              </w:rPr>
              <w:tab/>
            </w:r>
            <w:r w:rsidRPr="00C823E7">
              <w:rPr>
                <w:noProof/>
                <w:webHidden/>
              </w:rPr>
              <w:fldChar w:fldCharType="begin"/>
            </w:r>
            <w:r w:rsidRPr="00C823E7">
              <w:rPr>
                <w:noProof/>
                <w:webHidden/>
              </w:rPr>
              <w:instrText xml:space="preserve"> PAGEREF _Toc197520523 \h </w:instrText>
            </w:r>
            <w:r w:rsidRPr="00C823E7">
              <w:rPr>
                <w:noProof/>
                <w:webHidden/>
              </w:rPr>
            </w:r>
            <w:r w:rsidRPr="00C823E7">
              <w:rPr>
                <w:noProof/>
                <w:webHidden/>
              </w:rPr>
              <w:fldChar w:fldCharType="separate"/>
            </w:r>
            <w:r w:rsidRPr="00C823E7">
              <w:rPr>
                <w:noProof/>
                <w:webHidden/>
              </w:rPr>
              <w:t>13</w:t>
            </w:r>
            <w:r w:rsidRPr="00C823E7">
              <w:rPr>
                <w:noProof/>
                <w:webHidden/>
              </w:rPr>
              <w:fldChar w:fldCharType="end"/>
            </w:r>
          </w:hyperlink>
        </w:p>
        <w:p w14:paraId="60D34B7C" w14:textId="6B30E47F" w:rsidR="00B355B9" w:rsidRPr="00C823E7" w:rsidRDefault="00B355B9">
          <w:pPr>
            <w:pStyle w:val="TOC2"/>
            <w:rPr>
              <w:rFonts w:eastAsiaTheme="minorEastAsia"/>
              <w:noProof/>
              <w:kern w:val="2"/>
              <w:szCs w:val="24"/>
              <w14:ligatures w14:val="standardContextual"/>
            </w:rPr>
          </w:pPr>
          <w:hyperlink w:anchor="_Toc197520524" w:history="1">
            <w:r w:rsidRPr="00C823E7">
              <w:rPr>
                <w:rStyle w:val="Hyperlink"/>
                <w:noProof/>
                <w:color w:val="auto"/>
              </w:rPr>
              <w:t>2) Reassigning “Some other race”</w:t>
            </w:r>
            <w:r w:rsidRPr="00C823E7">
              <w:rPr>
                <w:noProof/>
                <w:webHidden/>
              </w:rPr>
              <w:tab/>
            </w:r>
            <w:r w:rsidRPr="00C823E7">
              <w:rPr>
                <w:noProof/>
                <w:webHidden/>
              </w:rPr>
              <w:fldChar w:fldCharType="begin"/>
            </w:r>
            <w:r w:rsidRPr="00C823E7">
              <w:rPr>
                <w:noProof/>
                <w:webHidden/>
              </w:rPr>
              <w:instrText xml:space="preserve"> PAGEREF _Toc197520524 \h </w:instrText>
            </w:r>
            <w:r w:rsidRPr="00C823E7">
              <w:rPr>
                <w:noProof/>
                <w:webHidden/>
              </w:rPr>
            </w:r>
            <w:r w:rsidRPr="00C823E7">
              <w:rPr>
                <w:noProof/>
                <w:webHidden/>
              </w:rPr>
              <w:fldChar w:fldCharType="separate"/>
            </w:r>
            <w:r w:rsidRPr="00C823E7">
              <w:rPr>
                <w:noProof/>
                <w:webHidden/>
              </w:rPr>
              <w:t>16</w:t>
            </w:r>
            <w:r w:rsidRPr="00C823E7">
              <w:rPr>
                <w:noProof/>
                <w:webHidden/>
              </w:rPr>
              <w:fldChar w:fldCharType="end"/>
            </w:r>
          </w:hyperlink>
        </w:p>
        <w:p w14:paraId="2503B12F" w14:textId="7AAE28DE" w:rsidR="00B355B9" w:rsidRPr="00C823E7" w:rsidRDefault="00B355B9">
          <w:pPr>
            <w:pStyle w:val="TOC2"/>
            <w:rPr>
              <w:rFonts w:eastAsiaTheme="minorEastAsia"/>
              <w:noProof/>
              <w:kern w:val="2"/>
              <w:szCs w:val="24"/>
              <w14:ligatures w14:val="standardContextual"/>
            </w:rPr>
          </w:pPr>
          <w:hyperlink w:anchor="_Toc197520525" w:history="1">
            <w:r w:rsidRPr="00C823E7">
              <w:rPr>
                <w:rStyle w:val="Hyperlink"/>
                <w:noProof/>
                <w:color w:val="auto"/>
              </w:rPr>
              <w:t>3) Adjusting Census population counts</w:t>
            </w:r>
            <w:r w:rsidRPr="00C823E7">
              <w:rPr>
                <w:noProof/>
                <w:webHidden/>
              </w:rPr>
              <w:tab/>
            </w:r>
            <w:r w:rsidRPr="00C823E7">
              <w:rPr>
                <w:noProof/>
                <w:webHidden/>
              </w:rPr>
              <w:fldChar w:fldCharType="begin"/>
            </w:r>
            <w:r w:rsidRPr="00C823E7">
              <w:rPr>
                <w:noProof/>
                <w:webHidden/>
              </w:rPr>
              <w:instrText xml:space="preserve"> PAGEREF _Toc197520525 \h </w:instrText>
            </w:r>
            <w:r w:rsidRPr="00C823E7">
              <w:rPr>
                <w:noProof/>
                <w:webHidden/>
              </w:rPr>
            </w:r>
            <w:r w:rsidRPr="00C823E7">
              <w:rPr>
                <w:noProof/>
                <w:webHidden/>
              </w:rPr>
              <w:fldChar w:fldCharType="separate"/>
            </w:r>
            <w:r w:rsidRPr="00C823E7">
              <w:rPr>
                <w:noProof/>
                <w:webHidden/>
              </w:rPr>
              <w:t>18</w:t>
            </w:r>
            <w:r w:rsidRPr="00C823E7">
              <w:rPr>
                <w:noProof/>
                <w:webHidden/>
              </w:rPr>
              <w:fldChar w:fldCharType="end"/>
            </w:r>
          </w:hyperlink>
        </w:p>
        <w:p w14:paraId="19B12973" w14:textId="24BD1C5F" w:rsidR="00B355B9" w:rsidRPr="00C823E7" w:rsidRDefault="00B355B9">
          <w:pPr>
            <w:pStyle w:val="TOC2"/>
            <w:rPr>
              <w:rFonts w:eastAsiaTheme="minorEastAsia"/>
              <w:noProof/>
              <w:kern w:val="2"/>
              <w:szCs w:val="24"/>
              <w14:ligatures w14:val="standardContextual"/>
            </w:rPr>
          </w:pPr>
          <w:hyperlink w:anchor="_Toc197520526" w:history="1">
            <w:r w:rsidRPr="00C823E7">
              <w:rPr>
                <w:rStyle w:val="Hyperlink"/>
                <w:noProof/>
                <w:color w:val="auto"/>
              </w:rPr>
              <w:t>4) Special adjustments: college tract overrides</w:t>
            </w:r>
            <w:r w:rsidRPr="00C823E7">
              <w:rPr>
                <w:noProof/>
                <w:webHidden/>
              </w:rPr>
              <w:tab/>
            </w:r>
            <w:r w:rsidRPr="00C823E7">
              <w:rPr>
                <w:noProof/>
                <w:webHidden/>
              </w:rPr>
              <w:fldChar w:fldCharType="begin"/>
            </w:r>
            <w:r w:rsidRPr="00C823E7">
              <w:rPr>
                <w:noProof/>
                <w:webHidden/>
              </w:rPr>
              <w:instrText xml:space="preserve"> PAGEREF _Toc197520526 \h </w:instrText>
            </w:r>
            <w:r w:rsidRPr="00C823E7">
              <w:rPr>
                <w:noProof/>
                <w:webHidden/>
              </w:rPr>
            </w:r>
            <w:r w:rsidRPr="00C823E7">
              <w:rPr>
                <w:noProof/>
                <w:webHidden/>
              </w:rPr>
              <w:fldChar w:fldCharType="separate"/>
            </w:r>
            <w:r w:rsidRPr="00C823E7">
              <w:rPr>
                <w:noProof/>
                <w:webHidden/>
              </w:rPr>
              <w:t>20</w:t>
            </w:r>
            <w:r w:rsidRPr="00C823E7">
              <w:rPr>
                <w:noProof/>
                <w:webHidden/>
              </w:rPr>
              <w:fldChar w:fldCharType="end"/>
            </w:r>
          </w:hyperlink>
        </w:p>
        <w:p w14:paraId="3C8FDE4B" w14:textId="01654AD7" w:rsidR="00B355B9" w:rsidRPr="00C823E7" w:rsidRDefault="00B355B9">
          <w:pPr>
            <w:pStyle w:val="TOC2"/>
            <w:rPr>
              <w:rFonts w:eastAsiaTheme="minorEastAsia"/>
              <w:noProof/>
              <w:kern w:val="2"/>
              <w:szCs w:val="24"/>
              <w14:ligatures w14:val="standardContextual"/>
            </w:rPr>
          </w:pPr>
          <w:hyperlink w:anchor="_Toc197520527" w:history="1">
            <w:r w:rsidRPr="00C823E7">
              <w:rPr>
                <w:rStyle w:val="Hyperlink"/>
                <w:noProof/>
                <w:color w:val="auto"/>
              </w:rPr>
              <w:t>5) Control race/ethnicity/age/sex launch to age/sex launch</w:t>
            </w:r>
            <w:r w:rsidRPr="00C823E7">
              <w:rPr>
                <w:noProof/>
                <w:webHidden/>
              </w:rPr>
              <w:tab/>
            </w:r>
            <w:r w:rsidRPr="00C823E7">
              <w:rPr>
                <w:noProof/>
                <w:webHidden/>
              </w:rPr>
              <w:fldChar w:fldCharType="begin"/>
            </w:r>
            <w:r w:rsidRPr="00C823E7">
              <w:rPr>
                <w:noProof/>
                <w:webHidden/>
              </w:rPr>
              <w:instrText xml:space="preserve"> PAGEREF _Toc197520527 \h </w:instrText>
            </w:r>
            <w:r w:rsidRPr="00C823E7">
              <w:rPr>
                <w:noProof/>
                <w:webHidden/>
              </w:rPr>
            </w:r>
            <w:r w:rsidRPr="00C823E7">
              <w:rPr>
                <w:noProof/>
                <w:webHidden/>
              </w:rPr>
              <w:fldChar w:fldCharType="separate"/>
            </w:r>
            <w:r w:rsidRPr="00C823E7">
              <w:rPr>
                <w:noProof/>
                <w:webHidden/>
              </w:rPr>
              <w:t>21</w:t>
            </w:r>
            <w:r w:rsidRPr="00C823E7">
              <w:rPr>
                <w:noProof/>
                <w:webHidden/>
              </w:rPr>
              <w:fldChar w:fldCharType="end"/>
            </w:r>
          </w:hyperlink>
        </w:p>
        <w:p w14:paraId="764FC1F4" w14:textId="300E06E1" w:rsidR="00B355B9" w:rsidRPr="00C823E7" w:rsidRDefault="00B355B9">
          <w:pPr>
            <w:pStyle w:val="TOC2"/>
            <w:rPr>
              <w:rFonts w:eastAsiaTheme="minorEastAsia"/>
              <w:noProof/>
              <w:kern w:val="2"/>
              <w:szCs w:val="24"/>
              <w14:ligatures w14:val="standardContextual"/>
            </w:rPr>
          </w:pPr>
          <w:hyperlink w:anchor="_Toc197520528" w:history="1">
            <w:r w:rsidRPr="00C823E7">
              <w:rPr>
                <w:rStyle w:val="Hyperlink"/>
                <w:noProof/>
                <w:color w:val="auto"/>
              </w:rPr>
              <w:t>6) Calculating cohort-change ratios and child-to-woman ratios</w:t>
            </w:r>
            <w:r w:rsidRPr="00C823E7">
              <w:rPr>
                <w:noProof/>
                <w:webHidden/>
              </w:rPr>
              <w:tab/>
            </w:r>
            <w:r w:rsidRPr="00C823E7">
              <w:rPr>
                <w:noProof/>
                <w:webHidden/>
              </w:rPr>
              <w:fldChar w:fldCharType="begin"/>
            </w:r>
            <w:r w:rsidRPr="00C823E7">
              <w:rPr>
                <w:noProof/>
                <w:webHidden/>
              </w:rPr>
              <w:instrText xml:space="preserve"> PAGEREF _Toc197520528 \h </w:instrText>
            </w:r>
            <w:r w:rsidRPr="00C823E7">
              <w:rPr>
                <w:noProof/>
                <w:webHidden/>
              </w:rPr>
            </w:r>
            <w:r w:rsidRPr="00C823E7">
              <w:rPr>
                <w:noProof/>
                <w:webHidden/>
              </w:rPr>
              <w:fldChar w:fldCharType="separate"/>
            </w:r>
            <w:r w:rsidRPr="00C823E7">
              <w:rPr>
                <w:noProof/>
                <w:webHidden/>
              </w:rPr>
              <w:t>21</w:t>
            </w:r>
            <w:r w:rsidRPr="00C823E7">
              <w:rPr>
                <w:noProof/>
                <w:webHidden/>
              </w:rPr>
              <w:fldChar w:fldCharType="end"/>
            </w:r>
          </w:hyperlink>
        </w:p>
        <w:p w14:paraId="6CD09E41" w14:textId="409BD944" w:rsidR="00B355B9" w:rsidRPr="00C823E7" w:rsidRDefault="00B355B9">
          <w:pPr>
            <w:pStyle w:val="TOC3"/>
            <w:rPr>
              <w:rFonts w:eastAsiaTheme="minorEastAsia"/>
              <w:kern w:val="2"/>
              <w14:ligatures w14:val="standardContextual"/>
            </w:rPr>
          </w:pPr>
          <w:hyperlink w:anchor="_Toc197520529" w:history="1">
            <w:r w:rsidRPr="00C823E7">
              <w:rPr>
                <w:rStyle w:val="Hyperlink"/>
                <w:color w:val="auto"/>
              </w:rPr>
              <w:t>Calculating Ratios</w:t>
            </w:r>
            <w:r w:rsidRPr="00C823E7">
              <w:rPr>
                <w:webHidden/>
              </w:rPr>
              <w:tab/>
            </w:r>
            <w:r w:rsidRPr="00C823E7">
              <w:rPr>
                <w:webHidden/>
              </w:rPr>
              <w:fldChar w:fldCharType="begin"/>
            </w:r>
            <w:r w:rsidRPr="00C823E7">
              <w:rPr>
                <w:webHidden/>
              </w:rPr>
              <w:instrText xml:space="preserve"> PAGEREF _Toc197520529 \h </w:instrText>
            </w:r>
            <w:r w:rsidRPr="00C823E7">
              <w:rPr>
                <w:webHidden/>
              </w:rPr>
            </w:r>
            <w:r w:rsidRPr="00C823E7">
              <w:rPr>
                <w:webHidden/>
              </w:rPr>
              <w:fldChar w:fldCharType="separate"/>
            </w:r>
            <w:r w:rsidRPr="00C823E7">
              <w:rPr>
                <w:webHidden/>
              </w:rPr>
              <w:t>21</w:t>
            </w:r>
            <w:r w:rsidRPr="00C823E7">
              <w:rPr>
                <w:webHidden/>
              </w:rPr>
              <w:fldChar w:fldCharType="end"/>
            </w:r>
          </w:hyperlink>
        </w:p>
        <w:p w14:paraId="1A54241E" w14:textId="1BFB98C3" w:rsidR="00B355B9" w:rsidRPr="00C823E7" w:rsidRDefault="00B355B9">
          <w:pPr>
            <w:pStyle w:val="TOC3"/>
            <w:rPr>
              <w:rFonts w:eastAsiaTheme="minorEastAsia"/>
              <w:kern w:val="2"/>
              <w14:ligatures w14:val="standardContextual"/>
            </w:rPr>
          </w:pPr>
          <w:hyperlink w:anchor="_Toc197520530" w:history="1">
            <w:r w:rsidRPr="00C823E7">
              <w:rPr>
                <w:rStyle w:val="Hyperlink"/>
                <w:color w:val="auto"/>
              </w:rPr>
              <w:t>Capping Ratios</w:t>
            </w:r>
            <w:r w:rsidRPr="00C823E7">
              <w:rPr>
                <w:webHidden/>
              </w:rPr>
              <w:tab/>
            </w:r>
            <w:r w:rsidRPr="00C823E7">
              <w:rPr>
                <w:webHidden/>
              </w:rPr>
              <w:fldChar w:fldCharType="begin"/>
            </w:r>
            <w:r w:rsidRPr="00C823E7">
              <w:rPr>
                <w:webHidden/>
              </w:rPr>
              <w:instrText xml:space="preserve"> PAGEREF _Toc197520530 \h </w:instrText>
            </w:r>
            <w:r w:rsidRPr="00C823E7">
              <w:rPr>
                <w:webHidden/>
              </w:rPr>
            </w:r>
            <w:r w:rsidRPr="00C823E7">
              <w:rPr>
                <w:webHidden/>
              </w:rPr>
              <w:fldChar w:fldCharType="separate"/>
            </w:r>
            <w:r w:rsidRPr="00C823E7">
              <w:rPr>
                <w:webHidden/>
              </w:rPr>
              <w:t>22</w:t>
            </w:r>
            <w:r w:rsidRPr="00C823E7">
              <w:rPr>
                <w:webHidden/>
              </w:rPr>
              <w:fldChar w:fldCharType="end"/>
            </w:r>
          </w:hyperlink>
        </w:p>
        <w:p w14:paraId="28FA5A28" w14:textId="5F7C142C" w:rsidR="00B355B9" w:rsidRPr="00C823E7" w:rsidRDefault="00B355B9">
          <w:pPr>
            <w:pStyle w:val="TOC3"/>
            <w:rPr>
              <w:rFonts w:eastAsiaTheme="minorEastAsia"/>
              <w:kern w:val="2"/>
              <w14:ligatures w14:val="standardContextual"/>
            </w:rPr>
          </w:pPr>
          <w:hyperlink w:anchor="_Toc197520531" w:history="1">
            <w:r w:rsidRPr="00C823E7">
              <w:rPr>
                <w:rStyle w:val="Hyperlink"/>
                <w:color w:val="auto"/>
              </w:rPr>
              <w:t>Alternative Race Ratios Testing</w:t>
            </w:r>
            <w:r w:rsidRPr="00C823E7">
              <w:rPr>
                <w:webHidden/>
              </w:rPr>
              <w:tab/>
            </w:r>
            <w:r w:rsidRPr="00C823E7">
              <w:rPr>
                <w:webHidden/>
              </w:rPr>
              <w:fldChar w:fldCharType="begin"/>
            </w:r>
            <w:r w:rsidRPr="00C823E7">
              <w:rPr>
                <w:webHidden/>
              </w:rPr>
              <w:instrText xml:space="preserve"> PAGEREF _Toc197520531 \h </w:instrText>
            </w:r>
            <w:r w:rsidRPr="00C823E7">
              <w:rPr>
                <w:webHidden/>
              </w:rPr>
            </w:r>
            <w:r w:rsidRPr="00C823E7">
              <w:rPr>
                <w:webHidden/>
              </w:rPr>
              <w:fldChar w:fldCharType="separate"/>
            </w:r>
            <w:r w:rsidRPr="00C823E7">
              <w:rPr>
                <w:webHidden/>
              </w:rPr>
              <w:t>24</w:t>
            </w:r>
            <w:r w:rsidRPr="00C823E7">
              <w:rPr>
                <w:webHidden/>
              </w:rPr>
              <w:fldChar w:fldCharType="end"/>
            </w:r>
          </w:hyperlink>
        </w:p>
        <w:p w14:paraId="27618068" w14:textId="72A9D303" w:rsidR="00B355B9" w:rsidRPr="00C823E7" w:rsidRDefault="00B355B9">
          <w:pPr>
            <w:pStyle w:val="TOC2"/>
            <w:rPr>
              <w:rFonts w:eastAsiaTheme="minorEastAsia"/>
              <w:noProof/>
              <w:kern w:val="2"/>
              <w:szCs w:val="24"/>
              <w14:ligatures w14:val="standardContextual"/>
            </w:rPr>
          </w:pPr>
          <w:hyperlink w:anchor="_Toc197520532" w:history="1">
            <w:r w:rsidRPr="00C823E7">
              <w:rPr>
                <w:rStyle w:val="Hyperlink"/>
                <w:noProof/>
                <w:color w:val="auto"/>
              </w:rPr>
              <w:t>7)  Applying ratios and caps to the modified Census 2020 base population to create “uncontrolled” 2030 estimates</w:t>
            </w:r>
            <w:r w:rsidRPr="00C823E7">
              <w:rPr>
                <w:noProof/>
                <w:webHidden/>
              </w:rPr>
              <w:tab/>
            </w:r>
            <w:r w:rsidRPr="00C823E7">
              <w:rPr>
                <w:noProof/>
                <w:webHidden/>
              </w:rPr>
              <w:fldChar w:fldCharType="begin"/>
            </w:r>
            <w:r w:rsidRPr="00C823E7">
              <w:rPr>
                <w:noProof/>
                <w:webHidden/>
              </w:rPr>
              <w:instrText xml:space="preserve"> PAGEREF _Toc197520532 \h </w:instrText>
            </w:r>
            <w:r w:rsidRPr="00C823E7">
              <w:rPr>
                <w:noProof/>
                <w:webHidden/>
              </w:rPr>
            </w:r>
            <w:r w:rsidRPr="00C823E7">
              <w:rPr>
                <w:noProof/>
                <w:webHidden/>
              </w:rPr>
              <w:fldChar w:fldCharType="separate"/>
            </w:r>
            <w:r w:rsidRPr="00C823E7">
              <w:rPr>
                <w:noProof/>
                <w:webHidden/>
              </w:rPr>
              <w:t>25</w:t>
            </w:r>
            <w:r w:rsidRPr="00C823E7">
              <w:rPr>
                <w:noProof/>
                <w:webHidden/>
              </w:rPr>
              <w:fldChar w:fldCharType="end"/>
            </w:r>
          </w:hyperlink>
        </w:p>
        <w:p w14:paraId="6287E162" w14:textId="567A19E0" w:rsidR="00B355B9" w:rsidRPr="00C823E7" w:rsidRDefault="00B355B9">
          <w:pPr>
            <w:pStyle w:val="TOC2"/>
            <w:rPr>
              <w:rFonts w:eastAsiaTheme="minorEastAsia"/>
              <w:noProof/>
              <w:kern w:val="2"/>
              <w:szCs w:val="24"/>
              <w14:ligatures w14:val="standardContextual"/>
            </w:rPr>
          </w:pPr>
          <w:hyperlink w:anchor="_Toc197520533" w:history="1">
            <w:r w:rsidRPr="00C823E7">
              <w:rPr>
                <w:rStyle w:val="Hyperlink"/>
                <w:noProof/>
                <w:color w:val="auto"/>
              </w:rPr>
              <w:t>8)  Distribute age/sex estimates to single years 2021-2030</w:t>
            </w:r>
            <w:r w:rsidRPr="00C823E7">
              <w:rPr>
                <w:noProof/>
                <w:webHidden/>
              </w:rPr>
              <w:tab/>
            </w:r>
            <w:r w:rsidRPr="00C823E7">
              <w:rPr>
                <w:noProof/>
                <w:webHidden/>
              </w:rPr>
              <w:fldChar w:fldCharType="begin"/>
            </w:r>
            <w:r w:rsidRPr="00C823E7">
              <w:rPr>
                <w:noProof/>
                <w:webHidden/>
              </w:rPr>
              <w:instrText xml:space="preserve"> PAGEREF _Toc197520533 \h </w:instrText>
            </w:r>
            <w:r w:rsidRPr="00C823E7">
              <w:rPr>
                <w:noProof/>
                <w:webHidden/>
              </w:rPr>
            </w:r>
            <w:r w:rsidRPr="00C823E7">
              <w:rPr>
                <w:noProof/>
                <w:webHidden/>
              </w:rPr>
              <w:fldChar w:fldCharType="separate"/>
            </w:r>
            <w:r w:rsidRPr="00C823E7">
              <w:rPr>
                <w:noProof/>
                <w:webHidden/>
              </w:rPr>
              <w:t>26</w:t>
            </w:r>
            <w:r w:rsidRPr="00C823E7">
              <w:rPr>
                <w:noProof/>
                <w:webHidden/>
              </w:rPr>
              <w:fldChar w:fldCharType="end"/>
            </w:r>
          </w:hyperlink>
        </w:p>
        <w:p w14:paraId="11DE5102" w14:textId="38359C5B" w:rsidR="00B355B9" w:rsidRPr="00C823E7" w:rsidRDefault="00B355B9">
          <w:pPr>
            <w:pStyle w:val="TOC2"/>
            <w:rPr>
              <w:rFonts w:eastAsiaTheme="minorEastAsia"/>
              <w:noProof/>
              <w:kern w:val="2"/>
              <w:szCs w:val="24"/>
              <w14:ligatures w14:val="standardContextual"/>
            </w:rPr>
          </w:pPr>
          <w:hyperlink w:anchor="_Toc197520534" w:history="1">
            <w:r w:rsidRPr="00C823E7">
              <w:rPr>
                <w:rStyle w:val="Hyperlink"/>
                <w:noProof/>
                <w:color w:val="auto"/>
              </w:rPr>
              <w:t>9) Control the 2021 to 2030 estimates by tract and by town to the county-level annual post-census estimates</w:t>
            </w:r>
            <w:r w:rsidRPr="00C823E7">
              <w:rPr>
                <w:noProof/>
                <w:webHidden/>
              </w:rPr>
              <w:tab/>
            </w:r>
            <w:r w:rsidRPr="00C823E7">
              <w:rPr>
                <w:noProof/>
                <w:webHidden/>
              </w:rPr>
              <w:fldChar w:fldCharType="begin"/>
            </w:r>
            <w:r w:rsidRPr="00C823E7">
              <w:rPr>
                <w:noProof/>
                <w:webHidden/>
              </w:rPr>
              <w:instrText xml:space="preserve"> PAGEREF _Toc197520534 \h </w:instrText>
            </w:r>
            <w:r w:rsidRPr="00C823E7">
              <w:rPr>
                <w:noProof/>
                <w:webHidden/>
              </w:rPr>
            </w:r>
            <w:r w:rsidRPr="00C823E7">
              <w:rPr>
                <w:noProof/>
                <w:webHidden/>
              </w:rPr>
              <w:fldChar w:fldCharType="separate"/>
            </w:r>
            <w:r w:rsidRPr="00C823E7">
              <w:rPr>
                <w:noProof/>
                <w:webHidden/>
              </w:rPr>
              <w:t>26</w:t>
            </w:r>
            <w:r w:rsidRPr="00C823E7">
              <w:rPr>
                <w:noProof/>
                <w:webHidden/>
              </w:rPr>
              <w:fldChar w:fldCharType="end"/>
            </w:r>
          </w:hyperlink>
        </w:p>
        <w:p w14:paraId="18D67C7E" w14:textId="40DD490D" w:rsidR="00B355B9" w:rsidRPr="00C823E7" w:rsidRDefault="00B355B9">
          <w:pPr>
            <w:pStyle w:val="TOC2"/>
            <w:rPr>
              <w:rFonts w:eastAsiaTheme="minorEastAsia"/>
              <w:noProof/>
              <w:kern w:val="2"/>
              <w:szCs w:val="24"/>
              <w14:ligatures w14:val="standardContextual"/>
            </w:rPr>
          </w:pPr>
          <w:hyperlink w:anchor="_Toc197520535" w:history="1">
            <w:r w:rsidRPr="00C823E7">
              <w:rPr>
                <w:rStyle w:val="Hyperlink"/>
                <w:noProof/>
                <w:color w:val="auto"/>
              </w:rPr>
              <w:t>10) Distributing 5-year age-group estimates and errors to single years of age for ages 0-20</w:t>
            </w:r>
            <w:r w:rsidRPr="00C823E7">
              <w:rPr>
                <w:noProof/>
                <w:webHidden/>
              </w:rPr>
              <w:tab/>
            </w:r>
            <w:r w:rsidRPr="00C823E7">
              <w:rPr>
                <w:noProof/>
                <w:webHidden/>
              </w:rPr>
              <w:fldChar w:fldCharType="begin"/>
            </w:r>
            <w:r w:rsidRPr="00C823E7">
              <w:rPr>
                <w:noProof/>
                <w:webHidden/>
              </w:rPr>
              <w:instrText xml:space="preserve"> PAGEREF _Toc197520535 \h </w:instrText>
            </w:r>
            <w:r w:rsidRPr="00C823E7">
              <w:rPr>
                <w:noProof/>
                <w:webHidden/>
              </w:rPr>
            </w:r>
            <w:r w:rsidRPr="00C823E7">
              <w:rPr>
                <w:noProof/>
                <w:webHidden/>
              </w:rPr>
              <w:fldChar w:fldCharType="separate"/>
            </w:r>
            <w:r w:rsidRPr="00C823E7">
              <w:rPr>
                <w:noProof/>
                <w:webHidden/>
              </w:rPr>
              <w:t>27</w:t>
            </w:r>
            <w:r w:rsidRPr="00C823E7">
              <w:rPr>
                <w:noProof/>
                <w:webHidden/>
              </w:rPr>
              <w:fldChar w:fldCharType="end"/>
            </w:r>
          </w:hyperlink>
        </w:p>
        <w:p w14:paraId="77729B2D" w14:textId="37C1729E" w:rsidR="00B355B9" w:rsidRPr="00C823E7" w:rsidRDefault="00B355B9">
          <w:pPr>
            <w:pStyle w:val="TOC2"/>
            <w:rPr>
              <w:rFonts w:eastAsiaTheme="minorEastAsia"/>
              <w:noProof/>
              <w:kern w:val="2"/>
              <w:szCs w:val="24"/>
              <w14:ligatures w14:val="standardContextual"/>
            </w:rPr>
          </w:pPr>
          <w:hyperlink w:anchor="_Toc197520536" w:history="1">
            <w:r w:rsidRPr="00C823E7">
              <w:rPr>
                <w:rStyle w:val="Hyperlink"/>
                <w:noProof/>
                <w:color w:val="auto"/>
              </w:rPr>
              <w:t>11)  Controlling race and ethnicity projections to age and sex projections</w:t>
            </w:r>
            <w:r w:rsidRPr="00C823E7">
              <w:rPr>
                <w:noProof/>
                <w:webHidden/>
              </w:rPr>
              <w:tab/>
            </w:r>
            <w:r w:rsidRPr="00C823E7">
              <w:rPr>
                <w:noProof/>
                <w:webHidden/>
              </w:rPr>
              <w:fldChar w:fldCharType="begin"/>
            </w:r>
            <w:r w:rsidRPr="00C823E7">
              <w:rPr>
                <w:noProof/>
                <w:webHidden/>
              </w:rPr>
              <w:instrText xml:space="preserve"> PAGEREF _Toc197520536 \h </w:instrText>
            </w:r>
            <w:r w:rsidRPr="00C823E7">
              <w:rPr>
                <w:noProof/>
                <w:webHidden/>
              </w:rPr>
            </w:r>
            <w:r w:rsidRPr="00C823E7">
              <w:rPr>
                <w:noProof/>
                <w:webHidden/>
              </w:rPr>
              <w:fldChar w:fldCharType="separate"/>
            </w:r>
            <w:r w:rsidRPr="00C823E7">
              <w:rPr>
                <w:noProof/>
                <w:webHidden/>
              </w:rPr>
              <w:t>28</w:t>
            </w:r>
            <w:r w:rsidRPr="00C823E7">
              <w:rPr>
                <w:noProof/>
                <w:webHidden/>
              </w:rPr>
              <w:fldChar w:fldCharType="end"/>
            </w:r>
          </w:hyperlink>
        </w:p>
        <w:p w14:paraId="02B81067" w14:textId="082E2C29" w:rsidR="00B355B9" w:rsidRPr="00C823E7" w:rsidRDefault="00B355B9">
          <w:pPr>
            <w:pStyle w:val="TOC2"/>
            <w:rPr>
              <w:rFonts w:eastAsiaTheme="minorEastAsia"/>
              <w:noProof/>
              <w:kern w:val="2"/>
              <w:szCs w:val="24"/>
              <w14:ligatures w14:val="standardContextual"/>
            </w:rPr>
          </w:pPr>
          <w:hyperlink w:anchor="_Toc197520537" w:history="1">
            <w:r w:rsidRPr="00C823E7">
              <w:rPr>
                <w:rStyle w:val="Hyperlink"/>
                <w:noProof/>
                <w:color w:val="auto"/>
              </w:rPr>
              <w:t>12)  Assigning error and confidence intervals</w:t>
            </w:r>
            <w:r w:rsidRPr="00C823E7">
              <w:rPr>
                <w:noProof/>
                <w:webHidden/>
              </w:rPr>
              <w:tab/>
            </w:r>
            <w:r w:rsidRPr="00C823E7">
              <w:rPr>
                <w:noProof/>
                <w:webHidden/>
              </w:rPr>
              <w:fldChar w:fldCharType="begin"/>
            </w:r>
            <w:r w:rsidRPr="00C823E7">
              <w:rPr>
                <w:noProof/>
                <w:webHidden/>
              </w:rPr>
              <w:instrText xml:space="preserve"> PAGEREF _Toc197520537 \h </w:instrText>
            </w:r>
            <w:r w:rsidRPr="00C823E7">
              <w:rPr>
                <w:noProof/>
                <w:webHidden/>
              </w:rPr>
            </w:r>
            <w:r w:rsidRPr="00C823E7">
              <w:rPr>
                <w:noProof/>
                <w:webHidden/>
              </w:rPr>
              <w:fldChar w:fldCharType="separate"/>
            </w:r>
            <w:r w:rsidRPr="00C823E7">
              <w:rPr>
                <w:noProof/>
                <w:webHidden/>
              </w:rPr>
              <w:t>28</w:t>
            </w:r>
            <w:r w:rsidRPr="00C823E7">
              <w:rPr>
                <w:noProof/>
                <w:webHidden/>
              </w:rPr>
              <w:fldChar w:fldCharType="end"/>
            </w:r>
          </w:hyperlink>
        </w:p>
        <w:p w14:paraId="6A59E70E" w14:textId="4E15FC61" w:rsidR="00B355B9" w:rsidRPr="00C823E7" w:rsidRDefault="00B355B9">
          <w:pPr>
            <w:pStyle w:val="TOC3"/>
            <w:rPr>
              <w:rFonts w:eastAsiaTheme="minorEastAsia"/>
              <w:kern w:val="2"/>
              <w14:ligatures w14:val="standardContextual"/>
            </w:rPr>
          </w:pPr>
          <w:hyperlink w:anchor="_Toc197520538" w:history="1">
            <w:r w:rsidRPr="00C823E7">
              <w:rPr>
                <w:rStyle w:val="Hyperlink"/>
                <w:color w:val="auto"/>
              </w:rPr>
              <w:t>Mean Absolute Percent Errors</w:t>
            </w:r>
            <w:r w:rsidRPr="00C823E7">
              <w:rPr>
                <w:webHidden/>
              </w:rPr>
              <w:tab/>
            </w:r>
            <w:r w:rsidRPr="00C823E7">
              <w:rPr>
                <w:webHidden/>
              </w:rPr>
              <w:fldChar w:fldCharType="begin"/>
            </w:r>
            <w:r w:rsidRPr="00C823E7">
              <w:rPr>
                <w:webHidden/>
              </w:rPr>
              <w:instrText xml:space="preserve"> PAGEREF _Toc197520538 \h </w:instrText>
            </w:r>
            <w:r w:rsidRPr="00C823E7">
              <w:rPr>
                <w:webHidden/>
              </w:rPr>
            </w:r>
            <w:r w:rsidRPr="00C823E7">
              <w:rPr>
                <w:webHidden/>
              </w:rPr>
              <w:fldChar w:fldCharType="separate"/>
            </w:r>
            <w:r w:rsidRPr="00C823E7">
              <w:rPr>
                <w:webHidden/>
              </w:rPr>
              <w:t>29</w:t>
            </w:r>
            <w:r w:rsidRPr="00C823E7">
              <w:rPr>
                <w:webHidden/>
              </w:rPr>
              <w:fldChar w:fldCharType="end"/>
            </w:r>
          </w:hyperlink>
        </w:p>
        <w:p w14:paraId="1601E14D" w14:textId="4139200E" w:rsidR="00B355B9" w:rsidRPr="00C823E7" w:rsidRDefault="00B355B9">
          <w:pPr>
            <w:pStyle w:val="TOC3"/>
            <w:rPr>
              <w:rFonts w:eastAsiaTheme="minorEastAsia"/>
              <w:kern w:val="2"/>
              <w14:ligatures w14:val="standardContextual"/>
            </w:rPr>
          </w:pPr>
          <w:hyperlink w:anchor="_Toc197520539" w:history="1">
            <w:r w:rsidRPr="00C823E7">
              <w:rPr>
                <w:rStyle w:val="Hyperlink"/>
                <w:color w:val="auto"/>
              </w:rPr>
              <w:t>Mean Percent Errors</w:t>
            </w:r>
            <w:r w:rsidRPr="00C823E7">
              <w:rPr>
                <w:webHidden/>
              </w:rPr>
              <w:tab/>
            </w:r>
            <w:r w:rsidRPr="00C823E7">
              <w:rPr>
                <w:webHidden/>
              </w:rPr>
              <w:fldChar w:fldCharType="begin"/>
            </w:r>
            <w:r w:rsidRPr="00C823E7">
              <w:rPr>
                <w:webHidden/>
              </w:rPr>
              <w:instrText xml:space="preserve"> PAGEREF _Toc197520539 \h </w:instrText>
            </w:r>
            <w:r w:rsidRPr="00C823E7">
              <w:rPr>
                <w:webHidden/>
              </w:rPr>
            </w:r>
            <w:r w:rsidRPr="00C823E7">
              <w:rPr>
                <w:webHidden/>
              </w:rPr>
              <w:fldChar w:fldCharType="separate"/>
            </w:r>
            <w:r w:rsidRPr="00C823E7">
              <w:rPr>
                <w:webHidden/>
              </w:rPr>
              <w:t>29</w:t>
            </w:r>
            <w:r w:rsidRPr="00C823E7">
              <w:rPr>
                <w:webHidden/>
              </w:rPr>
              <w:fldChar w:fldCharType="end"/>
            </w:r>
          </w:hyperlink>
        </w:p>
        <w:p w14:paraId="612D0FF3" w14:textId="1B74CF56" w:rsidR="00B355B9" w:rsidRPr="00C823E7" w:rsidRDefault="00B355B9">
          <w:pPr>
            <w:pStyle w:val="TOC3"/>
            <w:rPr>
              <w:rFonts w:eastAsiaTheme="minorEastAsia"/>
              <w:kern w:val="2"/>
              <w14:ligatures w14:val="standardContextual"/>
            </w:rPr>
          </w:pPr>
          <w:hyperlink w:anchor="_Toc197520540" w:history="1">
            <w:r w:rsidRPr="00C823E7">
              <w:rPr>
                <w:rStyle w:val="Hyperlink"/>
                <w:color w:val="auto"/>
              </w:rPr>
              <w:t>Error Calculations</w:t>
            </w:r>
            <w:r w:rsidRPr="00C823E7">
              <w:rPr>
                <w:webHidden/>
              </w:rPr>
              <w:tab/>
            </w:r>
            <w:r w:rsidRPr="00C823E7">
              <w:rPr>
                <w:webHidden/>
              </w:rPr>
              <w:fldChar w:fldCharType="begin"/>
            </w:r>
            <w:r w:rsidRPr="00C823E7">
              <w:rPr>
                <w:webHidden/>
              </w:rPr>
              <w:instrText xml:space="preserve"> PAGEREF _Toc197520540 \h </w:instrText>
            </w:r>
            <w:r w:rsidRPr="00C823E7">
              <w:rPr>
                <w:webHidden/>
              </w:rPr>
            </w:r>
            <w:r w:rsidRPr="00C823E7">
              <w:rPr>
                <w:webHidden/>
              </w:rPr>
              <w:fldChar w:fldCharType="separate"/>
            </w:r>
            <w:r w:rsidRPr="00C823E7">
              <w:rPr>
                <w:webHidden/>
              </w:rPr>
              <w:t>30</w:t>
            </w:r>
            <w:r w:rsidRPr="00C823E7">
              <w:rPr>
                <w:webHidden/>
              </w:rPr>
              <w:fldChar w:fldCharType="end"/>
            </w:r>
          </w:hyperlink>
        </w:p>
        <w:p w14:paraId="18C9DA56" w14:textId="60D94C3E" w:rsidR="00B355B9" w:rsidRPr="00C823E7" w:rsidRDefault="00B355B9">
          <w:pPr>
            <w:pStyle w:val="TOC2"/>
            <w:rPr>
              <w:rFonts w:eastAsiaTheme="minorEastAsia"/>
              <w:noProof/>
              <w:kern w:val="2"/>
              <w:szCs w:val="24"/>
              <w14:ligatures w14:val="standardContextual"/>
            </w:rPr>
          </w:pPr>
          <w:hyperlink w:anchor="_Toc197520541" w:history="1">
            <w:r w:rsidRPr="00C823E7">
              <w:rPr>
                <w:rStyle w:val="Hyperlink"/>
                <w:noProof/>
                <w:color w:val="auto"/>
              </w:rPr>
              <w:t>13) Distributing error and confidence intervals over single years 2021-2030</w:t>
            </w:r>
            <w:r w:rsidRPr="00C823E7">
              <w:rPr>
                <w:noProof/>
                <w:webHidden/>
              </w:rPr>
              <w:tab/>
            </w:r>
            <w:r w:rsidRPr="00C823E7">
              <w:rPr>
                <w:noProof/>
                <w:webHidden/>
              </w:rPr>
              <w:fldChar w:fldCharType="begin"/>
            </w:r>
            <w:r w:rsidRPr="00C823E7">
              <w:rPr>
                <w:noProof/>
                <w:webHidden/>
              </w:rPr>
              <w:instrText xml:space="preserve"> PAGEREF _Toc197520541 \h </w:instrText>
            </w:r>
            <w:r w:rsidRPr="00C823E7">
              <w:rPr>
                <w:noProof/>
                <w:webHidden/>
              </w:rPr>
            </w:r>
            <w:r w:rsidRPr="00C823E7">
              <w:rPr>
                <w:noProof/>
                <w:webHidden/>
              </w:rPr>
              <w:fldChar w:fldCharType="separate"/>
            </w:r>
            <w:r w:rsidRPr="00C823E7">
              <w:rPr>
                <w:noProof/>
                <w:webHidden/>
              </w:rPr>
              <w:t>32</w:t>
            </w:r>
            <w:r w:rsidRPr="00C823E7">
              <w:rPr>
                <w:noProof/>
                <w:webHidden/>
              </w:rPr>
              <w:fldChar w:fldCharType="end"/>
            </w:r>
          </w:hyperlink>
        </w:p>
        <w:p w14:paraId="12C9CECA" w14:textId="14FB68B8" w:rsidR="00B355B9" w:rsidRPr="00C823E7" w:rsidRDefault="00B355B9">
          <w:pPr>
            <w:pStyle w:val="TOC2"/>
            <w:rPr>
              <w:rFonts w:eastAsiaTheme="minorEastAsia"/>
              <w:noProof/>
              <w:kern w:val="2"/>
              <w:szCs w:val="24"/>
              <w14:ligatures w14:val="standardContextual"/>
            </w:rPr>
          </w:pPr>
          <w:hyperlink w:anchor="_Toc197520542" w:history="1">
            <w:r w:rsidRPr="00C823E7">
              <w:rPr>
                <w:rStyle w:val="Hyperlink"/>
                <w:noProof/>
                <w:color w:val="auto"/>
              </w:rPr>
              <w:t>14) Tract-level “college flag”</w:t>
            </w:r>
            <w:r w:rsidRPr="00C823E7">
              <w:rPr>
                <w:noProof/>
                <w:webHidden/>
              </w:rPr>
              <w:tab/>
            </w:r>
            <w:r w:rsidRPr="00C823E7">
              <w:rPr>
                <w:noProof/>
                <w:webHidden/>
              </w:rPr>
              <w:fldChar w:fldCharType="begin"/>
            </w:r>
            <w:r w:rsidRPr="00C823E7">
              <w:rPr>
                <w:noProof/>
                <w:webHidden/>
              </w:rPr>
              <w:instrText xml:space="preserve"> PAGEREF _Toc197520542 \h </w:instrText>
            </w:r>
            <w:r w:rsidRPr="00C823E7">
              <w:rPr>
                <w:noProof/>
                <w:webHidden/>
              </w:rPr>
            </w:r>
            <w:r w:rsidRPr="00C823E7">
              <w:rPr>
                <w:noProof/>
                <w:webHidden/>
              </w:rPr>
              <w:fldChar w:fldCharType="separate"/>
            </w:r>
            <w:r w:rsidRPr="00C823E7">
              <w:rPr>
                <w:noProof/>
                <w:webHidden/>
              </w:rPr>
              <w:t>33</w:t>
            </w:r>
            <w:r w:rsidRPr="00C823E7">
              <w:rPr>
                <w:noProof/>
                <w:webHidden/>
              </w:rPr>
              <w:fldChar w:fldCharType="end"/>
            </w:r>
          </w:hyperlink>
        </w:p>
        <w:p w14:paraId="630EE20A" w14:textId="14FE7948" w:rsidR="00B355B9" w:rsidRPr="00C823E7" w:rsidRDefault="00B355B9">
          <w:pPr>
            <w:pStyle w:val="TOC2"/>
            <w:rPr>
              <w:rFonts w:eastAsiaTheme="minorEastAsia"/>
              <w:noProof/>
              <w:kern w:val="2"/>
              <w:szCs w:val="24"/>
              <w14:ligatures w14:val="standardContextual"/>
            </w:rPr>
          </w:pPr>
          <w:hyperlink w:anchor="_Toc197520543" w:history="1">
            <w:r w:rsidRPr="00C823E7">
              <w:rPr>
                <w:rStyle w:val="Hyperlink"/>
                <w:noProof/>
                <w:color w:val="auto"/>
              </w:rPr>
              <w:t>15) Summing to total race, ethnicity, and sex</w:t>
            </w:r>
            <w:r w:rsidRPr="00C823E7">
              <w:rPr>
                <w:noProof/>
                <w:webHidden/>
              </w:rPr>
              <w:tab/>
            </w:r>
            <w:r w:rsidRPr="00C823E7">
              <w:rPr>
                <w:noProof/>
                <w:webHidden/>
              </w:rPr>
              <w:fldChar w:fldCharType="begin"/>
            </w:r>
            <w:r w:rsidRPr="00C823E7">
              <w:rPr>
                <w:noProof/>
                <w:webHidden/>
              </w:rPr>
              <w:instrText xml:space="preserve"> PAGEREF _Toc197520543 \h </w:instrText>
            </w:r>
            <w:r w:rsidRPr="00C823E7">
              <w:rPr>
                <w:noProof/>
                <w:webHidden/>
              </w:rPr>
            </w:r>
            <w:r w:rsidRPr="00C823E7">
              <w:rPr>
                <w:noProof/>
                <w:webHidden/>
              </w:rPr>
              <w:fldChar w:fldCharType="separate"/>
            </w:r>
            <w:r w:rsidRPr="00C823E7">
              <w:rPr>
                <w:noProof/>
                <w:webHidden/>
              </w:rPr>
              <w:t>33</w:t>
            </w:r>
            <w:r w:rsidRPr="00C823E7">
              <w:rPr>
                <w:noProof/>
                <w:webHidden/>
              </w:rPr>
              <w:fldChar w:fldCharType="end"/>
            </w:r>
          </w:hyperlink>
        </w:p>
        <w:p w14:paraId="4D027E7C" w14:textId="645CF71D" w:rsidR="00B355B9" w:rsidRPr="00C823E7" w:rsidRDefault="00B355B9">
          <w:pPr>
            <w:pStyle w:val="TOC1"/>
            <w:rPr>
              <w:rFonts w:eastAsiaTheme="minorEastAsia"/>
              <w:kern w:val="2"/>
              <w:szCs w:val="24"/>
              <w14:ligatures w14:val="standardContextual"/>
            </w:rPr>
          </w:pPr>
          <w:hyperlink w:anchor="_Toc197520544" w:history="1">
            <w:r w:rsidRPr="00C823E7">
              <w:rPr>
                <w:rStyle w:val="Hyperlink"/>
                <w:color w:val="auto"/>
              </w:rPr>
              <w:t>Projections Output</w:t>
            </w:r>
            <w:r w:rsidRPr="00C823E7">
              <w:rPr>
                <w:webHidden/>
              </w:rPr>
              <w:tab/>
            </w:r>
            <w:r w:rsidRPr="00C823E7">
              <w:rPr>
                <w:webHidden/>
              </w:rPr>
              <w:fldChar w:fldCharType="begin"/>
            </w:r>
            <w:r w:rsidRPr="00C823E7">
              <w:rPr>
                <w:webHidden/>
              </w:rPr>
              <w:instrText xml:space="preserve"> PAGEREF _Toc197520544 \h </w:instrText>
            </w:r>
            <w:r w:rsidRPr="00C823E7">
              <w:rPr>
                <w:webHidden/>
              </w:rPr>
            </w:r>
            <w:r w:rsidRPr="00C823E7">
              <w:rPr>
                <w:webHidden/>
              </w:rPr>
              <w:fldChar w:fldCharType="separate"/>
            </w:r>
            <w:r w:rsidRPr="00C823E7">
              <w:rPr>
                <w:webHidden/>
              </w:rPr>
              <w:t>35</w:t>
            </w:r>
            <w:r w:rsidRPr="00C823E7">
              <w:rPr>
                <w:webHidden/>
              </w:rPr>
              <w:fldChar w:fldCharType="end"/>
            </w:r>
          </w:hyperlink>
        </w:p>
        <w:p w14:paraId="73BB479D" w14:textId="1ADF71A4" w:rsidR="00B355B9" w:rsidRDefault="00B355B9">
          <w:pPr>
            <w:pStyle w:val="TOC1"/>
            <w:rPr>
              <w:rFonts w:eastAsiaTheme="minorEastAsia"/>
              <w:kern w:val="2"/>
              <w:szCs w:val="24"/>
              <w14:ligatures w14:val="standardContextual"/>
            </w:rPr>
          </w:pPr>
          <w:hyperlink w:anchor="_Toc197520545" w:history="1">
            <w:r w:rsidRPr="00985F96">
              <w:rPr>
                <w:rStyle w:val="Hyperlink"/>
              </w:rPr>
              <w:t>Appendix A</w:t>
            </w:r>
            <w:r>
              <w:rPr>
                <w:webHidden/>
              </w:rPr>
              <w:tab/>
            </w:r>
            <w:r>
              <w:rPr>
                <w:webHidden/>
              </w:rPr>
              <w:fldChar w:fldCharType="begin"/>
            </w:r>
            <w:r>
              <w:rPr>
                <w:webHidden/>
              </w:rPr>
              <w:instrText xml:space="preserve"> PAGEREF _Toc197520545 \h </w:instrText>
            </w:r>
            <w:r>
              <w:rPr>
                <w:webHidden/>
              </w:rPr>
            </w:r>
            <w:r>
              <w:rPr>
                <w:webHidden/>
              </w:rPr>
              <w:fldChar w:fldCharType="separate"/>
            </w:r>
            <w:r>
              <w:rPr>
                <w:webHidden/>
              </w:rPr>
              <w:t>37</w:t>
            </w:r>
            <w:r>
              <w:rPr>
                <w:webHidden/>
              </w:rPr>
              <w:fldChar w:fldCharType="end"/>
            </w:r>
          </w:hyperlink>
        </w:p>
        <w:p w14:paraId="72B759CD" w14:textId="70E4A66D" w:rsidR="00B355B9" w:rsidRDefault="00B355B9">
          <w:pPr>
            <w:pStyle w:val="TOC1"/>
            <w:rPr>
              <w:rFonts w:eastAsiaTheme="minorEastAsia"/>
              <w:kern w:val="2"/>
              <w:szCs w:val="24"/>
              <w14:ligatures w14:val="standardContextual"/>
            </w:rPr>
          </w:pPr>
          <w:hyperlink w:anchor="_Toc197520546" w:history="1">
            <w:r w:rsidRPr="00985F96">
              <w:rPr>
                <w:rStyle w:val="Hyperlink"/>
              </w:rPr>
              <w:t>Works Cited</w:t>
            </w:r>
            <w:r>
              <w:rPr>
                <w:webHidden/>
              </w:rPr>
              <w:tab/>
            </w:r>
            <w:r>
              <w:rPr>
                <w:webHidden/>
              </w:rPr>
              <w:fldChar w:fldCharType="begin"/>
            </w:r>
            <w:r>
              <w:rPr>
                <w:webHidden/>
              </w:rPr>
              <w:instrText xml:space="preserve"> PAGEREF _Toc197520546 \h </w:instrText>
            </w:r>
            <w:r>
              <w:rPr>
                <w:webHidden/>
              </w:rPr>
            </w:r>
            <w:r>
              <w:rPr>
                <w:webHidden/>
              </w:rPr>
              <w:fldChar w:fldCharType="separate"/>
            </w:r>
            <w:r>
              <w:rPr>
                <w:webHidden/>
              </w:rPr>
              <w:t>51</w:t>
            </w:r>
            <w:r>
              <w:rPr>
                <w:webHidden/>
              </w:rPr>
              <w:fldChar w:fldCharType="end"/>
            </w:r>
          </w:hyperlink>
        </w:p>
        <w:p w14:paraId="2BD5CFF6" w14:textId="7EFD12C4" w:rsidR="00A94256" w:rsidRPr="00453614" w:rsidRDefault="00A94256" w:rsidP="0003467D">
          <w:pPr>
            <w:spacing w:after="0" w:line="240" w:lineRule="auto"/>
            <w:ind w:hanging="720"/>
            <w:contextualSpacing/>
            <w:rPr>
              <w:rFonts w:ascii="Calibri" w:hAnsi="Calibri" w:cs="Calibri"/>
              <w:sz w:val="24"/>
              <w:szCs w:val="24"/>
            </w:rPr>
          </w:pPr>
          <w:r w:rsidRPr="00453614">
            <w:rPr>
              <w:rFonts w:ascii="Calibri" w:hAnsi="Calibri" w:cs="Calibri"/>
              <w:b/>
              <w:bCs/>
              <w:noProof/>
              <w:sz w:val="24"/>
              <w:szCs w:val="24"/>
            </w:rPr>
            <w:fldChar w:fldCharType="end"/>
          </w:r>
        </w:p>
      </w:sdtContent>
    </w:sdt>
    <w:p w14:paraId="4497D4C7" w14:textId="77777777" w:rsidR="003D6FE5" w:rsidRDefault="00A64C13" w:rsidP="00727220">
      <w:pPr>
        <w:pStyle w:val="TOCHeading"/>
      </w:pPr>
      <w:r>
        <w:lastRenderedPageBreak/>
        <w:t>List of Tables</w:t>
      </w:r>
    </w:p>
    <w:bookmarkStart w:id="6" w:name="_Toc118470767"/>
    <w:p w14:paraId="0EDDEB17" w14:textId="06ECC1A5" w:rsidR="00C823E7" w:rsidRDefault="00FD1D6D">
      <w:pPr>
        <w:pStyle w:val="TableofFigures"/>
        <w:tabs>
          <w:tab w:val="right" w:leader="dot" w:pos="9350"/>
        </w:tabs>
        <w:rPr>
          <w:rFonts w:eastAsiaTheme="minorEastAsia"/>
          <w:noProof/>
          <w:kern w:val="2"/>
          <w:sz w:val="24"/>
          <w:szCs w:val="24"/>
          <w14:ligatures w14:val="standardContextual"/>
        </w:rPr>
      </w:pPr>
      <w:r>
        <w:fldChar w:fldCharType="begin"/>
      </w:r>
      <w:r>
        <w:instrText xml:space="preserve"> TOC \h \z \c "Table" </w:instrText>
      </w:r>
      <w:r>
        <w:fldChar w:fldCharType="separate"/>
      </w:r>
      <w:hyperlink w:anchor="_Toc197520547" w:history="1">
        <w:r w:rsidR="00C823E7" w:rsidRPr="007E60D2">
          <w:rPr>
            <w:rStyle w:val="Hyperlink"/>
            <w:b/>
            <w:noProof/>
          </w:rPr>
          <w:t>Table 1. Population Adjustment by Municipality and Challenge Type</w:t>
        </w:r>
        <w:r w:rsidR="00C823E7">
          <w:rPr>
            <w:noProof/>
            <w:webHidden/>
          </w:rPr>
          <w:tab/>
        </w:r>
        <w:r w:rsidR="00C823E7">
          <w:rPr>
            <w:noProof/>
            <w:webHidden/>
          </w:rPr>
          <w:fldChar w:fldCharType="begin"/>
        </w:r>
        <w:r w:rsidR="00C823E7">
          <w:rPr>
            <w:noProof/>
            <w:webHidden/>
          </w:rPr>
          <w:instrText xml:space="preserve"> PAGEREF _Toc197520547 \h </w:instrText>
        </w:r>
        <w:r w:rsidR="00C823E7">
          <w:rPr>
            <w:noProof/>
            <w:webHidden/>
          </w:rPr>
        </w:r>
        <w:r w:rsidR="00C823E7">
          <w:rPr>
            <w:noProof/>
            <w:webHidden/>
          </w:rPr>
          <w:fldChar w:fldCharType="separate"/>
        </w:r>
        <w:r w:rsidR="00C823E7">
          <w:rPr>
            <w:noProof/>
            <w:webHidden/>
          </w:rPr>
          <w:t>19</w:t>
        </w:r>
        <w:r w:rsidR="00C823E7">
          <w:rPr>
            <w:noProof/>
            <w:webHidden/>
          </w:rPr>
          <w:fldChar w:fldCharType="end"/>
        </w:r>
      </w:hyperlink>
    </w:p>
    <w:p w14:paraId="72909217" w14:textId="221832DD"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48" w:history="1">
        <w:r w:rsidRPr="007E60D2">
          <w:rPr>
            <w:rStyle w:val="Hyperlink"/>
            <w:noProof/>
          </w:rPr>
          <w:t>Table 2. College Override Tracts and Populations</w:t>
        </w:r>
        <w:r>
          <w:rPr>
            <w:noProof/>
            <w:webHidden/>
          </w:rPr>
          <w:tab/>
        </w:r>
        <w:r>
          <w:rPr>
            <w:noProof/>
            <w:webHidden/>
          </w:rPr>
          <w:fldChar w:fldCharType="begin"/>
        </w:r>
        <w:r>
          <w:rPr>
            <w:noProof/>
            <w:webHidden/>
          </w:rPr>
          <w:instrText xml:space="preserve"> PAGEREF _Toc197520548 \h </w:instrText>
        </w:r>
        <w:r>
          <w:rPr>
            <w:noProof/>
            <w:webHidden/>
          </w:rPr>
        </w:r>
        <w:r>
          <w:rPr>
            <w:noProof/>
            <w:webHidden/>
          </w:rPr>
          <w:fldChar w:fldCharType="separate"/>
        </w:r>
        <w:r>
          <w:rPr>
            <w:noProof/>
            <w:webHidden/>
          </w:rPr>
          <w:t>21</w:t>
        </w:r>
        <w:r>
          <w:rPr>
            <w:noProof/>
            <w:webHidden/>
          </w:rPr>
          <w:fldChar w:fldCharType="end"/>
        </w:r>
      </w:hyperlink>
    </w:p>
    <w:p w14:paraId="2F417A29" w14:textId="098727CA"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49" w:history="1">
        <w:r w:rsidRPr="007E60D2">
          <w:rPr>
            <w:rStyle w:val="Hyperlink"/>
            <w:noProof/>
          </w:rPr>
          <w:t>Table 3. Single year of age as percent of 5-year age group and 10-year percentage point shift, 1990-2020</w:t>
        </w:r>
        <w:r>
          <w:rPr>
            <w:noProof/>
            <w:webHidden/>
          </w:rPr>
          <w:tab/>
        </w:r>
        <w:r>
          <w:rPr>
            <w:noProof/>
            <w:webHidden/>
          </w:rPr>
          <w:fldChar w:fldCharType="begin"/>
        </w:r>
        <w:r>
          <w:rPr>
            <w:noProof/>
            <w:webHidden/>
          </w:rPr>
          <w:instrText xml:space="preserve"> PAGEREF _Toc197520549 \h </w:instrText>
        </w:r>
        <w:r>
          <w:rPr>
            <w:noProof/>
            <w:webHidden/>
          </w:rPr>
        </w:r>
        <w:r>
          <w:rPr>
            <w:noProof/>
            <w:webHidden/>
          </w:rPr>
          <w:fldChar w:fldCharType="separate"/>
        </w:r>
        <w:r>
          <w:rPr>
            <w:noProof/>
            <w:webHidden/>
          </w:rPr>
          <w:t>27</w:t>
        </w:r>
        <w:r>
          <w:rPr>
            <w:noProof/>
            <w:webHidden/>
          </w:rPr>
          <w:fldChar w:fldCharType="end"/>
        </w:r>
      </w:hyperlink>
    </w:p>
    <w:p w14:paraId="7DF84FD5" w14:textId="22704A8B"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50" w:history="1">
        <w:r w:rsidRPr="007E60D2">
          <w:rPr>
            <w:rStyle w:val="Hyperlink"/>
            <w:noProof/>
          </w:rPr>
          <w:t xml:space="preserve">Table 4. </w:t>
        </w:r>
        <w:r w:rsidRPr="007E60D2">
          <w:rPr>
            <w:rStyle w:val="Hyperlink"/>
            <w:rFonts w:eastAsia="Calibri" w:cstheme="minorHAnsi"/>
            <w:noProof/>
          </w:rPr>
          <w:t>Population Estimates Output Variable Names and Descriptions</w:t>
        </w:r>
        <w:r>
          <w:rPr>
            <w:noProof/>
            <w:webHidden/>
          </w:rPr>
          <w:tab/>
        </w:r>
        <w:r>
          <w:rPr>
            <w:noProof/>
            <w:webHidden/>
          </w:rPr>
          <w:fldChar w:fldCharType="begin"/>
        </w:r>
        <w:r>
          <w:rPr>
            <w:noProof/>
            <w:webHidden/>
          </w:rPr>
          <w:instrText xml:space="preserve"> PAGEREF _Toc197520550 \h </w:instrText>
        </w:r>
        <w:r>
          <w:rPr>
            <w:noProof/>
            <w:webHidden/>
          </w:rPr>
        </w:r>
        <w:r>
          <w:rPr>
            <w:noProof/>
            <w:webHidden/>
          </w:rPr>
          <w:fldChar w:fldCharType="separate"/>
        </w:r>
        <w:r>
          <w:rPr>
            <w:noProof/>
            <w:webHidden/>
          </w:rPr>
          <w:t>35</w:t>
        </w:r>
        <w:r>
          <w:rPr>
            <w:noProof/>
            <w:webHidden/>
          </w:rPr>
          <w:fldChar w:fldCharType="end"/>
        </w:r>
      </w:hyperlink>
    </w:p>
    <w:p w14:paraId="3A1B8F85" w14:textId="33CDDB05"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51" w:history="1">
        <w:r w:rsidRPr="007E60D2">
          <w:rPr>
            <w:rStyle w:val="Hyperlink"/>
            <w:noProof/>
          </w:rPr>
          <w:t>Table A1. Age/Sex Share of Census 2020 Massachusetts Group Quarters Population by Type</w:t>
        </w:r>
        <w:r>
          <w:rPr>
            <w:noProof/>
            <w:webHidden/>
          </w:rPr>
          <w:tab/>
        </w:r>
        <w:r>
          <w:rPr>
            <w:noProof/>
            <w:webHidden/>
          </w:rPr>
          <w:fldChar w:fldCharType="begin"/>
        </w:r>
        <w:r>
          <w:rPr>
            <w:noProof/>
            <w:webHidden/>
          </w:rPr>
          <w:instrText xml:space="preserve"> PAGEREF _Toc197520551 \h </w:instrText>
        </w:r>
        <w:r>
          <w:rPr>
            <w:noProof/>
            <w:webHidden/>
          </w:rPr>
        </w:r>
        <w:r>
          <w:rPr>
            <w:noProof/>
            <w:webHidden/>
          </w:rPr>
          <w:fldChar w:fldCharType="separate"/>
        </w:r>
        <w:r>
          <w:rPr>
            <w:noProof/>
            <w:webHidden/>
          </w:rPr>
          <w:t>37</w:t>
        </w:r>
        <w:r>
          <w:rPr>
            <w:noProof/>
            <w:webHidden/>
          </w:rPr>
          <w:fldChar w:fldCharType="end"/>
        </w:r>
      </w:hyperlink>
    </w:p>
    <w:p w14:paraId="4E5DC5F2" w14:textId="2629BAF1"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52" w:history="1">
        <w:r w:rsidRPr="007E60D2">
          <w:rPr>
            <w:rStyle w:val="Hyperlink"/>
            <w:noProof/>
          </w:rPr>
          <w:t>Table A2. Cohort-size categories used in error assignment</w:t>
        </w:r>
        <w:r>
          <w:rPr>
            <w:noProof/>
            <w:webHidden/>
          </w:rPr>
          <w:tab/>
        </w:r>
        <w:r>
          <w:rPr>
            <w:noProof/>
            <w:webHidden/>
          </w:rPr>
          <w:fldChar w:fldCharType="begin"/>
        </w:r>
        <w:r>
          <w:rPr>
            <w:noProof/>
            <w:webHidden/>
          </w:rPr>
          <w:instrText xml:space="preserve"> PAGEREF _Toc197520552 \h </w:instrText>
        </w:r>
        <w:r>
          <w:rPr>
            <w:noProof/>
            <w:webHidden/>
          </w:rPr>
        </w:r>
        <w:r>
          <w:rPr>
            <w:noProof/>
            <w:webHidden/>
          </w:rPr>
          <w:fldChar w:fldCharType="separate"/>
        </w:r>
        <w:r>
          <w:rPr>
            <w:noProof/>
            <w:webHidden/>
          </w:rPr>
          <w:t>38</w:t>
        </w:r>
        <w:r>
          <w:rPr>
            <w:noProof/>
            <w:webHidden/>
          </w:rPr>
          <w:fldChar w:fldCharType="end"/>
        </w:r>
      </w:hyperlink>
    </w:p>
    <w:p w14:paraId="7E7FAC94" w14:textId="0BB1BA44"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53" w:history="1">
        <w:r w:rsidRPr="007E60D2">
          <w:rPr>
            <w:rStyle w:val="Hyperlink"/>
            <w:noProof/>
          </w:rPr>
          <w:t>Table A3. Mean Absolute Percent Errors by Age Group and Cohort Size, MCD-Level, All Massachusetts Geographies</w:t>
        </w:r>
        <w:r>
          <w:rPr>
            <w:noProof/>
            <w:webHidden/>
          </w:rPr>
          <w:tab/>
        </w:r>
        <w:r>
          <w:rPr>
            <w:noProof/>
            <w:webHidden/>
          </w:rPr>
          <w:fldChar w:fldCharType="begin"/>
        </w:r>
        <w:r>
          <w:rPr>
            <w:noProof/>
            <w:webHidden/>
          </w:rPr>
          <w:instrText xml:space="preserve"> PAGEREF _Toc197520553 \h </w:instrText>
        </w:r>
        <w:r>
          <w:rPr>
            <w:noProof/>
            <w:webHidden/>
          </w:rPr>
        </w:r>
        <w:r>
          <w:rPr>
            <w:noProof/>
            <w:webHidden/>
          </w:rPr>
          <w:fldChar w:fldCharType="separate"/>
        </w:r>
        <w:r>
          <w:rPr>
            <w:noProof/>
            <w:webHidden/>
          </w:rPr>
          <w:t>39</w:t>
        </w:r>
        <w:r>
          <w:rPr>
            <w:noProof/>
            <w:webHidden/>
          </w:rPr>
          <w:fldChar w:fldCharType="end"/>
        </w:r>
      </w:hyperlink>
    </w:p>
    <w:p w14:paraId="030C978A" w14:textId="3028CE15"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54" w:history="1">
        <w:r w:rsidRPr="007E60D2">
          <w:rPr>
            <w:rStyle w:val="Hyperlink"/>
            <w:noProof/>
          </w:rPr>
          <w:t>Table A4. Mean Absolute Percent Errors by Age Group and Cohort Size, MCD-Level, Cape and Island Geographies</w:t>
        </w:r>
        <w:r>
          <w:rPr>
            <w:noProof/>
            <w:webHidden/>
          </w:rPr>
          <w:tab/>
        </w:r>
        <w:r>
          <w:rPr>
            <w:noProof/>
            <w:webHidden/>
          </w:rPr>
          <w:fldChar w:fldCharType="begin"/>
        </w:r>
        <w:r>
          <w:rPr>
            <w:noProof/>
            <w:webHidden/>
          </w:rPr>
          <w:instrText xml:space="preserve"> PAGEREF _Toc197520554 \h </w:instrText>
        </w:r>
        <w:r>
          <w:rPr>
            <w:noProof/>
            <w:webHidden/>
          </w:rPr>
        </w:r>
        <w:r>
          <w:rPr>
            <w:noProof/>
            <w:webHidden/>
          </w:rPr>
          <w:fldChar w:fldCharType="separate"/>
        </w:r>
        <w:r>
          <w:rPr>
            <w:noProof/>
            <w:webHidden/>
          </w:rPr>
          <w:t>40</w:t>
        </w:r>
        <w:r>
          <w:rPr>
            <w:noProof/>
            <w:webHidden/>
          </w:rPr>
          <w:fldChar w:fldCharType="end"/>
        </w:r>
      </w:hyperlink>
    </w:p>
    <w:p w14:paraId="151E40A8" w14:textId="541AD06E"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55" w:history="1">
        <w:r w:rsidRPr="007E60D2">
          <w:rPr>
            <w:rStyle w:val="Hyperlink"/>
            <w:noProof/>
          </w:rPr>
          <w:t>Table A5. Mean Absolute Percent Errors by Age Group and Cohort Size, MCD-Level, Balance of State</w:t>
        </w:r>
        <w:r>
          <w:rPr>
            <w:noProof/>
            <w:webHidden/>
          </w:rPr>
          <w:tab/>
        </w:r>
        <w:r>
          <w:rPr>
            <w:noProof/>
            <w:webHidden/>
          </w:rPr>
          <w:fldChar w:fldCharType="begin"/>
        </w:r>
        <w:r>
          <w:rPr>
            <w:noProof/>
            <w:webHidden/>
          </w:rPr>
          <w:instrText xml:space="preserve"> PAGEREF _Toc197520555 \h </w:instrText>
        </w:r>
        <w:r>
          <w:rPr>
            <w:noProof/>
            <w:webHidden/>
          </w:rPr>
        </w:r>
        <w:r>
          <w:rPr>
            <w:noProof/>
            <w:webHidden/>
          </w:rPr>
          <w:fldChar w:fldCharType="separate"/>
        </w:r>
        <w:r>
          <w:rPr>
            <w:noProof/>
            <w:webHidden/>
          </w:rPr>
          <w:t>41</w:t>
        </w:r>
        <w:r>
          <w:rPr>
            <w:noProof/>
            <w:webHidden/>
          </w:rPr>
          <w:fldChar w:fldCharType="end"/>
        </w:r>
      </w:hyperlink>
    </w:p>
    <w:p w14:paraId="44A3375D" w14:textId="7BAD8263"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56" w:history="1">
        <w:r w:rsidRPr="007E60D2">
          <w:rPr>
            <w:rStyle w:val="Hyperlink"/>
            <w:noProof/>
          </w:rPr>
          <w:t>Table A6. Mean Absolute Percent Errors by Age Group and Cohort Size, Tract Level, All Massachusetts Geographies</w:t>
        </w:r>
        <w:r>
          <w:rPr>
            <w:noProof/>
            <w:webHidden/>
          </w:rPr>
          <w:tab/>
        </w:r>
        <w:r>
          <w:rPr>
            <w:noProof/>
            <w:webHidden/>
          </w:rPr>
          <w:fldChar w:fldCharType="begin"/>
        </w:r>
        <w:r>
          <w:rPr>
            <w:noProof/>
            <w:webHidden/>
          </w:rPr>
          <w:instrText xml:space="preserve"> PAGEREF _Toc197520556 \h </w:instrText>
        </w:r>
        <w:r>
          <w:rPr>
            <w:noProof/>
            <w:webHidden/>
          </w:rPr>
        </w:r>
        <w:r>
          <w:rPr>
            <w:noProof/>
            <w:webHidden/>
          </w:rPr>
          <w:fldChar w:fldCharType="separate"/>
        </w:r>
        <w:r>
          <w:rPr>
            <w:noProof/>
            <w:webHidden/>
          </w:rPr>
          <w:t>42</w:t>
        </w:r>
        <w:r>
          <w:rPr>
            <w:noProof/>
            <w:webHidden/>
          </w:rPr>
          <w:fldChar w:fldCharType="end"/>
        </w:r>
      </w:hyperlink>
    </w:p>
    <w:p w14:paraId="448FBC75" w14:textId="78839166"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57" w:history="1">
        <w:r w:rsidRPr="007E60D2">
          <w:rPr>
            <w:rStyle w:val="Hyperlink"/>
            <w:noProof/>
          </w:rPr>
          <w:t>Table A7. Mean Absolute Percent Errors by Age Group and Cohort Size, Tract-Level, Cape and Island Geographies</w:t>
        </w:r>
        <w:r>
          <w:rPr>
            <w:noProof/>
            <w:webHidden/>
          </w:rPr>
          <w:tab/>
        </w:r>
        <w:r>
          <w:rPr>
            <w:noProof/>
            <w:webHidden/>
          </w:rPr>
          <w:fldChar w:fldCharType="begin"/>
        </w:r>
        <w:r>
          <w:rPr>
            <w:noProof/>
            <w:webHidden/>
          </w:rPr>
          <w:instrText xml:space="preserve"> PAGEREF _Toc197520557 \h </w:instrText>
        </w:r>
        <w:r>
          <w:rPr>
            <w:noProof/>
            <w:webHidden/>
          </w:rPr>
        </w:r>
        <w:r>
          <w:rPr>
            <w:noProof/>
            <w:webHidden/>
          </w:rPr>
          <w:fldChar w:fldCharType="separate"/>
        </w:r>
        <w:r>
          <w:rPr>
            <w:noProof/>
            <w:webHidden/>
          </w:rPr>
          <w:t>43</w:t>
        </w:r>
        <w:r>
          <w:rPr>
            <w:noProof/>
            <w:webHidden/>
          </w:rPr>
          <w:fldChar w:fldCharType="end"/>
        </w:r>
      </w:hyperlink>
    </w:p>
    <w:p w14:paraId="593DADE4" w14:textId="19FC465B"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58" w:history="1">
        <w:r w:rsidRPr="007E60D2">
          <w:rPr>
            <w:rStyle w:val="Hyperlink"/>
            <w:noProof/>
          </w:rPr>
          <w:t xml:space="preserve">Table A8. </w:t>
        </w:r>
        <w:r w:rsidRPr="007E60D2">
          <w:rPr>
            <w:rStyle w:val="Hyperlink"/>
            <w:rFonts w:eastAsia="Calibri"/>
            <w:noProof/>
          </w:rPr>
          <w:t xml:space="preserve">Mean </w:t>
        </w:r>
        <w:r w:rsidRPr="007E60D2">
          <w:rPr>
            <w:rStyle w:val="Hyperlink"/>
            <w:noProof/>
          </w:rPr>
          <w:t xml:space="preserve">Absolute </w:t>
        </w:r>
        <w:r w:rsidRPr="007E60D2">
          <w:rPr>
            <w:rStyle w:val="Hyperlink"/>
            <w:rFonts w:eastAsia="Calibri"/>
            <w:noProof/>
          </w:rPr>
          <w:t xml:space="preserve">Percent Errors by Age Group and Cohort Size, Tract-Level, </w:t>
        </w:r>
        <w:r w:rsidRPr="007E60D2">
          <w:rPr>
            <w:rStyle w:val="Hyperlink"/>
            <w:noProof/>
          </w:rPr>
          <w:t>Balance of State</w:t>
        </w:r>
        <w:r>
          <w:rPr>
            <w:noProof/>
            <w:webHidden/>
          </w:rPr>
          <w:tab/>
        </w:r>
        <w:r>
          <w:rPr>
            <w:noProof/>
            <w:webHidden/>
          </w:rPr>
          <w:fldChar w:fldCharType="begin"/>
        </w:r>
        <w:r>
          <w:rPr>
            <w:noProof/>
            <w:webHidden/>
          </w:rPr>
          <w:instrText xml:space="preserve"> PAGEREF _Toc197520558 \h </w:instrText>
        </w:r>
        <w:r>
          <w:rPr>
            <w:noProof/>
            <w:webHidden/>
          </w:rPr>
        </w:r>
        <w:r>
          <w:rPr>
            <w:noProof/>
            <w:webHidden/>
          </w:rPr>
          <w:fldChar w:fldCharType="separate"/>
        </w:r>
        <w:r>
          <w:rPr>
            <w:noProof/>
            <w:webHidden/>
          </w:rPr>
          <w:t>44</w:t>
        </w:r>
        <w:r>
          <w:rPr>
            <w:noProof/>
            <w:webHidden/>
          </w:rPr>
          <w:fldChar w:fldCharType="end"/>
        </w:r>
      </w:hyperlink>
    </w:p>
    <w:p w14:paraId="2E44F86B" w14:textId="136C3977"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59" w:history="1">
        <w:r w:rsidRPr="007E60D2">
          <w:rPr>
            <w:rStyle w:val="Hyperlink"/>
            <w:noProof/>
          </w:rPr>
          <w:t>Table A9.</w:t>
        </w:r>
        <w:r w:rsidRPr="007E60D2">
          <w:rPr>
            <w:rStyle w:val="Hyperlink"/>
            <w:rFonts w:eastAsia="Calibri"/>
            <w:noProof/>
          </w:rPr>
          <w:t xml:space="preserve"> Mean Percent Errors by Age Group and Cohort Size, MCD-Level, </w:t>
        </w:r>
        <w:r w:rsidRPr="007E60D2">
          <w:rPr>
            <w:rStyle w:val="Hyperlink"/>
            <w:noProof/>
          </w:rPr>
          <w:t>All Massachusetts</w:t>
        </w:r>
        <w:r w:rsidRPr="007E60D2">
          <w:rPr>
            <w:rStyle w:val="Hyperlink"/>
            <w:rFonts w:eastAsia="Calibri"/>
            <w:noProof/>
          </w:rPr>
          <w:t xml:space="preserve"> Geographies</w:t>
        </w:r>
        <w:r>
          <w:rPr>
            <w:noProof/>
            <w:webHidden/>
          </w:rPr>
          <w:tab/>
        </w:r>
        <w:r>
          <w:rPr>
            <w:noProof/>
            <w:webHidden/>
          </w:rPr>
          <w:fldChar w:fldCharType="begin"/>
        </w:r>
        <w:r>
          <w:rPr>
            <w:noProof/>
            <w:webHidden/>
          </w:rPr>
          <w:instrText xml:space="preserve"> PAGEREF _Toc197520559 \h </w:instrText>
        </w:r>
        <w:r>
          <w:rPr>
            <w:noProof/>
            <w:webHidden/>
          </w:rPr>
        </w:r>
        <w:r>
          <w:rPr>
            <w:noProof/>
            <w:webHidden/>
          </w:rPr>
          <w:fldChar w:fldCharType="separate"/>
        </w:r>
        <w:r>
          <w:rPr>
            <w:noProof/>
            <w:webHidden/>
          </w:rPr>
          <w:t>45</w:t>
        </w:r>
        <w:r>
          <w:rPr>
            <w:noProof/>
            <w:webHidden/>
          </w:rPr>
          <w:fldChar w:fldCharType="end"/>
        </w:r>
      </w:hyperlink>
    </w:p>
    <w:p w14:paraId="26FAECA0" w14:textId="70C152FA"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60" w:history="1">
        <w:r w:rsidRPr="007E60D2">
          <w:rPr>
            <w:rStyle w:val="Hyperlink"/>
            <w:noProof/>
          </w:rPr>
          <w:t>Table A10. Mean Percent Errors by Age Group and Cohort Size, MCD-Level, Cape and Island Geographies</w:t>
        </w:r>
        <w:r>
          <w:rPr>
            <w:noProof/>
            <w:webHidden/>
          </w:rPr>
          <w:tab/>
        </w:r>
        <w:r>
          <w:rPr>
            <w:noProof/>
            <w:webHidden/>
          </w:rPr>
          <w:fldChar w:fldCharType="begin"/>
        </w:r>
        <w:r>
          <w:rPr>
            <w:noProof/>
            <w:webHidden/>
          </w:rPr>
          <w:instrText xml:space="preserve"> PAGEREF _Toc197520560 \h </w:instrText>
        </w:r>
        <w:r>
          <w:rPr>
            <w:noProof/>
            <w:webHidden/>
          </w:rPr>
        </w:r>
        <w:r>
          <w:rPr>
            <w:noProof/>
            <w:webHidden/>
          </w:rPr>
          <w:fldChar w:fldCharType="separate"/>
        </w:r>
        <w:r>
          <w:rPr>
            <w:noProof/>
            <w:webHidden/>
          </w:rPr>
          <w:t>46</w:t>
        </w:r>
        <w:r>
          <w:rPr>
            <w:noProof/>
            <w:webHidden/>
          </w:rPr>
          <w:fldChar w:fldCharType="end"/>
        </w:r>
      </w:hyperlink>
    </w:p>
    <w:p w14:paraId="0354821B" w14:textId="7709B551"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61" w:history="1">
        <w:r w:rsidRPr="007E60D2">
          <w:rPr>
            <w:rStyle w:val="Hyperlink"/>
            <w:noProof/>
          </w:rPr>
          <w:t xml:space="preserve">Table A11. </w:t>
        </w:r>
        <w:r w:rsidRPr="007E60D2">
          <w:rPr>
            <w:rStyle w:val="Hyperlink"/>
            <w:rFonts w:eastAsia="Calibri"/>
            <w:noProof/>
          </w:rPr>
          <w:t>Mean Percent Errors by Age Group and Cohort Size, MCD-Level, Balance of State</w:t>
        </w:r>
        <w:r>
          <w:rPr>
            <w:noProof/>
            <w:webHidden/>
          </w:rPr>
          <w:tab/>
        </w:r>
        <w:r>
          <w:rPr>
            <w:noProof/>
            <w:webHidden/>
          </w:rPr>
          <w:fldChar w:fldCharType="begin"/>
        </w:r>
        <w:r>
          <w:rPr>
            <w:noProof/>
            <w:webHidden/>
          </w:rPr>
          <w:instrText xml:space="preserve"> PAGEREF _Toc197520561 \h </w:instrText>
        </w:r>
        <w:r>
          <w:rPr>
            <w:noProof/>
            <w:webHidden/>
          </w:rPr>
        </w:r>
        <w:r>
          <w:rPr>
            <w:noProof/>
            <w:webHidden/>
          </w:rPr>
          <w:fldChar w:fldCharType="separate"/>
        </w:r>
        <w:r>
          <w:rPr>
            <w:noProof/>
            <w:webHidden/>
          </w:rPr>
          <w:t>47</w:t>
        </w:r>
        <w:r>
          <w:rPr>
            <w:noProof/>
            <w:webHidden/>
          </w:rPr>
          <w:fldChar w:fldCharType="end"/>
        </w:r>
      </w:hyperlink>
    </w:p>
    <w:p w14:paraId="5C100054" w14:textId="13404780"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62" w:history="1">
        <w:r w:rsidRPr="007E60D2">
          <w:rPr>
            <w:rStyle w:val="Hyperlink"/>
            <w:noProof/>
          </w:rPr>
          <w:t>Table A12. Mean Percent Errors by Age Group and Cohort Size, Tract Level, All Massachusetts Geographies</w:t>
        </w:r>
        <w:r>
          <w:rPr>
            <w:noProof/>
            <w:webHidden/>
          </w:rPr>
          <w:tab/>
        </w:r>
        <w:r>
          <w:rPr>
            <w:noProof/>
            <w:webHidden/>
          </w:rPr>
          <w:fldChar w:fldCharType="begin"/>
        </w:r>
        <w:r>
          <w:rPr>
            <w:noProof/>
            <w:webHidden/>
          </w:rPr>
          <w:instrText xml:space="preserve"> PAGEREF _Toc197520562 \h </w:instrText>
        </w:r>
        <w:r>
          <w:rPr>
            <w:noProof/>
            <w:webHidden/>
          </w:rPr>
        </w:r>
        <w:r>
          <w:rPr>
            <w:noProof/>
            <w:webHidden/>
          </w:rPr>
          <w:fldChar w:fldCharType="separate"/>
        </w:r>
        <w:r>
          <w:rPr>
            <w:noProof/>
            <w:webHidden/>
          </w:rPr>
          <w:t>48</w:t>
        </w:r>
        <w:r>
          <w:rPr>
            <w:noProof/>
            <w:webHidden/>
          </w:rPr>
          <w:fldChar w:fldCharType="end"/>
        </w:r>
      </w:hyperlink>
    </w:p>
    <w:p w14:paraId="6CE96B09" w14:textId="474342DD"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63" w:history="1">
        <w:r w:rsidRPr="007E60D2">
          <w:rPr>
            <w:rStyle w:val="Hyperlink"/>
            <w:noProof/>
          </w:rPr>
          <w:t xml:space="preserve">Table A13. </w:t>
        </w:r>
        <w:r w:rsidRPr="007E60D2">
          <w:rPr>
            <w:rStyle w:val="Hyperlink"/>
            <w:rFonts w:eastAsia="Calibri"/>
            <w:noProof/>
          </w:rPr>
          <w:t>Mean Percent Errors by Age Group and Cohort Size, Tract-Level, Cape and Island Geographies</w:t>
        </w:r>
        <w:r>
          <w:rPr>
            <w:noProof/>
            <w:webHidden/>
          </w:rPr>
          <w:tab/>
        </w:r>
        <w:r>
          <w:rPr>
            <w:noProof/>
            <w:webHidden/>
          </w:rPr>
          <w:fldChar w:fldCharType="begin"/>
        </w:r>
        <w:r>
          <w:rPr>
            <w:noProof/>
            <w:webHidden/>
          </w:rPr>
          <w:instrText xml:space="preserve"> PAGEREF _Toc197520563 \h </w:instrText>
        </w:r>
        <w:r>
          <w:rPr>
            <w:noProof/>
            <w:webHidden/>
          </w:rPr>
        </w:r>
        <w:r>
          <w:rPr>
            <w:noProof/>
            <w:webHidden/>
          </w:rPr>
          <w:fldChar w:fldCharType="separate"/>
        </w:r>
        <w:r>
          <w:rPr>
            <w:noProof/>
            <w:webHidden/>
          </w:rPr>
          <w:t>49</w:t>
        </w:r>
        <w:r>
          <w:rPr>
            <w:noProof/>
            <w:webHidden/>
          </w:rPr>
          <w:fldChar w:fldCharType="end"/>
        </w:r>
      </w:hyperlink>
    </w:p>
    <w:p w14:paraId="51BC24EA" w14:textId="58557576"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64" w:history="1">
        <w:r w:rsidRPr="007E60D2">
          <w:rPr>
            <w:rStyle w:val="Hyperlink"/>
            <w:noProof/>
          </w:rPr>
          <w:t xml:space="preserve">Table A14. </w:t>
        </w:r>
        <w:r w:rsidRPr="007E60D2">
          <w:rPr>
            <w:rStyle w:val="Hyperlink"/>
            <w:rFonts w:eastAsia="Calibri"/>
            <w:noProof/>
          </w:rPr>
          <w:t>Mean Percent Errors by Age Group and Cohort Size, Tract-Level, Balance of State</w:t>
        </w:r>
        <w:r>
          <w:rPr>
            <w:noProof/>
            <w:webHidden/>
          </w:rPr>
          <w:tab/>
        </w:r>
        <w:r>
          <w:rPr>
            <w:noProof/>
            <w:webHidden/>
          </w:rPr>
          <w:fldChar w:fldCharType="begin"/>
        </w:r>
        <w:r>
          <w:rPr>
            <w:noProof/>
            <w:webHidden/>
          </w:rPr>
          <w:instrText xml:space="preserve"> PAGEREF _Toc197520564 \h </w:instrText>
        </w:r>
        <w:r>
          <w:rPr>
            <w:noProof/>
            <w:webHidden/>
          </w:rPr>
        </w:r>
        <w:r>
          <w:rPr>
            <w:noProof/>
            <w:webHidden/>
          </w:rPr>
          <w:fldChar w:fldCharType="separate"/>
        </w:r>
        <w:r>
          <w:rPr>
            <w:noProof/>
            <w:webHidden/>
          </w:rPr>
          <w:t>50</w:t>
        </w:r>
        <w:r>
          <w:rPr>
            <w:noProof/>
            <w:webHidden/>
          </w:rPr>
          <w:fldChar w:fldCharType="end"/>
        </w:r>
      </w:hyperlink>
    </w:p>
    <w:p w14:paraId="334FB207" w14:textId="39E10D89" w:rsidR="00145480" w:rsidRDefault="00FD1D6D" w:rsidP="00145480">
      <w:pPr>
        <w:pStyle w:val="BodyText"/>
      </w:pPr>
      <w:r>
        <w:fldChar w:fldCharType="end"/>
      </w:r>
    </w:p>
    <w:p w14:paraId="31053B96" w14:textId="685F83C9" w:rsidR="00A94256" w:rsidRDefault="00A94256" w:rsidP="00145480">
      <w:pPr>
        <w:pStyle w:val="Heading1"/>
      </w:pPr>
      <w:bookmarkStart w:id="7" w:name="_Toc197520517"/>
      <w:r>
        <w:lastRenderedPageBreak/>
        <w:t>List of Figures</w:t>
      </w:r>
      <w:bookmarkEnd w:id="6"/>
      <w:bookmarkEnd w:id="7"/>
    </w:p>
    <w:p w14:paraId="1A2CC7FF" w14:textId="7893221C" w:rsidR="00C823E7" w:rsidRDefault="00086808">
      <w:pPr>
        <w:pStyle w:val="TableofFigures"/>
        <w:tabs>
          <w:tab w:val="right" w:leader="dot" w:pos="9350"/>
        </w:tabs>
        <w:rPr>
          <w:rFonts w:eastAsiaTheme="minorEastAsia"/>
          <w:noProof/>
          <w:kern w:val="2"/>
          <w:sz w:val="24"/>
          <w:szCs w:val="24"/>
          <w14:ligatures w14:val="standardContextual"/>
        </w:rPr>
      </w:pPr>
      <w:r>
        <w:rPr>
          <w:b/>
          <w:bCs/>
          <w:noProof/>
        </w:rPr>
        <w:fldChar w:fldCharType="begin"/>
      </w:r>
      <w:r>
        <w:rPr>
          <w:b/>
          <w:bCs/>
          <w:noProof/>
        </w:rPr>
        <w:instrText xml:space="preserve"> TOC \h \z \c "Figure" </w:instrText>
      </w:r>
      <w:r>
        <w:rPr>
          <w:b/>
          <w:bCs/>
          <w:noProof/>
        </w:rPr>
        <w:fldChar w:fldCharType="separate"/>
      </w:r>
      <w:hyperlink w:anchor="_Toc197520565" w:history="1">
        <w:r w:rsidR="00C823E7" w:rsidRPr="0069422E">
          <w:rPr>
            <w:rStyle w:val="Hyperlink"/>
            <w:noProof/>
          </w:rPr>
          <w:t xml:space="preserve">Figure 1. </w:t>
        </w:r>
        <w:r w:rsidR="00C823E7" w:rsidRPr="0069422E">
          <w:rPr>
            <w:rStyle w:val="Hyperlink"/>
            <w:rFonts w:eastAsia="Calibri" w:cstheme="minorHAnsi"/>
            <w:noProof/>
            <w:shd w:val="clear" w:color="auto" w:fill="FFFFFF"/>
          </w:rPr>
          <w:t>Example of Census 2000 Block Cohort Population Distributed to Census 2010 Block</w:t>
        </w:r>
        <w:r w:rsidR="00C823E7">
          <w:rPr>
            <w:noProof/>
            <w:webHidden/>
          </w:rPr>
          <w:tab/>
        </w:r>
        <w:r w:rsidR="00C823E7">
          <w:rPr>
            <w:noProof/>
            <w:webHidden/>
          </w:rPr>
          <w:fldChar w:fldCharType="begin"/>
        </w:r>
        <w:r w:rsidR="00C823E7">
          <w:rPr>
            <w:noProof/>
            <w:webHidden/>
          </w:rPr>
          <w:instrText xml:space="preserve"> PAGEREF _Toc197520565 \h </w:instrText>
        </w:r>
        <w:r w:rsidR="00C823E7">
          <w:rPr>
            <w:noProof/>
            <w:webHidden/>
          </w:rPr>
        </w:r>
        <w:r w:rsidR="00C823E7">
          <w:rPr>
            <w:noProof/>
            <w:webHidden/>
          </w:rPr>
          <w:fldChar w:fldCharType="separate"/>
        </w:r>
        <w:r w:rsidR="00C823E7">
          <w:rPr>
            <w:noProof/>
            <w:webHidden/>
          </w:rPr>
          <w:t>15</w:t>
        </w:r>
        <w:r w:rsidR="00C823E7">
          <w:rPr>
            <w:noProof/>
            <w:webHidden/>
          </w:rPr>
          <w:fldChar w:fldCharType="end"/>
        </w:r>
      </w:hyperlink>
    </w:p>
    <w:p w14:paraId="43013E7B" w14:textId="34CD7620" w:rsidR="00C823E7" w:rsidRDefault="00C823E7">
      <w:pPr>
        <w:pStyle w:val="TableofFigures"/>
        <w:tabs>
          <w:tab w:val="right" w:leader="dot" w:pos="9350"/>
        </w:tabs>
        <w:rPr>
          <w:rFonts w:eastAsiaTheme="minorEastAsia"/>
          <w:noProof/>
          <w:kern w:val="2"/>
          <w:sz w:val="24"/>
          <w:szCs w:val="24"/>
          <w14:ligatures w14:val="standardContextual"/>
        </w:rPr>
      </w:pPr>
      <w:hyperlink w:anchor="_Toc197520566" w:history="1">
        <w:r w:rsidRPr="0069422E">
          <w:rPr>
            <w:rStyle w:val="Hyperlink"/>
            <w:noProof/>
          </w:rPr>
          <w:t>Figure 2. Example of Summing Distributed 2000 Population to Census 2010 Tracts</w:t>
        </w:r>
        <w:r>
          <w:rPr>
            <w:noProof/>
            <w:webHidden/>
          </w:rPr>
          <w:tab/>
        </w:r>
        <w:r>
          <w:rPr>
            <w:noProof/>
            <w:webHidden/>
          </w:rPr>
          <w:fldChar w:fldCharType="begin"/>
        </w:r>
        <w:r>
          <w:rPr>
            <w:noProof/>
            <w:webHidden/>
          </w:rPr>
          <w:instrText xml:space="preserve"> PAGEREF _Toc197520566 \h </w:instrText>
        </w:r>
        <w:r>
          <w:rPr>
            <w:noProof/>
            <w:webHidden/>
          </w:rPr>
        </w:r>
        <w:r>
          <w:rPr>
            <w:noProof/>
            <w:webHidden/>
          </w:rPr>
          <w:fldChar w:fldCharType="separate"/>
        </w:r>
        <w:r>
          <w:rPr>
            <w:noProof/>
            <w:webHidden/>
          </w:rPr>
          <w:t>16</w:t>
        </w:r>
        <w:r>
          <w:rPr>
            <w:noProof/>
            <w:webHidden/>
          </w:rPr>
          <w:fldChar w:fldCharType="end"/>
        </w:r>
      </w:hyperlink>
    </w:p>
    <w:p w14:paraId="65A03E66" w14:textId="21C6BB0B" w:rsidR="00A94256" w:rsidRPr="00F659F6" w:rsidRDefault="00086808" w:rsidP="00A94256">
      <w:pPr>
        <w:rPr>
          <w:rFonts w:ascii="Calibri" w:hAnsi="Calibri"/>
          <w:b/>
          <w:bCs/>
          <w:noProof/>
        </w:rPr>
      </w:pPr>
      <w:r>
        <w:rPr>
          <w:b/>
          <w:bCs/>
          <w:noProof/>
        </w:rPr>
        <w:fldChar w:fldCharType="end"/>
      </w:r>
    </w:p>
    <w:p w14:paraId="4F86BA47" w14:textId="77777777" w:rsidR="003D6FE5" w:rsidRPr="00BF1761" w:rsidRDefault="00084551" w:rsidP="00532217">
      <w:pPr>
        <w:pStyle w:val="Heading1"/>
      </w:pPr>
      <w:bookmarkStart w:id="8" w:name="_Toc197520518"/>
      <w:r w:rsidRPr="00BF1761">
        <w:lastRenderedPageBreak/>
        <w:t>Acknowledgments</w:t>
      </w:r>
      <w:bookmarkEnd w:id="8"/>
    </w:p>
    <w:p w14:paraId="2C18BA3B" w14:textId="2CBF6C9A" w:rsidR="00612375" w:rsidRPr="00E855B5" w:rsidRDefault="00612375" w:rsidP="00612375">
      <w:pPr>
        <w:rPr>
          <w:rFonts w:cstheme="minorHAnsi"/>
        </w:rPr>
      </w:pPr>
      <w:r w:rsidRPr="00E855B5">
        <w:rPr>
          <w:rFonts w:cstheme="minorHAnsi"/>
        </w:rPr>
        <w:t xml:space="preserve">The Small Area Population Estimates research team at UMass Donahue would like to express our gratitude to Chief Demographer Howard Hogan, Statistical Demographer Larry Sink, and Demographer Esther Miller, all of the U.S. Census Bureau’s Population Division, for taking the time to talk with our team and to advise us on the technical background and uses of Census products including the modified race summary files and post-censal county-level estimates data as we developed the first iteration of this method in 2016. </w:t>
      </w:r>
    </w:p>
    <w:p w14:paraId="4BAD247A" w14:textId="46B62896" w:rsidR="00612375" w:rsidRPr="00E855B5" w:rsidRDefault="00612375" w:rsidP="00612375">
      <w:pPr>
        <w:rPr>
          <w:rFonts w:cstheme="minorHAnsi"/>
        </w:rPr>
      </w:pPr>
      <w:r w:rsidRPr="00E855B5">
        <w:rPr>
          <w:rFonts w:cstheme="minorHAnsi"/>
        </w:rPr>
        <w:t>We also wish to thank Dr. Henry Renski, Professor and Graduate Program Director of Landscape Architecture and Regional Planning at the University of Massachusetts Amherst for his contributions to the first iteration of this series in 2016.</w:t>
      </w:r>
    </w:p>
    <w:p w14:paraId="2FB70BC6" w14:textId="4440B449" w:rsidR="00612375" w:rsidRPr="00E855B5" w:rsidRDefault="00612375" w:rsidP="00612375">
      <w:pPr>
        <w:rPr>
          <w:rFonts w:cstheme="minorHAnsi"/>
        </w:rPr>
      </w:pPr>
      <w:r w:rsidRPr="00E855B5">
        <w:rPr>
          <w:rFonts w:cstheme="minorHAnsi"/>
        </w:rPr>
        <w:t>We also wish to acknowledge the Minnesota Population Center at the University of Minnesota for making publicly available the U.S. Census time-series data used in our estimates through its National Historical Geographic Information System: Version 18.0. portal</w:t>
      </w:r>
      <w:r w:rsidR="00886739" w:rsidRPr="00E855B5">
        <w:rPr>
          <w:rFonts w:cstheme="minorHAnsi"/>
        </w:rPr>
        <w:t xml:space="preserve">. </w:t>
      </w:r>
    </w:p>
    <w:p w14:paraId="165FA031" w14:textId="45B16A67" w:rsidR="00612375" w:rsidRPr="00E855B5" w:rsidRDefault="00612375" w:rsidP="00612375">
      <w:pPr>
        <w:rPr>
          <w:rFonts w:cstheme="minorHAnsi"/>
        </w:rPr>
      </w:pPr>
      <w:r w:rsidRPr="00E855B5">
        <w:rPr>
          <w:rFonts w:cstheme="minorHAnsi"/>
        </w:rPr>
        <w:t>Finally, we wish to thank our esteemed colleague Dr. Stefan Rayer, Director of the Population Program in the Bureau of Economic and Business Research at the University of Florida, for his ongoing willingness to share his experience in and insight into population estimates and projections methods for Massachusetts.</w:t>
      </w:r>
    </w:p>
    <w:p w14:paraId="6D913A42" w14:textId="77777777" w:rsidR="00612375" w:rsidRPr="00E855B5" w:rsidRDefault="00612375" w:rsidP="00612375">
      <w:pPr>
        <w:pStyle w:val="TitlePageAdditionalInfo"/>
        <w:rPr>
          <w:rFonts w:asciiTheme="minorHAnsi" w:hAnsiTheme="minorHAnsi" w:cstheme="minorHAnsi"/>
          <w:szCs w:val="22"/>
        </w:rPr>
      </w:pPr>
      <w:r w:rsidRPr="00E855B5">
        <w:rPr>
          <w:rFonts w:asciiTheme="minorHAnsi" w:hAnsiTheme="minorHAnsi" w:cstheme="minorHAnsi"/>
          <w:szCs w:val="22"/>
        </w:rPr>
        <w:t>Support for this project was provided by the Massachusetts Department of Public Health.</w:t>
      </w:r>
    </w:p>
    <w:p w14:paraId="441E6222" w14:textId="0E89806A" w:rsidR="0097797B" w:rsidRDefault="00E24727" w:rsidP="00532217">
      <w:pPr>
        <w:pStyle w:val="Heading1"/>
      </w:pPr>
      <w:bookmarkStart w:id="9" w:name="_Toc197520519"/>
      <w:r>
        <w:lastRenderedPageBreak/>
        <w:t>Background</w:t>
      </w:r>
      <w:bookmarkEnd w:id="9"/>
    </w:p>
    <w:p w14:paraId="24AA9E61" w14:textId="5EB46856" w:rsidR="00AD23A9" w:rsidRPr="000D304C" w:rsidRDefault="00AD23A9" w:rsidP="00AD23A9">
      <w:pPr>
        <w:spacing w:line="240" w:lineRule="auto"/>
        <w:rPr>
          <w:rFonts w:ascii="Calibri" w:eastAsia="Calibri" w:hAnsi="Calibri"/>
        </w:rPr>
      </w:pPr>
      <w:r w:rsidRPr="000D304C">
        <w:rPr>
          <w:rFonts w:ascii="Calibri" w:eastAsia="Calibri" w:hAnsi="Calibri"/>
        </w:rPr>
        <w:t>The Massachusetts Department of Public Health (MA DPH) publishes disease rates and other health-related incidence rates for specific populations at small-level geographies, including the city, town, and even neighborhood level. To calculate these rates, small-level geography population data, including population by age, sex, race, ethnicity, and geography, are needed on an annual basis to serve as denominators.</w:t>
      </w:r>
      <w:r w:rsidRPr="000D304C">
        <w:rPr>
          <w:rFonts w:ascii="Calibri" w:eastAsia="Calibri" w:hAnsi="Calibri"/>
          <w:vertAlign w:val="superscript"/>
        </w:rPr>
        <w:footnoteReference w:id="2"/>
      </w:r>
      <w:r w:rsidRPr="000D304C">
        <w:rPr>
          <w:rFonts w:ascii="Calibri" w:eastAsia="Calibri" w:hAnsi="Calibri"/>
        </w:rPr>
        <w:t xml:space="preserve"> While the Census Bureau enumerates population by age, sex, race, and ethnicity at a very fine level of geography—the census block—it does so only every ten years. In the years following the census, or “post-censal” years, the </w:t>
      </w:r>
      <w:r w:rsidRPr="000D304C">
        <w:rPr>
          <w:rFonts w:ascii="Calibri" w:eastAsia="Calibri" w:hAnsi="Calibri" w:cs="Arial"/>
          <w:shd w:val="clear" w:color="auto" w:fill="FFFFFF"/>
        </w:rPr>
        <w:t>Census Bureau's Population Estimates Program (PEP) produces annual estimates of the population </w:t>
      </w:r>
      <w:r w:rsidRPr="000D304C">
        <w:rPr>
          <w:rFonts w:ascii="Calibri" w:eastAsia="Calibri" w:hAnsi="Calibri"/>
        </w:rPr>
        <w:t xml:space="preserve">down to the town level; however, they break out age, sex, race, and ethnicity only at the county level and higher. Researchers needing detailed population estimates for any sub-county geography must find another source. </w:t>
      </w:r>
    </w:p>
    <w:p w14:paraId="26DAFB3E" w14:textId="3AC00699" w:rsidR="00AD23A9" w:rsidRPr="000D304C" w:rsidRDefault="00AD23A9" w:rsidP="00AD23A9">
      <w:pPr>
        <w:spacing w:line="240" w:lineRule="auto"/>
        <w:rPr>
          <w:rFonts w:ascii="Calibri" w:eastAsia="Calibri" w:hAnsi="Calibri"/>
        </w:rPr>
      </w:pPr>
      <w:r w:rsidRPr="000D304C">
        <w:rPr>
          <w:rFonts w:ascii="Calibri" w:eastAsia="Calibri" w:hAnsi="Calibri"/>
        </w:rPr>
        <w:t xml:space="preserve">Populations at small levels of geography and small sub-populations, such as specific age/sex cohorts, are notoriously difficult to estimate accurately. Baker et al., 2013 note: </w:t>
      </w:r>
    </w:p>
    <w:p w14:paraId="2A3DF0AE" w14:textId="20DE8FC3" w:rsidR="00AD23A9" w:rsidRPr="000D304C" w:rsidRDefault="00AD23A9" w:rsidP="00AD23A9">
      <w:pPr>
        <w:spacing w:line="240" w:lineRule="auto"/>
        <w:ind w:left="720"/>
        <w:rPr>
          <w:rFonts w:ascii="Calibri" w:eastAsia="Calibri" w:hAnsi="Calibri" w:cs="AdvPTimes"/>
        </w:rPr>
      </w:pPr>
      <w:r w:rsidRPr="000D304C">
        <w:rPr>
          <w:rFonts w:ascii="Calibri" w:eastAsia="Calibri" w:hAnsi="Calibri"/>
        </w:rPr>
        <w:t>As</w:t>
      </w:r>
      <w:r w:rsidRPr="000D304C">
        <w:rPr>
          <w:rFonts w:ascii="Calibri" w:eastAsia="Calibri" w:hAnsi="Calibri" w:cs="AdvPTimes"/>
        </w:rPr>
        <w:t xml:space="preserve"> in previous studies, the overall magnitude of errors for tract-level… estimates is much larger than observed for larger geographic groupings such as counties or states; moreover, the large differences observed between mean and median percentage errors for both absolute and algebraic values speaks to the ubiquitous presence of outlying values in sets of demographic estimates for small areas. (932-936)</w:t>
      </w:r>
      <w:r w:rsidRPr="000D304C" w:rsidDel="004A3B48">
        <w:rPr>
          <w:rFonts w:ascii="Calibri" w:eastAsia="Calibri" w:hAnsi="Calibri" w:cs="AdvPTimes"/>
        </w:rPr>
        <w:t xml:space="preserve"> </w:t>
      </w:r>
    </w:p>
    <w:p w14:paraId="30BA155C" w14:textId="0CBF6BC7" w:rsidR="00AD23A9" w:rsidRPr="000D304C" w:rsidRDefault="00AD23A9" w:rsidP="00AD23A9">
      <w:pPr>
        <w:spacing w:line="240" w:lineRule="auto"/>
        <w:rPr>
          <w:rFonts w:ascii="Calibri" w:eastAsia="Calibri" w:hAnsi="Calibri" w:cs="AdvPTimes"/>
        </w:rPr>
      </w:pPr>
      <w:r w:rsidRPr="000D304C">
        <w:rPr>
          <w:rFonts w:ascii="Calibri" w:eastAsia="Calibri" w:hAnsi="Calibri" w:cs="AdvPTimes"/>
        </w:rPr>
        <w:t>They report mean absolute percent errors of 83% to 92% overall for male and female 5-year cohorts, respectively, in a 2010 tract-level estimates test.</w:t>
      </w:r>
    </w:p>
    <w:p w14:paraId="31DD2633" w14:textId="2DFFDFFF" w:rsidR="00AD23A9" w:rsidRPr="000D304C" w:rsidRDefault="00AD23A9" w:rsidP="00AD23A9">
      <w:pPr>
        <w:spacing w:line="240" w:lineRule="auto"/>
        <w:rPr>
          <w:rFonts w:ascii="Calibri" w:eastAsia="Calibri" w:hAnsi="Calibri"/>
        </w:rPr>
      </w:pPr>
      <w:r w:rsidRPr="000D304C">
        <w:rPr>
          <w:rFonts w:ascii="Calibri" w:eastAsia="Calibri" w:hAnsi="Calibri"/>
        </w:rPr>
        <w:t>Relying on these potentially inaccurate small area estimates to produce specific incidence rates will likely produce unreasonable rates and unrealistic findings. Given this knowledge, epidemiologists need to know not only the estimated population for a given place and time, but also the estimated error associated with the estimate. Considering both the estimate and its full range of values—including its error, or confidence intervals—allows researchers to assess where a rate may be significant or reliable and where it will not.</w:t>
      </w:r>
    </w:p>
    <w:p w14:paraId="21EDDE14" w14:textId="399DAFE1" w:rsidR="00CF622D" w:rsidRDefault="00AD23A9" w:rsidP="00AD23A9">
      <w:pPr>
        <w:rPr>
          <w:rFonts w:ascii="Calibri" w:eastAsia="Calibri" w:hAnsi="Calibri"/>
        </w:rPr>
      </w:pPr>
      <w:r w:rsidRPr="000D304C">
        <w:rPr>
          <w:rFonts w:ascii="Calibri" w:eastAsia="Calibri" w:hAnsi="Calibri"/>
        </w:rPr>
        <w:t>To meet the MA DPH project needs, UMDI has produced several vintages of small area population estimates by age, sex, race, and ethnicity at both the town and census tract levels over the years. The first vintage was produced in 2016 for the years 2011 through 2019.</w:t>
      </w:r>
      <w:r w:rsidRPr="000D304C">
        <w:rPr>
          <w:rFonts w:ascii="Calibri" w:eastAsia="Calibri" w:hAnsi="Calibri"/>
          <w:vertAlign w:val="superscript"/>
        </w:rPr>
        <w:footnoteReference w:id="3"/>
      </w:r>
      <w:r w:rsidRPr="000D304C">
        <w:rPr>
          <w:rFonts w:ascii="Calibri" w:eastAsia="Calibri" w:hAnsi="Calibri"/>
        </w:rPr>
        <w:t xml:space="preserve"> In 2022, UMDI developed an updated series that extended the municipal-level estimates to 2020 by incorporating new Census 2020 population counts of the population under 18 and 18-plus.</w:t>
      </w:r>
      <w:r w:rsidRPr="000D304C">
        <w:rPr>
          <w:rStyle w:val="FootnoteReference"/>
          <w:rFonts w:ascii="Calibri" w:eastAsia="Calibri" w:hAnsi="Calibri"/>
        </w:rPr>
        <w:t xml:space="preserve"> </w:t>
      </w:r>
      <w:r w:rsidRPr="000D304C">
        <w:rPr>
          <w:rStyle w:val="FootnoteReference"/>
          <w:rFonts w:ascii="Calibri" w:eastAsia="Calibri" w:hAnsi="Calibri"/>
        </w:rPr>
        <w:footnoteReference w:id="4"/>
      </w:r>
      <w:r w:rsidRPr="000D304C">
        <w:rPr>
          <w:rFonts w:ascii="Calibri" w:eastAsia="Calibri" w:hAnsi="Calibri"/>
        </w:rPr>
        <w:t xml:space="preserve">  In May of 2023, the U.S. Census Bureau </w:t>
      </w:r>
      <w:r w:rsidRPr="000D304C">
        <w:rPr>
          <w:rFonts w:ascii="Calibri" w:eastAsia="Calibri" w:hAnsi="Calibri"/>
        </w:rPr>
        <w:lastRenderedPageBreak/>
        <w:t xml:space="preserve">released 2020 population counts by sex and by 5-year age groups, allowing for a full refresh of the </w:t>
      </w:r>
      <w:r w:rsidRPr="003A543B">
        <w:rPr>
          <w:rFonts w:ascii="Calibri" w:eastAsia="Calibri" w:hAnsi="Calibri"/>
        </w:rPr>
        <w:t xml:space="preserve">estimates in the V2024 series described in </w:t>
      </w:r>
      <w:r w:rsidR="00FB582B">
        <w:rPr>
          <w:rFonts w:ascii="Calibri" w:eastAsia="Calibri" w:hAnsi="Calibri"/>
        </w:rPr>
        <w:t>our Ju</w:t>
      </w:r>
      <w:r w:rsidR="00505E4A">
        <w:rPr>
          <w:rFonts w:ascii="Calibri" w:eastAsia="Calibri" w:hAnsi="Calibri"/>
        </w:rPr>
        <w:t>ne</w:t>
      </w:r>
      <w:r w:rsidR="00FB582B">
        <w:rPr>
          <w:rFonts w:ascii="Calibri" w:eastAsia="Calibri" w:hAnsi="Calibri"/>
        </w:rPr>
        <w:t xml:space="preserve"> 2024 report</w:t>
      </w:r>
      <w:r w:rsidR="00213330">
        <w:rPr>
          <w:rFonts w:ascii="Calibri" w:eastAsia="Calibri" w:hAnsi="Calibri"/>
        </w:rPr>
        <w:t>.</w:t>
      </w:r>
      <w:r w:rsidR="00505E4A">
        <w:rPr>
          <w:rStyle w:val="FootnoteReference"/>
          <w:rFonts w:ascii="Calibri" w:eastAsia="Calibri" w:hAnsi="Calibri"/>
        </w:rPr>
        <w:footnoteReference w:id="5"/>
      </w:r>
      <w:r w:rsidR="00213330">
        <w:rPr>
          <w:rFonts w:ascii="Calibri" w:eastAsia="Calibri" w:hAnsi="Calibri"/>
        </w:rPr>
        <w:t xml:space="preserve"> </w:t>
      </w:r>
    </w:p>
    <w:p w14:paraId="7BE7BB04" w14:textId="3A8DE4F7" w:rsidR="00E24727" w:rsidRPr="00E24727" w:rsidRDefault="00364EEA" w:rsidP="00AD23A9">
      <w:r w:rsidRPr="00437349">
        <w:rPr>
          <w:rFonts w:ascii="Calibri" w:eastAsia="Calibri" w:hAnsi="Calibri"/>
        </w:rPr>
        <w:t>Th</w:t>
      </w:r>
      <w:r>
        <w:rPr>
          <w:rFonts w:ascii="Calibri" w:eastAsia="Calibri" w:hAnsi="Calibri"/>
        </w:rPr>
        <w:t>e current</w:t>
      </w:r>
      <w:r w:rsidRPr="00437349">
        <w:rPr>
          <w:rFonts w:ascii="Calibri" w:eastAsia="Calibri" w:hAnsi="Calibri"/>
        </w:rPr>
        <w:t xml:space="preserve"> </w:t>
      </w:r>
      <w:r w:rsidR="00213330" w:rsidRPr="00437349">
        <w:rPr>
          <w:rFonts w:ascii="Calibri" w:eastAsia="Calibri" w:hAnsi="Calibri"/>
        </w:rPr>
        <w:t>report de</w:t>
      </w:r>
      <w:r w:rsidR="00213330" w:rsidRPr="00F31A9F">
        <w:rPr>
          <w:rFonts w:ascii="Calibri" w:eastAsia="Calibri" w:hAnsi="Calibri"/>
        </w:rPr>
        <w:t xml:space="preserve">scribes methods used </w:t>
      </w:r>
      <w:r w:rsidR="004E709E">
        <w:rPr>
          <w:rFonts w:ascii="Calibri" w:eastAsia="Calibri" w:hAnsi="Calibri"/>
        </w:rPr>
        <w:t>to develop</w:t>
      </w:r>
      <w:r w:rsidR="00213330" w:rsidRPr="00CF622D">
        <w:rPr>
          <w:rFonts w:ascii="Calibri" w:eastAsia="Calibri" w:hAnsi="Calibri"/>
        </w:rPr>
        <w:t xml:space="preserve"> UMDI’s V2025 series</w:t>
      </w:r>
      <w:r w:rsidR="00132758">
        <w:rPr>
          <w:rFonts w:ascii="Calibri" w:eastAsia="Calibri" w:hAnsi="Calibri"/>
        </w:rPr>
        <w:t xml:space="preserve">. </w:t>
      </w:r>
      <w:r w:rsidR="00AD23A9" w:rsidRPr="00CF622D">
        <w:rPr>
          <w:rFonts w:ascii="Calibri" w:eastAsia="Calibri" w:hAnsi="Calibri"/>
        </w:rPr>
        <w:t>Th</w:t>
      </w:r>
      <w:r w:rsidR="00E612DE">
        <w:rPr>
          <w:rFonts w:ascii="Calibri" w:eastAsia="Calibri" w:hAnsi="Calibri"/>
        </w:rPr>
        <w:t xml:space="preserve">e </w:t>
      </w:r>
      <w:r w:rsidR="001B6FD9">
        <w:rPr>
          <w:rFonts w:ascii="Calibri" w:eastAsia="Calibri" w:hAnsi="Calibri"/>
        </w:rPr>
        <w:t xml:space="preserve">series </w:t>
      </w:r>
      <w:r w:rsidR="0022537B">
        <w:rPr>
          <w:rFonts w:ascii="Calibri" w:eastAsia="Calibri" w:hAnsi="Calibri"/>
        </w:rPr>
        <w:t>starts with the V2024</w:t>
      </w:r>
      <w:r w:rsidR="00803133">
        <w:rPr>
          <w:rFonts w:ascii="Calibri" w:eastAsia="Calibri" w:hAnsi="Calibri"/>
        </w:rPr>
        <w:t xml:space="preserve"> age/sex</w:t>
      </w:r>
      <w:r w:rsidR="00573D8A">
        <w:rPr>
          <w:rFonts w:ascii="Calibri" w:eastAsia="Calibri" w:hAnsi="Calibri"/>
        </w:rPr>
        <w:t xml:space="preserve"> series, which include</w:t>
      </w:r>
      <w:r w:rsidR="004E7617">
        <w:rPr>
          <w:rFonts w:ascii="Calibri" w:eastAsia="Calibri" w:hAnsi="Calibri"/>
        </w:rPr>
        <w:t>s</w:t>
      </w:r>
      <w:r w:rsidR="00573D8A">
        <w:rPr>
          <w:rFonts w:ascii="Calibri" w:eastAsia="Calibri" w:hAnsi="Calibri"/>
        </w:rPr>
        <w:t xml:space="preserve"> </w:t>
      </w:r>
      <w:r w:rsidR="001B6FD9">
        <w:rPr>
          <w:rFonts w:ascii="Calibri" w:eastAsia="Calibri" w:hAnsi="Calibri"/>
        </w:rPr>
        <w:t xml:space="preserve">male and female age </w:t>
      </w:r>
      <w:r w:rsidR="001B6FD9" w:rsidRPr="003A543B">
        <w:rPr>
          <w:rFonts w:ascii="Calibri" w:eastAsia="Calibri" w:hAnsi="Calibri"/>
        </w:rPr>
        <w:t>cohorts in 5-year age groups from 0-4 through 80-84 plus an 85+ group as well as estimates by single year of age for ages 0-20</w:t>
      </w:r>
      <w:r w:rsidR="00CA0FF5">
        <w:rPr>
          <w:rFonts w:ascii="Calibri" w:eastAsia="Calibri" w:hAnsi="Calibri"/>
        </w:rPr>
        <w:t xml:space="preserve">. To these estimates, the </w:t>
      </w:r>
      <w:r w:rsidR="00E612DE">
        <w:rPr>
          <w:rFonts w:ascii="Calibri" w:eastAsia="Calibri" w:hAnsi="Calibri"/>
        </w:rPr>
        <w:t>V2025</w:t>
      </w:r>
      <w:r w:rsidR="00AD23A9" w:rsidRPr="00CF622D">
        <w:rPr>
          <w:rFonts w:ascii="Calibri" w:eastAsia="Calibri" w:hAnsi="Calibri"/>
        </w:rPr>
        <w:t xml:space="preserve"> series </w:t>
      </w:r>
      <w:r w:rsidR="00CA0FF5">
        <w:rPr>
          <w:rFonts w:ascii="Calibri" w:eastAsia="Calibri" w:hAnsi="Calibri"/>
        </w:rPr>
        <w:t xml:space="preserve">adds race and ethnicity dimensions, resulting in </w:t>
      </w:r>
      <w:r w:rsidR="003023AD">
        <w:rPr>
          <w:rFonts w:ascii="Calibri" w:eastAsia="Calibri" w:hAnsi="Calibri"/>
        </w:rPr>
        <w:t>estimates by age, sex, race, and ethnicity for all Mass</w:t>
      </w:r>
      <w:r w:rsidR="005F0EFF">
        <w:rPr>
          <w:rFonts w:ascii="Calibri" w:eastAsia="Calibri" w:hAnsi="Calibri"/>
        </w:rPr>
        <w:t xml:space="preserve">achusetts </w:t>
      </w:r>
      <w:r w:rsidR="0005710D">
        <w:rPr>
          <w:rFonts w:ascii="Calibri" w:eastAsia="Calibri" w:hAnsi="Calibri"/>
        </w:rPr>
        <w:t>municipalities</w:t>
      </w:r>
      <w:r w:rsidR="00532AEE">
        <w:rPr>
          <w:rFonts w:ascii="Calibri" w:eastAsia="Calibri" w:hAnsi="Calibri"/>
        </w:rPr>
        <w:t xml:space="preserve"> and Census 2020 tracts</w:t>
      </w:r>
      <w:r w:rsidR="0005710D">
        <w:rPr>
          <w:rFonts w:ascii="Calibri" w:eastAsia="Calibri" w:hAnsi="Calibri"/>
        </w:rPr>
        <w:t xml:space="preserve">. </w:t>
      </w:r>
      <w:r w:rsidR="002904FC">
        <w:rPr>
          <w:rFonts w:ascii="Calibri" w:eastAsia="Calibri" w:hAnsi="Calibri"/>
        </w:rPr>
        <w:t>E</w:t>
      </w:r>
      <w:r w:rsidR="00A2002F">
        <w:rPr>
          <w:rFonts w:ascii="Calibri" w:eastAsia="Calibri" w:hAnsi="Calibri"/>
        </w:rPr>
        <w:t xml:space="preserve">thnic </w:t>
      </w:r>
      <w:r w:rsidR="0046426A">
        <w:rPr>
          <w:rFonts w:ascii="Calibri" w:eastAsia="Calibri" w:hAnsi="Calibri"/>
        </w:rPr>
        <w:t xml:space="preserve">groups in the series </w:t>
      </w:r>
      <w:r w:rsidR="69EDF318" w:rsidRPr="003A543B">
        <w:rPr>
          <w:rFonts w:ascii="Calibri" w:eastAsia="Calibri" w:hAnsi="Calibri"/>
        </w:rPr>
        <w:t xml:space="preserve">include the </w:t>
      </w:r>
      <w:r w:rsidR="655F6751" w:rsidRPr="003A543B">
        <w:rPr>
          <w:rFonts w:ascii="Calibri" w:eastAsia="Calibri" w:hAnsi="Calibri"/>
        </w:rPr>
        <w:t xml:space="preserve">Census defined ethnicity groups Hispanic (“H”) and </w:t>
      </w:r>
      <w:r w:rsidR="1B46BDB0" w:rsidRPr="0DE32393">
        <w:rPr>
          <w:rFonts w:ascii="Calibri" w:eastAsia="Calibri" w:hAnsi="Calibri"/>
        </w:rPr>
        <w:t>N</w:t>
      </w:r>
      <w:r w:rsidR="655F6751" w:rsidRPr="0DE32393">
        <w:rPr>
          <w:rFonts w:ascii="Calibri" w:eastAsia="Calibri" w:hAnsi="Calibri"/>
        </w:rPr>
        <w:t>ot</w:t>
      </w:r>
      <w:r w:rsidR="655F6751" w:rsidRPr="003A543B">
        <w:rPr>
          <w:rFonts w:ascii="Calibri" w:eastAsia="Calibri" w:hAnsi="Calibri"/>
        </w:rPr>
        <w:t xml:space="preserve"> Hispanic (“NH</w:t>
      </w:r>
      <w:r w:rsidR="655F6751" w:rsidRPr="0DE32393">
        <w:rPr>
          <w:rFonts w:ascii="Calibri" w:eastAsia="Calibri" w:hAnsi="Calibri"/>
        </w:rPr>
        <w:t>”)</w:t>
      </w:r>
      <w:r w:rsidR="5B95D604" w:rsidRPr="0DE32393">
        <w:rPr>
          <w:rFonts w:ascii="Calibri" w:eastAsia="Calibri" w:hAnsi="Calibri"/>
        </w:rPr>
        <w:t>, as well as</w:t>
      </w:r>
      <w:r w:rsidR="1984FAEB" w:rsidRPr="003A543B">
        <w:rPr>
          <w:rFonts w:ascii="Calibri" w:eastAsia="Calibri" w:hAnsi="Calibri"/>
        </w:rPr>
        <w:t xml:space="preserve"> </w:t>
      </w:r>
      <w:r w:rsidR="1984FAEB" w:rsidRPr="42700561">
        <w:rPr>
          <w:rFonts w:ascii="Calibri" w:eastAsia="Calibri" w:hAnsi="Calibri"/>
        </w:rPr>
        <w:t xml:space="preserve">a </w:t>
      </w:r>
      <w:r w:rsidR="438F2543" w:rsidRPr="0DE32393">
        <w:rPr>
          <w:rFonts w:ascii="Calibri" w:eastAsia="Calibri" w:hAnsi="Calibri"/>
        </w:rPr>
        <w:t xml:space="preserve">category </w:t>
      </w:r>
      <w:r w:rsidR="5B95D604" w:rsidRPr="0DE32393">
        <w:rPr>
          <w:rFonts w:ascii="Calibri" w:eastAsia="Calibri" w:hAnsi="Calibri"/>
        </w:rPr>
        <w:t xml:space="preserve">for </w:t>
      </w:r>
      <w:r w:rsidR="00C80B28">
        <w:rPr>
          <w:rFonts w:ascii="Calibri" w:eastAsia="Calibri" w:hAnsi="Calibri"/>
        </w:rPr>
        <w:t>combined</w:t>
      </w:r>
      <w:r w:rsidR="00C80B28" w:rsidRPr="0DE32393">
        <w:rPr>
          <w:rFonts w:ascii="Calibri" w:eastAsia="Calibri" w:hAnsi="Calibri"/>
        </w:rPr>
        <w:t xml:space="preserve"> </w:t>
      </w:r>
      <w:r w:rsidR="00BE3968">
        <w:rPr>
          <w:rFonts w:ascii="Calibri" w:eastAsia="Calibri" w:hAnsi="Calibri"/>
        </w:rPr>
        <w:t>Hisp</w:t>
      </w:r>
      <w:r w:rsidR="00550D32">
        <w:rPr>
          <w:rFonts w:ascii="Calibri" w:eastAsia="Calibri" w:hAnsi="Calibri"/>
        </w:rPr>
        <w:t>anic and Non-H</w:t>
      </w:r>
      <w:r w:rsidR="002760BC">
        <w:rPr>
          <w:rFonts w:ascii="Calibri" w:eastAsia="Calibri" w:hAnsi="Calibri"/>
        </w:rPr>
        <w:t xml:space="preserve">ispanic </w:t>
      </w:r>
      <w:r w:rsidR="5B95D604" w:rsidRPr="0DE32393">
        <w:rPr>
          <w:rFonts w:ascii="Calibri" w:eastAsia="Calibri" w:hAnsi="Calibri"/>
        </w:rPr>
        <w:t xml:space="preserve"> group (“ALL”)</w:t>
      </w:r>
      <w:r w:rsidR="00886739" w:rsidRPr="0DE32393">
        <w:rPr>
          <w:rFonts w:ascii="Calibri" w:eastAsia="Calibri" w:hAnsi="Calibri"/>
        </w:rPr>
        <w:t xml:space="preserve">. </w:t>
      </w:r>
      <w:r w:rsidR="002904FC">
        <w:rPr>
          <w:rFonts w:ascii="Calibri" w:eastAsia="Calibri" w:hAnsi="Calibri"/>
        </w:rPr>
        <w:t>Race groups</w:t>
      </w:r>
      <w:r w:rsidR="006153BA">
        <w:rPr>
          <w:rFonts w:ascii="Calibri" w:eastAsia="Calibri" w:hAnsi="Calibri"/>
        </w:rPr>
        <w:t xml:space="preserve"> </w:t>
      </w:r>
      <w:r w:rsidR="006153BA" w:rsidRPr="003A543B">
        <w:rPr>
          <w:rFonts w:ascii="Calibri" w:eastAsia="Calibri" w:hAnsi="Calibri"/>
        </w:rPr>
        <w:t>include the Census defined</w:t>
      </w:r>
      <w:r w:rsidR="006153BA">
        <w:rPr>
          <w:rFonts w:ascii="Calibri" w:eastAsia="Calibri" w:hAnsi="Calibri"/>
        </w:rPr>
        <w:t xml:space="preserve"> major types</w:t>
      </w:r>
      <w:r w:rsidR="00E87FEB">
        <w:rPr>
          <w:rFonts w:ascii="Calibri" w:eastAsia="Calibri" w:hAnsi="Calibri"/>
        </w:rPr>
        <w:t>:</w:t>
      </w:r>
      <w:r w:rsidR="00DA66F2" w:rsidRPr="0DE32393">
        <w:rPr>
          <w:rFonts w:ascii="Calibri" w:eastAsia="Calibri" w:hAnsi="Calibri"/>
        </w:rPr>
        <w:t xml:space="preserve"> </w:t>
      </w:r>
      <w:r w:rsidR="29EBA1B5" w:rsidRPr="0DE32393">
        <w:rPr>
          <w:rFonts w:ascii="Calibri" w:eastAsia="Calibri" w:hAnsi="Calibri" w:cs="Calibri"/>
        </w:rPr>
        <w:t>American</w:t>
      </w:r>
      <w:r w:rsidR="29EBA1B5" w:rsidRPr="76B2962E">
        <w:rPr>
          <w:rFonts w:ascii="Calibri" w:eastAsia="Calibri" w:hAnsi="Calibri" w:cs="Calibri"/>
        </w:rPr>
        <w:t xml:space="preserve"> Indian or Alaska Native (“AIAN”), Asian (“A”), Black or African American (“B”) , Native Hawaiian or Other Pacific Islander (“NHPI”), White (“W”), Two or More Races (“TOM</w:t>
      </w:r>
      <w:r w:rsidR="29EBA1B5" w:rsidRPr="0DE32393">
        <w:rPr>
          <w:rFonts w:ascii="Calibri" w:eastAsia="Calibri" w:hAnsi="Calibri" w:cs="Calibri"/>
        </w:rPr>
        <w:t>”)</w:t>
      </w:r>
      <w:r w:rsidR="7DF6E377" w:rsidRPr="0DE32393">
        <w:rPr>
          <w:rFonts w:ascii="Calibri" w:eastAsia="Calibri" w:hAnsi="Calibri" w:cs="Calibri"/>
        </w:rPr>
        <w:t>, and, again</w:t>
      </w:r>
      <w:r w:rsidR="002A257F">
        <w:rPr>
          <w:rFonts w:ascii="Calibri" w:eastAsia="Calibri" w:hAnsi="Calibri" w:cs="Calibri"/>
        </w:rPr>
        <w:t>,</w:t>
      </w:r>
      <w:r w:rsidR="7DF6E377" w:rsidRPr="0DE32393">
        <w:rPr>
          <w:rFonts w:ascii="Calibri" w:eastAsia="Calibri" w:hAnsi="Calibri" w:cs="Calibri"/>
        </w:rPr>
        <w:t xml:space="preserve"> a </w:t>
      </w:r>
      <w:r w:rsidR="7DF6E377" w:rsidRPr="0DE32393">
        <w:rPr>
          <w:rFonts w:ascii="Calibri" w:eastAsia="Calibri" w:hAnsi="Calibri"/>
        </w:rPr>
        <w:t>category</w:t>
      </w:r>
      <w:r w:rsidR="30E302BA" w:rsidRPr="0DE32393">
        <w:rPr>
          <w:rFonts w:ascii="Calibri" w:eastAsia="Calibri" w:hAnsi="Calibri"/>
        </w:rPr>
        <w:t xml:space="preserve"> f</w:t>
      </w:r>
      <w:r w:rsidR="7DF6E377" w:rsidRPr="0DE32393">
        <w:rPr>
          <w:rFonts w:ascii="Calibri" w:eastAsia="Calibri" w:hAnsi="Calibri" w:cs="Calibri"/>
        </w:rPr>
        <w:t xml:space="preserve">or </w:t>
      </w:r>
      <w:r w:rsidR="002A257F">
        <w:rPr>
          <w:rFonts w:ascii="Calibri" w:eastAsia="Calibri" w:hAnsi="Calibri" w:cs="Calibri"/>
        </w:rPr>
        <w:t xml:space="preserve">combined </w:t>
      </w:r>
      <w:r w:rsidR="7DF6E377" w:rsidRPr="0DE32393">
        <w:rPr>
          <w:rFonts w:ascii="Calibri" w:eastAsia="Calibri" w:hAnsi="Calibri" w:cs="Calibri"/>
        </w:rPr>
        <w:t>race group</w:t>
      </w:r>
      <w:r w:rsidR="00DE5C0B">
        <w:rPr>
          <w:rFonts w:ascii="Calibri" w:eastAsia="Calibri" w:hAnsi="Calibri" w:cs="Calibri"/>
        </w:rPr>
        <w:t>s</w:t>
      </w:r>
      <w:r w:rsidR="7DF6E377" w:rsidRPr="0DE32393">
        <w:rPr>
          <w:rFonts w:ascii="Calibri" w:eastAsia="Calibri" w:hAnsi="Calibri" w:cs="Calibri"/>
        </w:rPr>
        <w:t xml:space="preserve"> (“ALL”)</w:t>
      </w:r>
      <w:r w:rsidR="723ABCB0" w:rsidRPr="0DE32393">
        <w:rPr>
          <w:rFonts w:ascii="Calibri" w:eastAsia="Calibri" w:hAnsi="Calibri"/>
        </w:rPr>
        <w:t>.</w:t>
      </w:r>
      <w:r w:rsidR="00DA66F2" w:rsidRPr="76B2962E">
        <w:rPr>
          <w:rFonts w:ascii="Calibri" w:eastAsia="Calibri" w:hAnsi="Calibri"/>
        </w:rPr>
        <w:t xml:space="preserve"> </w:t>
      </w:r>
      <w:r w:rsidR="00AD23A9" w:rsidRPr="003A543B">
        <w:rPr>
          <w:rFonts w:ascii="Calibri" w:eastAsia="Calibri" w:hAnsi="Calibri"/>
        </w:rPr>
        <w:t xml:space="preserve">Additionally, the series includes error ranges by age and cohort size, which are incorporated into the estimates as low-to-high values for each cohort estimate, making each a range-of-values rather than a single-value estimate. </w:t>
      </w:r>
      <w:r w:rsidR="00A72237">
        <w:rPr>
          <w:rFonts w:ascii="Calibri" w:eastAsia="Calibri" w:hAnsi="Calibri"/>
        </w:rPr>
        <w:t xml:space="preserve">To distribute </w:t>
      </w:r>
      <w:r w:rsidR="00E87FEB">
        <w:rPr>
          <w:rFonts w:ascii="Calibri" w:eastAsia="Calibri" w:hAnsi="Calibri"/>
        </w:rPr>
        <w:t xml:space="preserve">the </w:t>
      </w:r>
      <w:r w:rsidR="00A72237">
        <w:rPr>
          <w:rFonts w:ascii="Calibri" w:eastAsia="Calibri" w:hAnsi="Calibri"/>
        </w:rPr>
        <w:t xml:space="preserve">“Some other race” </w:t>
      </w:r>
      <w:r w:rsidR="00E87FEB">
        <w:rPr>
          <w:rFonts w:ascii="Calibri" w:eastAsia="Calibri" w:hAnsi="Calibri"/>
        </w:rPr>
        <w:t xml:space="preserve">response </w:t>
      </w:r>
      <w:r w:rsidR="00A72237">
        <w:rPr>
          <w:rFonts w:ascii="Calibri" w:eastAsia="Calibri" w:hAnsi="Calibri"/>
        </w:rPr>
        <w:t xml:space="preserve">values that appear in </w:t>
      </w:r>
      <w:r w:rsidR="00E87FEB">
        <w:rPr>
          <w:rFonts w:ascii="Calibri" w:eastAsia="Calibri" w:hAnsi="Calibri"/>
        </w:rPr>
        <w:t xml:space="preserve">the decennial </w:t>
      </w:r>
      <w:r w:rsidR="00A72237">
        <w:rPr>
          <w:rFonts w:ascii="Calibri" w:eastAsia="Calibri" w:hAnsi="Calibri"/>
        </w:rPr>
        <w:t>Census data, t</w:t>
      </w:r>
      <w:r w:rsidR="00BD4B15" w:rsidRPr="003A543B">
        <w:rPr>
          <w:rFonts w:ascii="Calibri" w:eastAsia="Calibri" w:hAnsi="Calibri"/>
        </w:rPr>
        <w:t>h</w:t>
      </w:r>
      <w:r w:rsidR="005C024E">
        <w:rPr>
          <w:rFonts w:ascii="Calibri" w:eastAsia="Calibri" w:hAnsi="Calibri"/>
        </w:rPr>
        <w:t>e V2025 age/sex/race/ethnicity</w:t>
      </w:r>
      <w:r w:rsidR="00BD4B15" w:rsidRPr="00FE713D">
        <w:rPr>
          <w:rFonts w:ascii="Calibri" w:eastAsia="Calibri" w:hAnsi="Calibri"/>
        </w:rPr>
        <w:t xml:space="preserve"> series </w:t>
      </w:r>
      <w:r w:rsidR="003657F8">
        <w:rPr>
          <w:rFonts w:ascii="Calibri" w:eastAsia="Calibri" w:hAnsi="Calibri"/>
        </w:rPr>
        <w:t>applie</w:t>
      </w:r>
      <w:r w:rsidR="004D0FAD">
        <w:rPr>
          <w:rFonts w:ascii="Calibri" w:eastAsia="Calibri" w:hAnsi="Calibri"/>
        </w:rPr>
        <w:t>s</w:t>
      </w:r>
      <w:r w:rsidR="003657F8">
        <w:rPr>
          <w:rFonts w:ascii="Calibri" w:eastAsia="Calibri" w:hAnsi="Calibri"/>
        </w:rPr>
        <w:t xml:space="preserve"> the </w:t>
      </w:r>
      <w:r w:rsidR="00BD4B15" w:rsidRPr="00FE713D">
        <w:rPr>
          <w:rFonts w:ascii="Calibri" w:eastAsia="Calibri" w:hAnsi="Calibri"/>
        </w:rPr>
        <w:t xml:space="preserve"> 2010 version of </w:t>
      </w:r>
      <w:r w:rsidR="00AD23A9" w:rsidRPr="00FE713D">
        <w:rPr>
          <w:rFonts w:ascii="Calibri" w:eastAsia="Calibri" w:hAnsi="Calibri"/>
        </w:rPr>
        <w:t xml:space="preserve">the U.S. Census Bureau Modified Summary Race File </w:t>
      </w:r>
      <w:r w:rsidR="00F82088" w:rsidRPr="00FE713D">
        <w:rPr>
          <w:rFonts w:ascii="Calibri" w:eastAsia="Calibri" w:hAnsi="Calibri"/>
        </w:rPr>
        <w:t xml:space="preserve">to </w:t>
      </w:r>
      <w:r w:rsidR="004D0FAD">
        <w:rPr>
          <w:rFonts w:ascii="Calibri" w:eastAsia="Calibri" w:hAnsi="Calibri"/>
        </w:rPr>
        <w:t xml:space="preserve">the </w:t>
      </w:r>
      <w:r w:rsidR="00975EDB">
        <w:rPr>
          <w:rFonts w:ascii="Calibri" w:eastAsia="Calibri" w:hAnsi="Calibri"/>
        </w:rPr>
        <w:t>2010 Census count</w:t>
      </w:r>
      <w:r w:rsidR="00443281">
        <w:rPr>
          <w:rFonts w:ascii="Calibri" w:eastAsia="Calibri" w:hAnsi="Calibri"/>
        </w:rPr>
        <w:t xml:space="preserve"> data</w:t>
      </w:r>
      <w:r w:rsidR="00AA5039">
        <w:rPr>
          <w:rStyle w:val="FootnoteReference"/>
          <w:rFonts w:ascii="Calibri" w:eastAsia="Calibri" w:hAnsi="Calibri"/>
        </w:rPr>
        <w:footnoteReference w:id="6"/>
      </w:r>
      <w:r w:rsidR="00975EDB">
        <w:rPr>
          <w:rFonts w:ascii="Calibri" w:eastAsia="Calibri" w:hAnsi="Calibri"/>
        </w:rPr>
        <w:t xml:space="preserve">, and the </w:t>
      </w:r>
      <w:r w:rsidR="00522A64">
        <w:rPr>
          <w:rFonts w:ascii="Calibri" w:eastAsia="Calibri" w:hAnsi="Calibri"/>
        </w:rPr>
        <w:t xml:space="preserve">Census 2020 </w:t>
      </w:r>
      <w:r w:rsidR="00975EDB">
        <w:rPr>
          <w:rFonts w:ascii="Calibri" w:eastAsia="Calibri" w:hAnsi="Calibri"/>
        </w:rPr>
        <w:t>Modified Age</w:t>
      </w:r>
      <w:r w:rsidR="00F82088" w:rsidRPr="00FE713D">
        <w:rPr>
          <w:rFonts w:ascii="Calibri" w:eastAsia="Calibri" w:hAnsi="Calibri"/>
        </w:rPr>
        <w:t xml:space="preserve"> </w:t>
      </w:r>
      <w:r w:rsidR="00E54988">
        <w:rPr>
          <w:rFonts w:ascii="Calibri" w:eastAsia="Calibri" w:hAnsi="Calibri"/>
        </w:rPr>
        <w:t xml:space="preserve">and Race Census file </w:t>
      </w:r>
      <w:r w:rsidR="00FD1267">
        <w:rPr>
          <w:rFonts w:ascii="Calibri" w:eastAsia="Calibri" w:hAnsi="Calibri"/>
        </w:rPr>
        <w:t xml:space="preserve">(MARC) </w:t>
      </w:r>
      <w:r w:rsidR="00E54988">
        <w:rPr>
          <w:rFonts w:ascii="Calibri" w:eastAsia="Calibri" w:hAnsi="Calibri"/>
        </w:rPr>
        <w:t xml:space="preserve">to the </w:t>
      </w:r>
      <w:r w:rsidR="007D178A">
        <w:rPr>
          <w:rFonts w:ascii="Calibri" w:eastAsia="Calibri" w:hAnsi="Calibri"/>
        </w:rPr>
        <w:t xml:space="preserve">2020 </w:t>
      </w:r>
      <w:r w:rsidR="00AD23A9" w:rsidRPr="005C4C7E">
        <w:rPr>
          <w:rFonts w:ascii="Calibri" w:eastAsia="Calibri" w:hAnsi="Calibri"/>
        </w:rPr>
        <w:t xml:space="preserve">Census </w:t>
      </w:r>
      <w:r w:rsidR="00AD23A9" w:rsidRPr="00F31A9F">
        <w:rPr>
          <w:rFonts w:ascii="Calibri" w:eastAsia="Calibri" w:hAnsi="Calibri"/>
        </w:rPr>
        <w:t>count</w:t>
      </w:r>
      <w:r w:rsidR="00FD1267">
        <w:rPr>
          <w:rFonts w:ascii="Calibri" w:eastAsia="Calibri" w:hAnsi="Calibri"/>
        </w:rPr>
        <w:t xml:space="preserve"> data.</w:t>
      </w:r>
      <w:r w:rsidR="00AD23A9" w:rsidRPr="0010035F">
        <w:rPr>
          <w:rStyle w:val="FootnoteReference"/>
          <w:rFonts w:ascii="Calibri" w:eastAsia="Calibri" w:hAnsi="Calibri"/>
        </w:rPr>
        <w:footnoteReference w:id="7"/>
      </w:r>
    </w:p>
    <w:p w14:paraId="5CA78931" w14:textId="26527104" w:rsidR="0097797B" w:rsidRDefault="00612375" w:rsidP="00532217">
      <w:pPr>
        <w:pStyle w:val="Heading1"/>
      </w:pPr>
      <w:bookmarkStart w:id="10" w:name="_Toc197520520"/>
      <w:r>
        <w:lastRenderedPageBreak/>
        <w:t>Method Overview</w:t>
      </w:r>
      <w:bookmarkEnd w:id="10"/>
    </w:p>
    <w:p w14:paraId="0EDA02A8" w14:textId="4449B2E4" w:rsidR="00AD23A9" w:rsidRPr="00AD6F55" w:rsidRDefault="00AD23A9" w:rsidP="00AD23A9">
      <w:pPr>
        <w:spacing w:line="240" w:lineRule="auto"/>
        <w:rPr>
          <w:rFonts w:ascii="Calibri" w:eastAsia="Calibri" w:hAnsi="Calibri"/>
        </w:rPr>
      </w:pPr>
      <w:r w:rsidRPr="00AD6F55">
        <w:rPr>
          <w:rFonts w:ascii="Calibri" w:eastAsia="Calibri" w:hAnsi="Calibri"/>
        </w:rPr>
        <w:t xml:space="preserve">To produce small area population estimates for the purposes of this project, UMDI </w:t>
      </w:r>
      <w:r w:rsidR="009D1ED2">
        <w:rPr>
          <w:rFonts w:ascii="Calibri" w:eastAsia="Calibri" w:hAnsi="Calibri"/>
        </w:rPr>
        <w:t>uses</w:t>
      </w:r>
      <w:r w:rsidR="009D1ED2" w:rsidRPr="00AD6F55">
        <w:rPr>
          <w:rFonts w:ascii="Calibri" w:eastAsia="Calibri" w:hAnsi="Calibri"/>
        </w:rPr>
        <w:t xml:space="preserve"> </w:t>
      </w:r>
      <w:r w:rsidRPr="00AD6F55">
        <w:rPr>
          <w:rFonts w:ascii="Calibri" w:eastAsia="Calibri" w:hAnsi="Calibri"/>
        </w:rPr>
        <w:t xml:space="preserve">a modified </w:t>
      </w:r>
      <w:r w:rsidRPr="00C866FC">
        <w:rPr>
          <w:rFonts w:ascii="Calibri" w:eastAsia="Calibri" w:hAnsi="Calibri"/>
          <w:i/>
          <w:iCs/>
        </w:rPr>
        <w:t>Hamilton-Perry</w:t>
      </w:r>
      <w:r w:rsidRPr="00AD6F55">
        <w:rPr>
          <w:rFonts w:ascii="Calibri" w:eastAsia="Calibri" w:hAnsi="Calibri"/>
        </w:rPr>
        <w:t xml:space="preserve"> method</w:t>
      </w:r>
      <w:r w:rsidR="009D1ED2">
        <w:rPr>
          <w:rFonts w:ascii="Calibri" w:eastAsia="Calibri" w:hAnsi="Calibri"/>
        </w:rPr>
        <w:t xml:space="preserve"> and data</w:t>
      </w:r>
      <w:r w:rsidR="004F49A8">
        <w:rPr>
          <w:rFonts w:ascii="Calibri" w:eastAsia="Calibri" w:hAnsi="Calibri"/>
        </w:rPr>
        <w:t xml:space="preserve"> from the 2010 and 2020 </w:t>
      </w:r>
      <w:r w:rsidR="00464A30">
        <w:rPr>
          <w:rFonts w:ascii="Calibri" w:eastAsia="Calibri" w:hAnsi="Calibri"/>
        </w:rPr>
        <w:t xml:space="preserve">decennial Census </w:t>
      </w:r>
      <w:r w:rsidR="004F49A8">
        <w:rPr>
          <w:rFonts w:ascii="Calibri" w:eastAsia="Calibri" w:hAnsi="Calibri"/>
        </w:rPr>
        <w:t xml:space="preserve">counts </w:t>
      </w:r>
      <w:r w:rsidR="00464A30">
        <w:rPr>
          <w:rFonts w:ascii="Calibri" w:eastAsia="Calibri" w:hAnsi="Calibri"/>
        </w:rPr>
        <w:t>conducted</w:t>
      </w:r>
      <w:r w:rsidR="004F49A8">
        <w:rPr>
          <w:rFonts w:ascii="Calibri" w:eastAsia="Calibri" w:hAnsi="Calibri"/>
        </w:rPr>
        <w:t xml:space="preserve"> by the U.S. Census Bureau</w:t>
      </w:r>
      <w:r w:rsidR="00464A30">
        <w:rPr>
          <w:rFonts w:ascii="Calibri" w:eastAsia="Calibri" w:hAnsi="Calibri"/>
        </w:rPr>
        <w:t>.</w:t>
      </w:r>
      <w:r w:rsidRPr="00AD6F55">
        <w:rPr>
          <w:rFonts w:ascii="Calibri" w:eastAsia="Calibri" w:hAnsi="Calibri"/>
        </w:rPr>
        <w:t xml:space="preserve"> The Hamilton-Perry model is a simplified version of the cohort-component method of estimating population change. In general, a cohort-component model considers basic components of population change, including birth</w:t>
      </w:r>
      <w:r w:rsidR="00CE0E0F">
        <w:rPr>
          <w:rFonts w:ascii="Calibri" w:eastAsia="Calibri" w:hAnsi="Calibri"/>
        </w:rPr>
        <w:t>s</w:t>
      </w:r>
      <w:r w:rsidRPr="00AD6F55">
        <w:rPr>
          <w:rFonts w:ascii="Calibri" w:eastAsia="Calibri" w:hAnsi="Calibri"/>
        </w:rPr>
        <w:t>, death</w:t>
      </w:r>
      <w:r w:rsidR="00CE0E0F">
        <w:rPr>
          <w:rFonts w:ascii="Calibri" w:eastAsia="Calibri" w:hAnsi="Calibri"/>
        </w:rPr>
        <w:t>s</w:t>
      </w:r>
      <w:r w:rsidRPr="00AD6F55">
        <w:rPr>
          <w:rFonts w:ascii="Calibri" w:eastAsia="Calibri" w:hAnsi="Calibri"/>
        </w:rPr>
        <w:t>, and migration for a specific cohort and geography. It takes the starting, or base, population for the cohort, ages it forward</w:t>
      </w:r>
      <w:r w:rsidR="00906C44">
        <w:rPr>
          <w:rFonts w:ascii="Calibri" w:eastAsia="Calibri" w:hAnsi="Calibri"/>
        </w:rPr>
        <w:t>,</w:t>
      </w:r>
      <w:r w:rsidRPr="00AD6F55">
        <w:rPr>
          <w:rFonts w:ascii="Calibri" w:eastAsia="Calibri" w:hAnsi="Calibri"/>
        </w:rPr>
        <w:t xml:space="preserve"> and adds or subtracts births, deaths, and migration to create a future estimate. These components of change are often expressed as cohort-specific rates—</w:t>
      </w:r>
      <w:r w:rsidRPr="00AD6F55">
        <w:rPr>
          <w:rFonts w:ascii="Calibri" w:eastAsia="Calibri" w:hAnsi="Calibri"/>
          <w:sz w:val="20"/>
          <w:szCs w:val="20"/>
        </w:rPr>
        <w:t>for</w:t>
      </w:r>
      <w:r w:rsidRPr="00AD6F55">
        <w:rPr>
          <w:rFonts w:ascii="Calibri" w:eastAsia="Calibri" w:hAnsi="Calibri"/>
        </w:rPr>
        <w:t xml:space="preserve"> example, birth rates by age and race of mother, death rates by age and sex, etc.—which are then applied back to the appropriate cohort population in the base year to model the future population. Rates can be held constant, increased, or decreased depending on the assumptions that a particular model makes. </w:t>
      </w:r>
    </w:p>
    <w:p w14:paraId="3138855E" w14:textId="1D4B91F3" w:rsidR="00AD23A9" w:rsidRPr="00AD6F55" w:rsidRDefault="00AD23A9" w:rsidP="00AD23A9">
      <w:pPr>
        <w:spacing w:line="240" w:lineRule="auto"/>
        <w:rPr>
          <w:rFonts w:ascii="Calibri" w:eastAsia="Calibri" w:hAnsi="Calibri"/>
        </w:rPr>
      </w:pPr>
      <w:r w:rsidRPr="00AD6F55">
        <w:rPr>
          <w:rFonts w:ascii="Calibri" w:eastAsia="Calibri" w:hAnsi="Calibri"/>
        </w:rPr>
        <w:t xml:space="preserve">Smith, Tayman, and Swanson explain: </w:t>
      </w:r>
    </w:p>
    <w:p w14:paraId="0A582601" w14:textId="78AEF7D3" w:rsidR="00AD23A9" w:rsidRPr="00AD6F55" w:rsidRDefault="00AD23A9" w:rsidP="00AD23A9">
      <w:pPr>
        <w:spacing w:line="240" w:lineRule="auto"/>
        <w:ind w:left="720"/>
        <w:rPr>
          <w:rFonts w:ascii="Calibri" w:eastAsia="Calibri" w:hAnsi="Calibri"/>
        </w:rPr>
      </w:pPr>
      <w:r w:rsidRPr="00AD6F55">
        <w:rPr>
          <w:rFonts w:ascii="Calibri" w:eastAsia="Calibri" w:hAnsi="Calibri"/>
        </w:rPr>
        <w:t>Hamilton and Perry (1962) proposed the use of cohort-change ratios as a short-cut way to apply the cohort-component method… The major difference [in the Hamilton-Perry model] is that it treats mortality and migration as a single unit rather than separately. In addition, the fertility component is often simplified by using child-woman ratios rather than ASBRs [age-specific birth rates]... The Hamilton-Perry method projects population by age and sex using cohort-change ratios (CCRs) based on data from two consecutive censuses. (176-177)</w:t>
      </w:r>
    </w:p>
    <w:p w14:paraId="65996608" w14:textId="4DADC1A1" w:rsidR="00AD23A9" w:rsidRPr="00AD6F55" w:rsidRDefault="00AD23A9" w:rsidP="00AD23A9">
      <w:pPr>
        <w:spacing w:line="240" w:lineRule="auto"/>
        <w:rPr>
          <w:rFonts w:ascii="Calibri" w:eastAsia="Calibri" w:hAnsi="Calibri"/>
        </w:rPr>
      </w:pPr>
      <w:r w:rsidRPr="00AD6F55">
        <w:rPr>
          <w:rFonts w:ascii="Calibri" w:eastAsia="Calibri" w:hAnsi="Calibri"/>
        </w:rPr>
        <w:t xml:space="preserve">More specifically, the model creates a ratio between a specific cohort population (by age, sex, geography, and sometimes additional variations such as race) for age </w:t>
      </w:r>
      <w:r w:rsidRPr="00AD6F55">
        <w:rPr>
          <w:rFonts w:ascii="Calibri" w:eastAsia="Calibri" w:hAnsi="Calibri"/>
          <w:i/>
          <w:vertAlign w:val="subscript"/>
        </w:rPr>
        <w:t>a</w:t>
      </w:r>
      <w:r w:rsidRPr="00AD6F55">
        <w:rPr>
          <w:rFonts w:ascii="Calibri" w:eastAsia="Calibri" w:hAnsi="Calibri"/>
        </w:rPr>
        <w:t xml:space="preserve"> in year </w:t>
      </w:r>
      <w:r w:rsidRPr="00AD6F55">
        <w:rPr>
          <w:rFonts w:ascii="Calibri" w:eastAsia="Calibri" w:hAnsi="Calibri"/>
          <w:i/>
          <w:vertAlign w:val="subscript"/>
        </w:rPr>
        <w:t>y</w:t>
      </w:r>
      <w:r w:rsidRPr="00AD6F55">
        <w:rPr>
          <w:rFonts w:ascii="Calibri" w:eastAsia="Calibri" w:hAnsi="Calibri"/>
          <w:vertAlign w:val="subscript"/>
        </w:rPr>
        <w:t xml:space="preserve"> </w:t>
      </w:r>
      <w:r w:rsidRPr="00AD6F55">
        <w:rPr>
          <w:rFonts w:ascii="Calibri" w:eastAsia="Calibri" w:hAnsi="Calibri"/>
        </w:rPr>
        <w:t xml:space="preserve">to its corresponding cohort age </w:t>
      </w:r>
      <w:r w:rsidRPr="00AD6F55">
        <w:rPr>
          <w:rFonts w:ascii="Calibri" w:eastAsia="Calibri" w:hAnsi="Calibri"/>
          <w:i/>
          <w:vertAlign w:val="subscript"/>
        </w:rPr>
        <w:t>a-10</w:t>
      </w:r>
      <w:r w:rsidRPr="00AD6F55">
        <w:rPr>
          <w:rFonts w:ascii="Calibri" w:eastAsia="Calibri" w:hAnsi="Calibri"/>
        </w:rPr>
        <w:t xml:space="preserve"> in year </w:t>
      </w:r>
      <w:r w:rsidRPr="00AD6F55">
        <w:rPr>
          <w:rFonts w:ascii="Calibri" w:eastAsia="Calibri" w:hAnsi="Calibri"/>
          <w:i/>
          <w:vertAlign w:val="subscript"/>
        </w:rPr>
        <w:t>y-10</w:t>
      </w:r>
      <w:r w:rsidRPr="00AD6F55">
        <w:rPr>
          <w:rFonts w:ascii="Calibri" w:eastAsia="Calibri" w:hAnsi="Calibri"/>
        </w:rPr>
        <w:t>. The ratio is then applied to the corresponding base population to create a forecast of the cohort population ten years later. In this way, each individual group is aged up by ten years over a ten-year period and is also increased or decreased by the effects of mortality and migration experienced over the same period.</w:t>
      </w:r>
    </w:p>
    <w:p w14:paraId="290F31EB" w14:textId="5B0B118E" w:rsidR="00AD23A9" w:rsidRPr="00E32192" w:rsidRDefault="00AD23A9" w:rsidP="00AD23A9">
      <w:pPr>
        <w:spacing w:line="240" w:lineRule="auto"/>
        <w:rPr>
          <w:rFonts w:ascii="Calibri" w:eastAsia="Calibri" w:hAnsi="Calibri"/>
        </w:rPr>
      </w:pPr>
      <w:r w:rsidRPr="00E32192">
        <w:rPr>
          <w:rFonts w:ascii="Calibri" w:eastAsia="Calibri" w:hAnsi="Calibri"/>
        </w:rPr>
        <w:t xml:space="preserve">Because it relies solely on decennial census count data, which is available at a very detailed level, the Hamilton-Perry method is particularly well suited for estimating small geographies and specific sub-populations. Smith, Tayman, and Swanson explain: </w:t>
      </w:r>
    </w:p>
    <w:p w14:paraId="46FABE4A" w14:textId="77777777" w:rsidR="00AD23A9" w:rsidRPr="00E32192" w:rsidRDefault="00AD23A9" w:rsidP="00AD23A9">
      <w:pPr>
        <w:spacing w:line="240" w:lineRule="auto"/>
        <w:ind w:left="720"/>
        <w:rPr>
          <w:rFonts w:ascii="Calibri" w:eastAsia="Calibri" w:hAnsi="Calibri"/>
        </w:rPr>
      </w:pPr>
      <w:r w:rsidRPr="00E32192">
        <w:rPr>
          <w:rFonts w:ascii="Calibri" w:eastAsia="Calibri" w:hAnsi="Calibri"/>
        </w:rPr>
        <w:t>Large data requirements preclude the use of some forms of the cohort-component method at some levels of geography. Although seldom a problem for states and large counties, the lack of data presents a formidable challenge for small counties and subcounty areas. Birth and death data are routinely available for counties but not for most subcounty areas. Migration data are an even greater problem. ACS [American Community Survey] migration data are quite limited, especially at the subcounty level. Although PUMS [Public Use Microdata Sample] files provide detailed migration information, they are often based on a small sample size and are available only for places with at least 100,000 residents. IRS migration data are not tabulated below the county level and do not provide breakdowns of demographic characteristics. Because of these data problems, the Hamilton-Perry method is often the best cohort-component model to use for subcounty projections. (181-182)</w:t>
      </w:r>
    </w:p>
    <w:p w14:paraId="4A17C5FC" w14:textId="7E37B5B7" w:rsidR="00AD23A9" w:rsidRPr="00E32192" w:rsidRDefault="00AD23A9" w:rsidP="00AD23A9">
      <w:pPr>
        <w:spacing w:line="240" w:lineRule="auto"/>
        <w:rPr>
          <w:rFonts w:ascii="Calibri" w:eastAsia="Calibri" w:hAnsi="Calibri"/>
        </w:rPr>
      </w:pPr>
      <w:r w:rsidRPr="00E32192">
        <w:rPr>
          <w:rFonts w:ascii="Calibri" w:eastAsia="Calibri" w:hAnsi="Calibri"/>
        </w:rPr>
        <w:lastRenderedPageBreak/>
        <w:t xml:space="preserve">While in Massachusetts birth and death data by age and sex are available at the sub-county level, they are not available by tract. Additionally, direct measures of migration are not available by any means at the sub-county level in Massachusetts. Researchers who have tested the use of vital statistics data that has been geocoded by street address have found that method to be unreliable (Baker et al., 2012). </w:t>
      </w:r>
    </w:p>
    <w:p w14:paraId="32662EF8" w14:textId="2A1F1579" w:rsidR="00AD23A9" w:rsidRPr="00FF0F58" w:rsidRDefault="00AD23A9" w:rsidP="00AD23A9">
      <w:pPr>
        <w:spacing w:line="240" w:lineRule="auto"/>
        <w:rPr>
          <w:rFonts w:ascii="Calibri" w:eastAsia="Calibri" w:hAnsi="Calibri"/>
        </w:rPr>
      </w:pPr>
      <w:r w:rsidRPr="00FF0F58">
        <w:rPr>
          <w:rFonts w:ascii="Calibri" w:eastAsia="Calibri" w:hAnsi="Calibri"/>
        </w:rPr>
        <w:t xml:space="preserve">While the Hamilton-Perry method assumes that the cohort-change ratios observed between recent censuses will carry forward into the future, the UMDI model modifies this assumption by incorporating current, and sometimes unanticipated, changes in population by age, sex, race, and ethnicity. In our method, we control the town- and tract-level estimates produced by the cohort-change ratio method to the most recent annual county-level estimates of age/sex/race/ethnicity populations produced by the </w:t>
      </w:r>
      <w:r w:rsidR="0052582C">
        <w:rPr>
          <w:rFonts w:ascii="Calibri" w:eastAsia="Calibri" w:hAnsi="Calibri"/>
        </w:rPr>
        <w:t xml:space="preserve">U.S. </w:t>
      </w:r>
      <w:r w:rsidRPr="00FF0F58">
        <w:rPr>
          <w:rFonts w:ascii="Calibri" w:eastAsia="Calibri" w:hAnsi="Calibri"/>
        </w:rPr>
        <w:t>Census Bureau.</w:t>
      </w:r>
      <w:r w:rsidRPr="00FF0F58">
        <w:rPr>
          <w:rFonts w:ascii="Calibri" w:eastAsia="Calibri" w:hAnsi="Calibri"/>
          <w:vertAlign w:val="superscript"/>
        </w:rPr>
        <w:footnoteReference w:id="8"/>
      </w:r>
      <w:r w:rsidRPr="00FF0F58">
        <w:rPr>
          <w:rFonts w:ascii="Calibri" w:eastAsia="Calibri" w:hAnsi="Calibri"/>
        </w:rPr>
        <w:t xml:space="preserve"> In this way, if a particular race group begins to grow in an area at a rate higher than what past censuses would have predicted, or if migration within a particular age group suddenly changes in a region, this change will be picked up by the estimates and distributed to the sub-county geographies. While the UMDI model still assumes that the </w:t>
      </w:r>
      <w:r w:rsidRPr="00FF0F58">
        <w:rPr>
          <w:rFonts w:ascii="Calibri" w:eastAsia="Calibri" w:hAnsi="Calibri"/>
          <w:i/>
        </w:rPr>
        <w:t>sub-county</w:t>
      </w:r>
      <w:r w:rsidRPr="00FF0F58">
        <w:rPr>
          <w:rFonts w:ascii="Calibri" w:eastAsia="Calibri" w:hAnsi="Calibri"/>
        </w:rPr>
        <w:t xml:space="preserve"> distribution of population by age/sex/race/etc. is the same as that indicated by the Hamilton-Perry forecast, the total populations by age, sex, race, and ethnicity </w:t>
      </w:r>
      <w:r w:rsidR="00826CD6" w:rsidRPr="00FF0F58">
        <w:rPr>
          <w:rFonts w:ascii="Calibri" w:eastAsia="Calibri" w:hAnsi="Calibri"/>
        </w:rPr>
        <w:t xml:space="preserve">are </w:t>
      </w:r>
      <w:r w:rsidRPr="00FF0F58">
        <w:rPr>
          <w:rFonts w:ascii="Calibri" w:eastAsia="Calibri" w:hAnsi="Calibri"/>
        </w:rPr>
        <w:t>updated for each county.</w:t>
      </w:r>
      <w:r w:rsidR="008B12F7" w:rsidRPr="00FF0F58">
        <w:rPr>
          <w:rStyle w:val="FootnoteReference"/>
          <w:rFonts w:ascii="Calibri" w:eastAsia="Calibri" w:hAnsi="Calibri"/>
        </w:rPr>
        <w:footnoteReference w:id="9"/>
      </w:r>
      <w:r w:rsidRPr="00FF0F58">
        <w:rPr>
          <w:rFonts w:ascii="Calibri" w:eastAsia="Calibri" w:hAnsi="Calibri"/>
        </w:rPr>
        <w:t xml:space="preserve"> </w:t>
      </w:r>
    </w:p>
    <w:p w14:paraId="3971805D" w14:textId="72BF2D76" w:rsidR="00AD23A9" w:rsidRPr="00B93AE4" w:rsidRDefault="00AD23A9" w:rsidP="00AD23A9">
      <w:pPr>
        <w:spacing w:line="240" w:lineRule="auto"/>
        <w:rPr>
          <w:rFonts w:ascii="Calibri" w:eastAsia="Calibri" w:hAnsi="Calibri"/>
        </w:rPr>
      </w:pPr>
      <w:r w:rsidRPr="00B93AE4">
        <w:rPr>
          <w:rFonts w:ascii="Calibri" w:eastAsia="Calibri" w:hAnsi="Calibri"/>
        </w:rPr>
        <w:t xml:space="preserve">For their annual county-level estimates, the Census Bureau uses administrative records data to capture birth and death counts at the county level and uses IRS, Medicare enrollment, and American Community Survey data to capture recent county-to-county and international migration. While these data can lag by </w:t>
      </w:r>
      <w:r w:rsidR="00B51A95">
        <w:rPr>
          <w:rFonts w:ascii="Calibri" w:eastAsia="Calibri" w:hAnsi="Calibri"/>
        </w:rPr>
        <w:t xml:space="preserve">up to </w:t>
      </w:r>
      <w:r w:rsidRPr="00B93AE4">
        <w:rPr>
          <w:rFonts w:ascii="Calibri" w:eastAsia="Calibri" w:hAnsi="Calibri"/>
        </w:rPr>
        <w:t>two years, they are still effective in capturing trends that have emerged since the last census count. For instance, they can reflect increased migration to and from specific counties or changes in overall birth rates since the last census. In assessing the accuracy of their post-censal county estimates, the Census Bureau reported a high level of accuracy in accounting for population change between 2010 and 2020, reporting an average mean absolute difference of 2.9 percent between the population estimates and the actual Census 2020 count across all counties.</w:t>
      </w:r>
      <w:r w:rsidR="00073E4D" w:rsidRPr="00B93AE4">
        <w:rPr>
          <w:rStyle w:val="FootnoteReference"/>
          <w:rFonts w:ascii="Calibri" w:eastAsia="Calibri" w:hAnsi="Calibri"/>
        </w:rPr>
        <w:footnoteReference w:id="10"/>
      </w:r>
      <w:r w:rsidRPr="00B93AE4">
        <w:rPr>
          <w:rFonts w:ascii="Calibri" w:eastAsia="Calibri" w:hAnsi="Calibri"/>
          <w:sz w:val="14"/>
          <w:szCs w:val="14"/>
        </w:rPr>
        <w:t xml:space="preserve"> </w:t>
      </w:r>
      <w:r w:rsidRPr="00B93AE4">
        <w:rPr>
          <w:rFonts w:ascii="Calibri" w:eastAsia="Calibri" w:hAnsi="Calibri"/>
        </w:rPr>
        <w:t xml:space="preserve">The Census Bureau now also uses a records-matching method to assign characteristics such as race and age to their annual estimates, matching IRS records to Census household responses wherever possible to capitalize further on the integration of current administrative data and to improve the accuracy of their estimates. </w:t>
      </w:r>
      <w:r w:rsidRPr="00B93AE4">
        <w:rPr>
          <w:rFonts w:ascii="Calibri" w:eastAsia="Calibri" w:hAnsi="Calibri"/>
        </w:rPr>
        <w:tab/>
      </w:r>
    </w:p>
    <w:p w14:paraId="6A05C5D5" w14:textId="77777777" w:rsidR="00AD23A9" w:rsidRPr="00F617B1" w:rsidRDefault="00AD23A9" w:rsidP="00AD23A9">
      <w:pPr>
        <w:pStyle w:val="Default"/>
        <w:rPr>
          <w:rFonts w:eastAsia="Calibri"/>
          <w:color w:val="0053BE" w:themeColor="accent6" w:themeTint="BF"/>
          <w:sz w:val="22"/>
          <w:szCs w:val="20"/>
        </w:rPr>
      </w:pPr>
      <w:r w:rsidRPr="00B93AE4">
        <w:rPr>
          <w:rFonts w:eastAsia="Calibri"/>
          <w:color w:val="auto"/>
          <w:sz w:val="22"/>
          <w:szCs w:val="20"/>
        </w:rPr>
        <w:t xml:space="preserve">While the Hamilton-Perry method is considered a standard model for population forecasting, for the purposes of this product UMDI tested and applied various modifications to maximize performance for Massachusetts geographies when developing the methodology in 2016. Our primary tests included analyzing 10-year versus 20-year cohort-change ratios (CCRs); customized child-to-woman-ratios; and </w:t>
      </w:r>
      <w:r w:rsidRPr="00C7708E">
        <w:rPr>
          <w:rFonts w:eastAsia="Calibri"/>
          <w:color w:val="auto"/>
          <w:sz w:val="22"/>
          <w:szCs w:val="20"/>
        </w:rPr>
        <w:t>the application of CCR caps. In the testing process, UMDI applied each model variation to create 2010 population estimates and compared them to Census 2010 population counts.</w:t>
      </w:r>
      <w:r w:rsidRPr="00C7708E">
        <w:rPr>
          <w:rFonts w:eastAsia="Calibri"/>
          <w:color w:val="auto"/>
          <w:sz w:val="22"/>
          <w:szCs w:val="20"/>
          <w:vertAlign w:val="superscript"/>
        </w:rPr>
        <w:footnoteReference w:id="11"/>
      </w:r>
      <w:r w:rsidRPr="00C7708E">
        <w:rPr>
          <w:rFonts w:eastAsia="Calibri"/>
          <w:color w:val="auto"/>
          <w:sz w:val="22"/>
          <w:szCs w:val="20"/>
        </w:rPr>
        <w:t xml:space="preserve"> The differences between the estimated and actual 2010 populations-by-cohort were recorded as errors, mean absolute percent </w:t>
      </w:r>
      <w:r w:rsidRPr="00C7708E">
        <w:rPr>
          <w:rFonts w:eastAsia="Calibri"/>
          <w:color w:val="auto"/>
          <w:sz w:val="22"/>
          <w:szCs w:val="20"/>
        </w:rPr>
        <w:lastRenderedPageBreak/>
        <w:t>errors (MAPEs), and weighted absolute percent errors (WAPEs). Lower MAPEs or WAPEs indicate a smaller average absolute difference between the resulting 2010 estimate and the actual 2010 Census data; therefore, model variations with lower MAPEs or WAPEs were considered the better performers.</w:t>
      </w:r>
      <w:r w:rsidRPr="00C7708E" w:rsidDel="00DF1A7E">
        <w:rPr>
          <w:rFonts w:eastAsia="Calibri"/>
          <w:color w:val="auto"/>
          <w:sz w:val="22"/>
          <w:szCs w:val="20"/>
        </w:rPr>
        <w:t xml:space="preserve"> </w:t>
      </w:r>
      <w:r w:rsidRPr="00C7708E">
        <w:rPr>
          <w:rFonts w:eastAsia="Calibri"/>
          <w:color w:val="auto"/>
          <w:sz w:val="22"/>
          <w:szCs w:val="20"/>
        </w:rPr>
        <w:t>As a result of our model testing, we made the following three decisions for our final model: 1) to use a 10-year cohort-change ratio over a 20-year; 2) to use a modified child-to-woman ratio for estimating children aged 0-9; and 3) to use capped CCR values for small cohort groups. More detailed</w:t>
      </w:r>
      <w:r w:rsidRPr="00C7708E">
        <w:rPr>
          <w:rFonts w:eastAsia="Calibri"/>
          <w:color w:val="auto"/>
          <w:szCs w:val="20"/>
        </w:rPr>
        <w:t xml:space="preserve"> </w:t>
      </w:r>
      <w:r w:rsidRPr="00C7708E">
        <w:rPr>
          <w:rFonts w:eastAsia="Calibri"/>
          <w:color w:val="auto"/>
          <w:sz w:val="22"/>
          <w:szCs w:val="20"/>
        </w:rPr>
        <w:t>information on the tests performed in the development of this model is available in the Vintage 2016 methodology report.</w:t>
      </w:r>
      <w:r w:rsidRPr="00C7708E">
        <w:rPr>
          <w:rStyle w:val="FootnoteReference"/>
          <w:rFonts w:eastAsia="Calibri"/>
          <w:color w:val="auto"/>
          <w:sz w:val="22"/>
          <w:szCs w:val="20"/>
        </w:rPr>
        <w:footnoteReference w:id="12"/>
      </w:r>
      <w:r w:rsidRPr="00C7708E">
        <w:rPr>
          <w:rFonts w:eastAsia="Calibri"/>
          <w:color w:val="auto"/>
          <w:sz w:val="22"/>
          <w:szCs w:val="20"/>
        </w:rPr>
        <w:t xml:space="preserve"> </w:t>
      </w:r>
    </w:p>
    <w:p w14:paraId="6136DD4A" w14:textId="77777777" w:rsidR="00AD23A9" w:rsidRPr="00201848" w:rsidRDefault="00AD23A9" w:rsidP="00AD23A9">
      <w:pPr>
        <w:pStyle w:val="Heading2"/>
        <w:rPr>
          <w:rFonts w:asciiTheme="minorHAnsi" w:eastAsia="Calibri" w:hAnsiTheme="minorHAnsi"/>
          <w:color w:val="595959" w:themeColor="text1" w:themeTint="A6"/>
          <w:szCs w:val="32"/>
        </w:rPr>
      </w:pPr>
      <w:bookmarkStart w:id="11" w:name="_Toc169790075"/>
      <w:bookmarkStart w:id="12" w:name="_Toc197520521"/>
      <w:r w:rsidRPr="00201848">
        <w:rPr>
          <w:rFonts w:asciiTheme="minorHAnsi" w:eastAsia="Calibri" w:hAnsiTheme="minorHAnsi"/>
          <w:color w:val="595959" w:themeColor="text1" w:themeTint="A6"/>
          <w:szCs w:val="32"/>
        </w:rPr>
        <w:t>Note on Assumptions and Special Cases</w:t>
      </w:r>
      <w:bookmarkEnd w:id="11"/>
      <w:bookmarkEnd w:id="12"/>
    </w:p>
    <w:p w14:paraId="65366F8D" w14:textId="0A96D94B" w:rsidR="00AD23A9" w:rsidRPr="00C7708E" w:rsidRDefault="00AD23A9" w:rsidP="00AD23A9">
      <w:pPr>
        <w:spacing w:line="240" w:lineRule="auto"/>
        <w:rPr>
          <w:rFonts w:ascii="Calibri" w:eastAsia="Calibri" w:hAnsi="Calibri"/>
        </w:rPr>
      </w:pPr>
      <w:r w:rsidRPr="00C7708E">
        <w:rPr>
          <w:rFonts w:ascii="Calibri" w:eastAsia="Calibri" w:hAnsi="Calibri"/>
        </w:rPr>
        <w:t>It is important to note that the Hamilton-Perry method, like all estimation methods, relies on particular assumptions</w:t>
      </w:r>
      <w:r w:rsidR="00730019">
        <w:rPr>
          <w:rFonts w:ascii="Calibri" w:eastAsia="Calibri" w:hAnsi="Calibri"/>
        </w:rPr>
        <w:t xml:space="preserve">; </w:t>
      </w:r>
      <w:r w:rsidRPr="00C7708E">
        <w:rPr>
          <w:rFonts w:ascii="Calibri" w:eastAsia="Calibri" w:hAnsi="Calibri"/>
        </w:rPr>
        <w:t>the prime assumption being that future population trends will resemble trends observed in the past. UMDI’s modification</w:t>
      </w:r>
      <w:r w:rsidR="00730019">
        <w:rPr>
          <w:rFonts w:ascii="Calibri" w:eastAsia="Calibri" w:hAnsi="Calibri"/>
        </w:rPr>
        <w:t>s</w:t>
      </w:r>
      <w:r w:rsidRPr="00C7708E">
        <w:rPr>
          <w:rFonts w:ascii="Calibri" w:eastAsia="Calibri" w:hAnsi="Calibri"/>
        </w:rPr>
        <w:t xml:space="preserve"> </w:t>
      </w:r>
      <w:r w:rsidR="00730019">
        <w:rPr>
          <w:rFonts w:ascii="Calibri" w:eastAsia="Calibri" w:hAnsi="Calibri"/>
        </w:rPr>
        <w:t xml:space="preserve">to </w:t>
      </w:r>
      <w:r w:rsidRPr="00C7708E">
        <w:rPr>
          <w:rFonts w:ascii="Calibri" w:eastAsia="Calibri" w:hAnsi="Calibri"/>
        </w:rPr>
        <w:t xml:space="preserve">the Hamilton-Perry </w:t>
      </w:r>
      <w:r w:rsidR="00730019">
        <w:rPr>
          <w:rFonts w:ascii="Calibri" w:eastAsia="Calibri" w:hAnsi="Calibri"/>
        </w:rPr>
        <w:t xml:space="preserve">method </w:t>
      </w:r>
      <w:r w:rsidRPr="00C7708E">
        <w:rPr>
          <w:rFonts w:ascii="Calibri" w:eastAsia="Calibri" w:hAnsi="Calibri"/>
        </w:rPr>
        <w:t>also include a number of other assumptions that are described in the methods section of this report. These assumptions should be carefully considered by researchers using or evaluating the resulting population estimates. Where feasible, UMDI tested which of the various candidate models and assumptions performed best in predicting historic population counts. However, even these analyses rely on the assumption that the performance of the model in the current decade will be like that of the past decade.</w:t>
      </w:r>
    </w:p>
    <w:p w14:paraId="7C2858A9" w14:textId="28BF430C" w:rsidR="00AD23A9" w:rsidRPr="00C7708E" w:rsidRDefault="00AD23A9" w:rsidP="00AD23A9">
      <w:pPr>
        <w:spacing w:line="240" w:lineRule="auto"/>
        <w:rPr>
          <w:rFonts w:ascii="Calibri" w:eastAsia="Calibri" w:hAnsi="Calibri"/>
        </w:rPr>
      </w:pPr>
      <w:r w:rsidRPr="00C7708E">
        <w:rPr>
          <w:rFonts w:ascii="Calibri" w:eastAsia="Calibri" w:hAnsi="Calibri"/>
        </w:rPr>
        <w:t xml:space="preserve">It is also critical to note that while we attempt to reduce the effect of outlier events in our model, and account for them in our confidence intervals, when working with small-level geographies there are inevitably a number of special or extreme cases of population change that can and do occur. Some of these are past events that are picked up and perpetuated by our model, and some are current events over which our model has no predictive power. </w:t>
      </w:r>
    </w:p>
    <w:p w14:paraId="13469282" w14:textId="7BA187CD" w:rsidR="00AD23A9" w:rsidRPr="00043590" w:rsidRDefault="00AD23A9" w:rsidP="00AD23A9">
      <w:pPr>
        <w:spacing w:line="240" w:lineRule="auto"/>
        <w:rPr>
          <w:rFonts w:ascii="Calibri" w:eastAsia="Calibri" w:hAnsi="Calibri"/>
        </w:rPr>
      </w:pPr>
      <w:r w:rsidRPr="00043590">
        <w:rPr>
          <w:rFonts w:ascii="Calibri" w:eastAsia="Calibri" w:hAnsi="Calibri"/>
        </w:rPr>
        <w:t xml:space="preserve">For example, in the </w:t>
      </w:r>
      <w:r w:rsidRPr="00043590">
        <w:rPr>
          <w:rFonts w:ascii="Calibri" w:eastAsia="Calibri" w:hAnsi="Calibri"/>
          <w:i/>
        </w:rPr>
        <w:t>Detailed Methodology</w:t>
      </w:r>
      <w:r w:rsidRPr="00043590">
        <w:rPr>
          <w:rFonts w:ascii="Calibri" w:eastAsia="Calibri" w:hAnsi="Calibri"/>
        </w:rPr>
        <w:t xml:space="preserve"> section of this report, we describe a special adjustment we make for the Town of Lincoln, which was subject to a Census 2010 count that did not reflect the true population trend in that geography. While Lincoln is one special case about which we have direct and detailed knowledge, it should be noted that there </w:t>
      </w:r>
      <w:r w:rsidR="00E300D3">
        <w:rPr>
          <w:rFonts w:ascii="Calibri" w:eastAsia="Calibri" w:hAnsi="Calibri"/>
        </w:rPr>
        <w:t>may exist</w:t>
      </w:r>
      <w:r w:rsidRPr="00043590">
        <w:rPr>
          <w:rFonts w:ascii="Calibri" w:eastAsia="Calibri" w:hAnsi="Calibri"/>
        </w:rPr>
        <w:t xml:space="preserve"> other special cases around the state </w:t>
      </w:r>
      <w:r w:rsidR="009D17FD" w:rsidRPr="00043590">
        <w:rPr>
          <w:rFonts w:ascii="Calibri" w:eastAsia="Calibri" w:hAnsi="Calibri"/>
        </w:rPr>
        <w:t>for which our model does not account</w:t>
      </w:r>
      <w:r w:rsidRPr="00043590">
        <w:rPr>
          <w:rFonts w:ascii="Calibri" w:eastAsia="Calibri" w:hAnsi="Calibri"/>
        </w:rPr>
        <w:t xml:space="preserve">. Especially at the tract level, an off-trend change occurring from one census to the next can significantly exaggerate population in one direction or another. We attempt to minimize the effect of special cases by adding CCR caps, as described </w:t>
      </w:r>
      <w:r w:rsidR="006450CA" w:rsidRPr="00043590">
        <w:rPr>
          <w:rFonts w:ascii="Calibri" w:eastAsia="Calibri" w:hAnsi="Calibri"/>
        </w:rPr>
        <w:t>in the</w:t>
      </w:r>
      <w:r w:rsidRPr="00043590">
        <w:rPr>
          <w:rFonts w:ascii="Calibri" w:eastAsia="Calibri" w:hAnsi="Calibri"/>
        </w:rPr>
        <w:t xml:space="preserve"> </w:t>
      </w:r>
      <w:r w:rsidRPr="00043590">
        <w:rPr>
          <w:rFonts w:ascii="Calibri" w:eastAsia="Calibri" w:hAnsi="Calibri"/>
          <w:i/>
        </w:rPr>
        <w:t>Detailed Methodology</w:t>
      </w:r>
      <w:r w:rsidRPr="00043590">
        <w:rPr>
          <w:rFonts w:ascii="Calibri" w:eastAsia="Calibri" w:hAnsi="Calibri"/>
          <w:b/>
        </w:rPr>
        <w:t xml:space="preserve"> </w:t>
      </w:r>
      <w:r w:rsidRPr="00043590">
        <w:rPr>
          <w:rFonts w:ascii="Calibri" w:eastAsia="Calibri" w:hAnsi="Calibri"/>
        </w:rPr>
        <w:t>section of this report. We also capture the effect of the unusual situations that have occurred in the past in the error ranges and confidence intervals assigned to our estimates, to the extent that the present decade is similar to the last in terms of numbers and magnitude of special cases. Nonetheless it is worth noting that there exist a number of typical “special case” geographies that researchers should be sensitive to when evaluating the accuracy of estimates at a refined level. These include:</w:t>
      </w:r>
    </w:p>
    <w:p w14:paraId="1F408401" w14:textId="77777777" w:rsidR="00AD23A9" w:rsidRPr="00AD1A8C" w:rsidRDefault="00AD23A9" w:rsidP="00AD23A9">
      <w:pPr>
        <w:numPr>
          <w:ilvl w:val="0"/>
          <w:numId w:val="32"/>
        </w:numPr>
        <w:spacing w:after="0" w:line="240" w:lineRule="auto"/>
        <w:contextualSpacing/>
        <w:rPr>
          <w:rFonts w:ascii="Calibri" w:eastAsia="Calibri" w:hAnsi="Calibri"/>
          <w:szCs w:val="18"/>
        </w:rPr>
      </w:pPr>
      <w:r w:rsidRPr="00AD1A8C">
        <w:rPr>
          <w:rFonts w:ascii="Calibri" w:eastAsia="Calibri" w:hAnsi="Calibri"/>
          <w:szCs w:val="18"/>
        </w:rPr>
        <w:t xml:space="preserve">Geographies in which student housing or enrollment changes significantly from one census to the next or since 2010. For example, an all-male college or dormitory becomes co-ed; a large new residence hall is built; or a graduate studies program is added to an undergraduate campus. </w:t>
      </w:r>
    </w:p>
    <w:p w14:paraId="6674C7D8" w14:textId="77777777" w:rsidR="00AD23A9" w:rsidRPr="00AD1A8C" w:rsidRDefault="00AD23A9" w:rsidP="00AD23A9">
      <w:pPr>
        <w:numPr>
          <w:ilvl w:val="0"/>
          <w:numId w:val="32"/>
        </w:numPr>
        <w:spacing w:after="0" w:line="240" w:lineRule="auto"/>
        <w:contextualSpacing/>
        <w:rPr>
          <w:rFonts w:ascii="Calibri" w:eastAsia="Calibri" w:hAnsi="Calibri"/>
          <w:szCs w:val="18"/>
        </w:rPr>
      </w:pPr>
      <w:r w:rsidRPr="00AD1A8C">
        <w:rPr>
          <w:rFonts w:ascii="Calibri" w:eastAsia="Calibri" w:hAnsi="Calibri"/>
          <w:szCs w:val="18"/>
        </w:rPr>
        <w:lastRenderedPageBreak/>
        <w:t>Geographies in which an assisted living or nursing home residence or some other large group quarters facilities is opened or closed from one census to the next or post-Census 2020.</w:t>
      </w:r>
      <w:r w:rsidRPr="00AD1A8C">
        <w:rPr>
          <w:rFonts w:ascii="Calibri" w:eastAsia="Calibri" w:hAnsi="Calibri"/>
          <w:szCs w:val="18"/>
          <w:vertAlign w:val="superscript"/>
        </w:rPr>
        <w:footnoteReference w:id="13"/>
      </w:r>
    </w:p>
    <w:p w14:paraId="0076939E" w14:textId="77777777" w:rsidR="00AD23A9" w:rsidRPr="00AD1A8C" w:rsidRDefault="00AD23A9" w:rsidP="00AD23A9">
      <w:pPr>
        <w:numPr>
          <w:ilvl w:val="0"/>
          <w:numId w:val="32"/>
        </w:numPr>
        <w:spacing w:after="0" w:line="240" w:lineRule="auto"/>
        <w:contextualSpacing/>
        <w:rPr>
          <w:rFonts w:ascii="Calibri" w:eastAsia="Calibri" w:hAnsi="Calibri"/>
          <w:szCs w:val="18"/>
        </w:rPr>
      </w:pPr>
      <w:r w:rsidRPr="00AD1A8C">
        <w:rPr>
          <w:rFonts w:ascii="Calibri" w:eastAsia="Calibri" w:hAnsi="Calibri"/>
          <w:szCs w:val="18"/>
        </w:rPr>
        <w:t>Geographies that have undergone major new construction or demolition of residential housing that is out-of-trend with the usual historical or regional (county) construction.</w:t>
      </w:r>
    </w:p>
    <w:p w14:paraId="4151264B" w14:textId="3FA6E39B" w:rsidR="00AD23A9" w:rsidRPr="00AD1A8C" w:rsidRDefault="00AD23A9" w:rsidP="00AD23A9">
      <w:pPr>
        <w:numPr>
          <w:ilvl w:val="0"/>
          <w:numId w:val="32"/>
        </w:numPr>
        <w:spacing w:after="0" w:line="240" w:lineRule="auto"/>
        <w:contextualSpacing/>
        <w:rPr>
          <w:rFonts w:ascii="Calibri" w:eastAsia="Calibri" w:hAnsi="Calibri"/>
          <w:szCs w:val="18"/>
        </w:rPr>
      </w:pPr>
      <w:r w:rsidRPr="00AD1A8C">
        <w:rPr>
          <w:rFonts w:ascii="Calibri" w:eastAsia="Calibri" w:hAnsi="Calibri"/>
          <w:szCs w:val="18"/>
        </w:rPr>
        <w:t>Geographies that include concentrations of shifting seasonal or international workers, such as the Cape and Islands region.</w:t>
      </w:r>
    </w:p>
    <w:p w14:paraId="076BF469" w14:textId="7B33FB11" w:rsidR="00FC7CD4" w:rsidRDefault="00AD23A9" w:rsidP="00AD23A9">
      <w:pPr>
        <w:numPr>
          <w:ilvl w:val="0"/>
          <w:numId w:val="32"/>
        </w:numPr>
        <w:spacing w:after="0" w:line="240" w:lineRule="auto"/>
        <w:contextualSpacing/>
        <w:rPr>
          <w:rFonts w:ascii="Calibri" w:eastAsia="Calibri" w:hAnsi="Calibri"/>
          <w:szCs w:val="18"/>
        </w:rPr>
      </w:pPr>
      <w:r w:rsidRPr="00AD1A8C">
        <w:rPr>
          <w:rFonts w:ascii="Calibri" w:eastAsia="Calibri" w:hAnsi="Calibri"/>
          <w:szCs w:val="18"/>
        </w:rPr>
        <w:t xml:space="preserve">Geographies for which post-census count corrections have been made. In these cases, the Census Bureau </w:t>
      </w:r>
      <w:r w:rsidR="004C2BB8">
        <w:rPr>
          <w:rFonts w:ascii="Calibri" w:eastAsia="Calibri" w:hAnsi="Calibri"/>
          <w:szCs w:val="18"/>
        </w:rPr>
        <w:t xml:space="preserve">approved </w:t>
      </w:r>
      <w:r w:rsidR="00C42232">
        <w:rPr>
          <w:rFonts w:ascii="Calibri" w:eastAsia="Calibri" w:hAnsi="Calibri"/>
          <w:szCs w:val="18"/>
        </w:rPr>
        <w:t xml:space="preserve">corrections to the </w:t>
      </w:r>
      <w:r w:rsidRPr="00AD1A8C">
        <w:rPr>
          <w:rFonts w:ascii="Calibri" w:eastAsia="Calibri" w:hAnsi="Calibri"/>
          <w:szCs w:val="18"/>
        </w:rPr>
        <w:t>total population</w:t>
      </w:r>
      <w:r w:rsidR="00C42232">
        <w:rPr>
          <w:rFonts w:ascii="Calibri" w:eastAsia="Calibri" w:hAnsi="Calibri"/>
          <w:szCs w:val="18"/>
        </w:rPr>
        <w:t xml:space="preserve"> </w:t>
      </w:r>
      <w:r w:rsidRPr="00AD1A8C">
        <w:rPr>
          <w:rFonts w:ascii="Calibri" w:eastAsia="Calibri" w:hAnsi="Calibri"/>
          <w:szCs w:val="18"/>
        </w:rPr>
        <w:t xml:space="preserve">but </w:t>
      </w:r>
      <w:r w:rsidR="00C42232">
        <w:rPr>
          <w:rFonts w:ascii="Calibri" w:eastAsia="Calibri" w:hAnsi="Calibri"/>
          <w:szCs w:val="18"/>
        </w:rPr>
        <w:t xml:space="preserve">made no </w:t>
      </w:r>
      <w:r w:rsidRPr="00AD1A8C">
        <w:rPr>
          <w:rFonts w:ascii="Calibri" w:eastAsia="Calibri" w:hAnsi="Calibri"/>
          <w:szCs w:val="18"/>
        </w:rPr>
        <w:t>revisions to the detailed Summary File data used in our estimates model, which is required for age/sex distributions.</w:t>
      </w:r>
    </w:p>
    <w:p w14:paraId="20B163AC" w14:textId="64D7CD45" w:rsidR="00A77014" w:rsidRPr="004736D8" w:rsidRDefault="005A3298" w:rsidP="00AD23A9">
      <w:pPr>
        <w:numPr>
          <w:ilvl w:val="0"/>
          <w:numId w:val="32"/>
        </w:numPr>
        <w:spacing w:after="0" w:line="240" w:lineRule="auto"/>
        <w:contextualSpacing/>
        <w:rPr>
          <w:rFonts w:ascii="Calibri" w:eastAsia="Calibri" w:hAnsi="Calibri"/>
          <w:szCs w:val="18"/>
        </w:rPr>
      </w:pPr>
      <w:r>
        <w:rPr>
          <w:rFonts w:ascii="Calibri" w:eastAsia="Calibri" w:hAnsi="Calibri"/>
          <w:szCs w:val="18"/>
        </w:rPr>
        <w:t xml:space="preserve">Tracts which have experienced boundary changes from one Census to the next are subject to </w:t>
      </w:r>
      <w:r w:rsidR="007F1A18">
        <w:rPr>
          <w:rFonts w:ascii="Calibri" w:eastAsia="Calibri" w:hAnsi="Calibri"/>
          <w:szCs w:val="18"/>
        </w:rPr>
        <w:t>error</w:t>
      </w:r>
      <w:r>
        <w:rPr>
          <w:rFonts w:ascii="Calibri" w:eastAsia="Calibri" w:hAnsi="Calibri"/>
          <w:szCs w:val="18"/>
        </w:rPr>
        <w:t xml:space="preserve"> inherent in the assumptions made when cross-walking </w:t>
      </w:r>
      <w:r w:rsidR="004C226B">
        <w:rPr>
          <w:rFonts w:ascii="Calibri" w:eastAsia="Calibri" w:hAnsi="Calibri"/>
          <w:szCs w:val="18"/>
        </w:rPr>
        <w:t xml:space="preserve">population </w:t>
      </w:r>
      <w:r w:rsidR="008034F2">
        <w:rPr>
          <w:rFonts w:ascii="Calibri" w:eastAsia="Calibri" w:hAnsi="Calibri"/>
          <w:szCs w:val="18"/>
        </w:rPr>
        <w:t xml:space="preserve">into new tracts based </w:t>
      </w:r>
      <w:r w:rsidR="007F1A18">
        <w:rPr>
          <w:rFonts w:ascii="Calibri" w:eastAsia="Calibri" w:hAnsi="Calibri"/>
          <w:szCs w:val="18"/>
        </w:rPr>
        <w:t>on land area</w:t>
      </w:r>
      <w:r w:rsidR="00B46DCB">
        <w:rPr>
          <w:rFonts w:ascii="Calibri" w:eastAsia="Calibri" w:hAnsi="Calibri"/>
          <w:szCs w:val="18"/>
        </w:rPr>
        <w:t>.</w:t>
      </w:r>
    </w:p>
    <w:p w14:paraId="5EB34255" w14:textId="62B83A3A" w:rsidR="00FC7CD4" w:rsidRPr="004736D8" w:rsidRDefault="00FC7CD4">
      <w:pPr>
        <w:numPr>
          <w:ilvl w:val="0"/>
          <w:numId w:val="32"/>
        </w:numPr>
        <w:spacing w:after="0" w:line="240" w:lineRule="auto"/>
        <w:contextualSpacing/>
        <w:rPr>
          <w:rStyle w:val="normaltextrun"/>
          <w:rFonts w:ascii="Calibri" w:eastAsia="Calibri" w:hAnsi="Calibri"/>
          <w:szCs w:val="18"/>
        </w:rPr>
      </w:pPr>
      <w:r w:rsidRPr="004736D8">
        <w:rPr>
          <w:rStyle w:val="normaltextrun"/>
          <w:rFonts w:ascii="Calibri" w:hAnsi="Calibri" w:cs="Calibri"/>
          <w:shd w:val="clear" w:color="auto" w:fill="FFFFFF"/>
        </w:rPr>
        <w:t xml:space="preserve">Cohorts </w:t>
      </w:r>
      <w:r w:rsidR="002E7B04">
        <w:rPr>
          <w:rStyle w:val="normaltextrun"/>
          <w:rFonts w:ascii="Calibri" w:hAnsi="Calibri" w:cs="Calibri"/>
          <w:shd w:val="clear" w:color="auto" w:fill="FFFFFF"/>
        </w:rPr>
        <w:t>a</w:t>
      </w:r>
      <w:r w:rsidRPr="004736D8">
        <w:rPr>
          <w:rStyle w:val="normaltextrun"/>
          <w:rFonts w:ascii="Calibri" w:hAnsi="Calibri" w:cs="Calibri"/>
          <w:shd w:val="clear" w:color="auto" w:fill="FFFFFF"/>
        </w:rPr>
        <w:t>ffected by the disclosure avoidance system imposed by the U.S. Census Bureau on all Census 2020 population counts to protect privacy, which may particularly perturb the accuracy of smaller cohorts and smaller</w:t>
      </w:r>
      <w:r w:rsidR="00D642D9" w:rsidRPr="004736D8">
        <w:rPr>
          <w:rStyle w:val="normaltextrun"/>
          <w:rFonts w:ascii="Calibri" w:hAnsi="Calibri" w:cs="Calibri"/>
          <w:shd w:val="clear" w:color="auto" w:fill="FFFFFF"/>
        </w:rPr>
        <w:t xml:space="preserve"> geographies.</w:t>
      </w:r>
      <w:r w:rsidR="00D642D9" w:rsidRPr="004736D8">
        <w:rPr>
          <w:rStyle w:val="FootnoteReference"/>
          <w:rFonts w:ascii="Calibri" w:hAnsi="Calibri" w:cs="Calibri"/>
          <w:shd w:val="clear" w:color="auto" w:fill="FFFFFF"/>
        </w:rPr>
        <w:footnoteReference w:id="14"/>
      </w:r>
      <w:r w:rsidR="00D642D9" w:rsidRPr="004736D8">
        <w:rPr>
          <w:rStyle w:val="FootnoteReference"/>
          <w:rFonts w:ascii="Calibri" w:hAnsi="Calibri" w:cs="Calibri"/>
          <w:shd w:val="clear" w:color="auto" w:fill="00FF00"/>
        </w:rPr>
        <w:t xml:space="preserve"> </w:t>
      </w:r>
    </w:p>
    <w:p w14:paraId="432F86F0" w14:textId="77777777" w:rsidR="00D642D9" w:rsidRPr="004736D8" w:rsidRDefault="00D642D9" w:rsidP="00D642D9">
      <w:pPr>
        <w:spacing w:after="0" w:line="240" w:lineRule="auto"/>
        <w:ind w:left="720"/>
        <w:contextualSpacing/>
        <w:rPr>
          <w:rFonts w:ascii="Calibri" w:eastAsia="Calibri" w:hAnsi="Calibri"/>
          <w:szCs w:val="18"/>
        </w:rPr>
      </w:pPr>
    </w:p>
    <w:p w14:paraId="22470AA6" w14:textId="71D86F34" w:rsidR="001C3D57" w:rsidRPr="00AD1A8C" w:rsidRDefault="00AD23A9" w:rsidP="00AD23A9">
      <w:pPr>
        <w:spacing w:line="240" w:lineRule="auto"/>
        <w:contextualSpacing/>
        <w:rPr>
          <w:rFonts w:ascii="Calibri" w:eastAsia="Calibri" w:hAnsi="Calibri"/>
          <w:szCs w:val="18"/>
        </w:rPr>
      </w:pPr>
      <w:r w:rsidRPr="004736D8">
        <w:rPr>
          <w:rFonts w:ascii="Calibri" w:eastAsia="Calibri" w:hAnsi="Calibri"/>
          <w:szCs w:val="18"/>
        </w:rPr>
        <w:t xml:space="preserve">In the </w:t>
      </w:r>
      <w:r w:rsidR="005F2A3C" w:rsidRPr="004736D8">
        <w:rPr>
          <w:rFonts w:ascii="Calibri" w:eastAsia="Calibri" w:hAnsi="Calibri"/>
          <w:szCs w:val="18"/>
        </w:rPr>
        <w:t xml:space="preserve">V2025 </w:t>
      </w:r>
      <w:r w:rsidRPr="004736D8">
        <w:rPr>
          <w:rFonts w:ascii="Calibri" w:eastAsia="Calibri" w:hAnsi="Calibri"/>
          <w:szCs w:val="18"/>
        </w:rPr>
        <w:t xml:space="preserve">series, </w:t>
      </w:r>
      <w:r w:rsidRPr="00AD1A8C">
        <w:rPr>
          <w:rFonts w:ascii="Calibri" w:eastAsia="Calibri" w:hAnsi="Calibri"/>
          <w:szCs w:val="18"/>
        </w:rPr>
        <w:t xml:space="preserve">UMDI has attempted to correct for special cases that we discovered in the course of our Census review activities, including the closure of Mt. Ida college, the downsizing of Hampshire College, the addition of new dormitories at UMass Boston, undercounted college dormitory residents in Boston in the 2020 Census count, and a number of smaller group quarters populations and housing units we identified as undercounted in the 2020 Census. Nonetheless, these </w:t>
      </w:r>
      <w:r w:rsidR="006240D3">
        <w:rPr>
          <w:rFonts w:ascii="Calibri" w:eastAsia="Calibri" w:hAnsi="Calibri"/>
          <w:szCs w:val="18"/>
        </w:rPr>
        <w:t>probably do</w:t>
      </w:r>
      <w:r w:rsidRPr="00AD1A8C">
        <w:rPr>
          <w:rFonts w:ascii="Calibri" w:eastAsia="Calibri" w:hAnsi="Calibri"/>
          <w:szCs w:val="18"/>
        </w:rPr>
        <w:t xml:space="preserve"> not represent all of the possible special cases in the state and do not capture additional cases that will emerge between 2020 and 2030.</w:t>
      </w:r>
    </w:p>
    <w:p w14:paraId="13884235" w14:textId="77777777" w:rsidR="00D642D9" w:rsidRDefault="00D642D9" w:rsidP="00AD23A9">
      <w:pPr>
        <w:spacing w:line="240" w:lineRule="auto"/>
        <w:contextualSpacing/>
        <w:rPr>
          <w:rFonts w:ascii="Calibri" w:eastAsia="Calibri" w:hAnsi="Calibri"/>
          <w:color w:val="0053BE" w:themeColor="accent6" w:themeTint="BF"/>
          <w:szCs w:val="18"/>
        </w:rPr>
      </w:pPr>
    </w:p>
    <w:p w14:paraId="5B2DDDD2" w14:textId="4B9B216F" w:rsidR="007E4E50" w:rsidRPr="00A167ED" w:rsidRDefault="00BB1CF2" w:rsidP="00AD23A9">
      <w:pPr>
        <w:spacing w:line="240" w:lineRule="auto"/>
        <w:contextualSpacing/>
        <w:rPr>
          <w:rFonts w:ascii="Calibri" w:eastAsia="Calibri" w:hAnsi="Calibri"/>
          <w:szCs w:val="18"/>
        </w:rPr>
      </w:pPr>
      <w:r w:rsidRPr="00A167ED">
        <w:rPr>
          <w:rFonts w:ascii="Calibri" w:eastAsia="Calibri" w:hAnsi="Calibri"/>
          <w:szCs w:val="18"/>
        </w:rPr>
        <w:t>Additionally</w:t>
      </w:r>
      <w:r w:rsidR="007E4E50" w:rsidRPr="00A167ED">
        <w:rPr>
          <w:rFonts w:ascii="Calibri" w:eastAsia="Calibri" w:hAnsi="Calibri"/>
          <w:szCs w:val="18"/>
        </w:rPr>
        <w:t xml:space="preserve">, </w:t>
      </w:r>
      <w:r w:rsidR="000C03CD" w:rsidRPr="00A167ED">
        <w:rPr>
          <w:rFonts w:ascii="Calibri" w:eastAsia="Calibri" w:hAnsi="Calibri"/>
          <w:szCs w:val="18"/>
        </w:rPr>
        <w:t xml:space="preserve">we make certain assumptions </w:t>
      </w:r>
      <w:r w:rsidR="001D0149" w:rsidRPr="00A167ED">
        <w:rPr>
          <w:rFonts w:ascii="Calibri" w:eastAsia="Calibri" w:hAnsi="Calibri"/>
          <w:szCs w:val="18"/>
        </w:rPr>
        <w:t xml:space="preserve">about normalizing populations within </w:t>
      </w:r>
      <w:r w:rsidR="00951D1E">
        <w:rPr>
          <w:rFonts w:ascii="Calibri" w:eastAsia="Calibri" w:hAnsi="Calibri"/>
          <w:szCs w:val="18"/>
        </w:rPr>
        <w:t>geographies that change</w:t>
      </w:r>
      <w:r w:rsidR="001D0149" w:rsidRPr="00A167ED">
        <w:rPr>
          <w:rFonts w:ascii="Calibri" w:eastAsia="Calibri" w:hAnsi="Calibri"/>
          <w:szCs w:val="18"/>
        </w:rPr>
        <w:t xml:space="preserve"> over time. </w:t>
      </w:r>
      <w:r w:rsidR="00AB08F8" w:rsidRPr="00A167ED">
        <w:rPr>
          <w:rFonts w:ascii="Calibri" w:eastAsia="Calibri" w:hAnsi="Calibri"/>
          <w:szCs w:val="18"/>
        </w:rPr>
        <w:t>Due to the fact that t</w:t>
      </w:r>
      <w:r w:rsidR="001D0149" w:rsidRPr="00A167ED">
        <w:rPr>
          <w:rFonts w:ascii="Calibri" w:eastAsia="Calibri" w:hAnsi="Calibri"/>
          <w:szCs w:val="18"/>
        </w:rPr>
        <w:t>ract</w:t>
      </w:r>
      <w:r w:rsidR="008F071B" w:rsidRPr="00A167ED">
        <w:rPr>
          <w:rFonts w:ascii="Calibri" w:eastAsia="Calibri" w:hAnsi="Calibri"/>
          <w:szCs w:val="18"/>
        </w:rPr>
        <w:t xml:space="preserve"> geographies are re</w:t>
      </w:r>
      <w:r w:rsidR="00D321FF" w:rsidRPr="00A167ED">
        <w:rPr>
          <w:rFonts w:ascii="Calibri" w:eastAsia="Calibri" w:hAnsi="Calibri"/>
          <w:szCs w:val="18"/>
        </w:rPr>
        <w:t xml:space="preserve">drawn at each decennial Census, </w:t>
      </w:r>
      <w:r w:rsidR="00005B8F" w:rsidRPr="00A167ED">
        <w:rPr>
          <w:rFonts w:ascii="Calibri" w:eastAsia="Calibri" w:hAnsi="Calibri"/>
          <w:szCs w:val="18"/>
        </w:rPr>
        <w:t xml:space="preserve">in order </w:t>
      </w:r>
      <w:r w:rsidR="004D4738" w:rsidRPr="00A167ED">
        <w:rPr>
          <w:rFonts w:ascii="Calibri" w:eastAsia="Calibri" w:hAnsi="Calibri"/>
          <w:szCs w:val="18"/>
        </w:rPr>
        <w:t>for UMDI to</w:t>
      </w:r>
      <w:r w:rsidR="00005B8F" w:rsidRPr="00A167ED">
        <w:rPr>
          <w:rFonts w:ascii="Calibri" w:eastAsia="Calibri" w:hAnsi="Calibri"/>
          <w:szCs w:val="18"/>
        </w:rPr>
        <w:t xml:space="preserve"> </w:t>
      </w:r>
      <w:r w:rsidR="0072556A" w:rsidRPr="00A167ED">
        <w:rPr>
          <w:rFonts w:ascii="Calibri" w:eastAsia="Calibri" w:hAnsi="Calibri"/>
          <w:szCs w:val="18"/>
        </w:rPr>
        <w:t xml:space="preserve">project at a tract level, </w:t>
      </w:r>
      <w:r w:rsidR="0042082C" w:rsidRPr="00A167ED">
        <w:rPr>
          <w:rFonts w:ascii="Calibri" w:eastAsia="Calibri" w:hAnsi="Calibri"/>
          <w:szCs w:val="18"/>
        </w:rPr>
        <w:t xml:space="preserve">all launch </w:t>
      </w:r>
      <w:r w:rsidR="0072556A" w:rsidRPr="00A167ED">
        <w:rPr>
          <w:rFonts w:ascii="Calibri" w:eastAsia="Calibri" w:hAnsi="Calibri"/>
          <w:szCs w:val="18"/>
        </w:rPr>
        <w:t xml:space="preserve">populations must be redistributed to a common geography for </w:t>
      </w:r>
      <w:r w:rsidR="00FB030D" w:rsidRPr="00A167ED">
        <w:rPr>
          <w:rFonts w:ascii="Calibri" w:eastAsia="Calibri" w:hAnsi="Calibri"/>
          <w:szCs w:val="18"/>
        </w:rPr>
        <w:t>the development</w:t>
      </w:r>
      <w:r w:rsidR="0072556A" w:rsidRPr="00A167ED">
        <w:rPr>
          <w:rFonts w:ascii="Calibri" w:eastAsia="Calibri" w:hAnsi="Calibri"/>
          <w:szCs w:val="18"/>
        </w:rPr>
        <w:t xml:space="preserve"> of CCRs</w:t>
      </w:r>
      <w:r w:rsidR="0042082C" w:rsidRPr="00A167ED">
        <w:rPr>
          <w:rFonts w:ascii="Calibri" w:eastAsia="Calibri" w:hAnsi="Calibri"/>
          <w:szCs w:val="18"/>
        </w:rPr>
        <w:t xml:space="preserve"> and </w:t>
      </w:r>
      <w:r w:rsidR="00A44131" w:rsidRPr="00A167ED">
        <w:rPr>
          <w:rFonts w:ascii="Calibri" w:eastAsia="Calibri" w:hAnsi="Calibri"/>
          <w:szCs w:val="18"/>
        </w:rPr>
        <w:t>error ranges</w:t>
      </w:r>
      <w:r w:rsidR="000A0EE3" w:rsidRPr="00A167ED">
        <w:rPr>
          <w:rFonts w:ascii="Calibri" w:eastAsia="Calibri" w:hAnsi="Calibri"/>
          <w:szCs w:val="18"/>
        </w:rPr>
        <w:t>.</w:t>
      </w:r>
      <w:r w:rsidR="000C03CD" w:rsidRPr="00A167ED">
        <w:rPr>
          <w:rFonts w:ascii="Calibri" w:eastAsia="Calibri" w:hAnsi="Calibri"/>
          <w:szCs w:val="18"/>
        </w:rPr>
        <w:t xml:space="preserve"> </w:t>
      </w:r>
      <w:r w:rsidR="00914686" w:rsidRPr="00A167ED">
        <w:rPr>
          <w:rFonts w:ascii="Calibri" w:eastAsia="Calibri" w:hAnsi="Calibri"/>
          <w:szCs w:val="18"/>
        </w:rPr>
        <w:t>NHGIS</w:t>
      </w:r>
      <w:r w:rsidR="00146F8B" w:rsidRPr="00A167ED">
        <w:rPr>
          <w:rFonts w:ascii="Calibri" w:eastAsia="Calibri" w:hAnsi="Calibri"/>
          <w:szCs w:val="18"/>
        </w:rPr>
        <w:t xml:space="preserve"> </w:t>
      </w:r>
      <w:r w:rsidR="00E479AF" w:rsidRPr="00A167ED">
        <w:rPr>
          <w:rFonts w:ascii="Calibri" w:eastAsia="Calibri" w:hAnsi="Calibri"/>
          <w:szCs w:val="18"/>
        </w:rPr>
        <w:t xml:space="preserve">geographical </w:t>
      </w:r>
      <w:r w:rsidR="00D7319A" w:rsidRPr="00A167ED">
        <w:rPr>
          <w:rFonts w:ascii="Calibri" w:eastAsia="Calibri" w:hAnsi="Calibri"/>
          <w:szCs w:val="18"/>
        </w:rPr>
        <w:t xml:space="preserve">crosswalks </w:t>
      </w:r>
      <w:r w:rsidR="00D018B0" w:rsidRPr="00A167ED">
        <w:rPr>
          <w:rFonts w:ascii="Calibri" w:eastAsia="Calibri" w:hAnsi="Calibri"/>
          <w:szCs w:val="18"/>
        </w:rPr>
        <w:t xml:space="preserve">provide </w:t>
      </w:r>
      <w:r w:rsidR="00602DA3" w:rsidRPr="00A167ED">
        <w:rPr>
          <w:rFonts w:ascii="Calibri" w:eastAsia="Calibri" w:hAnsi="Calibri"/>
          <w:szCs w:val="18"/>
        </w:rPr>
        <w:t xml:space="preserve">ratios </w:t>
      </w:r>
      <w:r w:rsidR="008434C3" w:rsidRPr="00A167ED">
        <w:rPr>
          <w:rFonts w:ascii="Calibri" w:eastAsia="Calibri" w:hAnsi="Calibri"/>
          <w:szCs w:val="18"/>
        </w:rPr>
        <w:t>which describe</w:t>
      </w:r>
      <w:r w:rsidR="00602DA3" w:rsidRPr="00A167ED">
        <w:rPr>
          <w:rFonts w:ascii="Calibri" w:eastAsia="Calibri" w:hAnsi="Calibri"/>
          <w:szCs w:val="18"/>
        </w:rPr>
        <w:t xml:space="preserve"> how total population is redistributed </w:t>
      </w:r>
      <w:r w:rsidR="008434C3" w:rsidRPr="00A167ED">
        <w:rPr>
          <w:rFonts w:ascii="Calibri" w:eastAsia="Calibri" w:hAnsi="Calibri"/>
          <w:szCs w:val="18"/>
        </w:rPr>
        <w:t>from one decade’s geography to another</w:t>
      </w:r>
      <w:r w:rsidR="003D2541" w:rsidRPr="00A167ED">
        <w:rPr>
          <w:rFonts w:ascii="Calibri" w:eastAsia="Calibri" w:hAnsi="Calibri"/>
          <w:szCs w:val="18"/>
        </w:rPr>
        <w:t xml:space="preserve">. </w:t>
      </w:r>
      <w:r w:rsidR="00265918" w:rsidRPr="00A167ED">
        <w:rPr>
          <w:rFonts w:ascii="Calibri" w:eastAsia="Calibri" w:hAnsi="Calibri"/>
          <w:szCs w:val="18"/>
        </w:rPr>
        <w:t>For our model, w</w:t>
      </w:r>
      <w:r w:rsidR="003D2541" w:rsidRPr="00A167ED">
        <w:rPr>
          <w:rFonts w:ascii="Calibri" w:eastAsia="Calibri" w:hAnsi="Calibri"/>
          <w:szCs w:val="18"/>
        </w:rPr>
        <w:t>e assume that all demographics (age/sex/race/ethnicity) are uniformly distributed within each tract and apply these general ratios to individual</w:t>
      </w:r>
      <w:r w:rsidR="004D4738" w:rsidRPr="00A167ED">
        <w:rPr>
          <w:rFonts w:ascii="Calibri" w:eastAsia="Calibri" w:hAnsi="Calibri"/>
          <w:szCs w:val="18"/>
        </w:rPr>
        <w:t xml:space="preserve"> cohorts</w:t>
      </w:r>
      <w:r w:rsidR="00665039" w:rsidRPr="00A167ED">
        <w:rPr>
          <w:rFonts w:ascii="Calibri" w:eastAsia="Calibri" w:hAnsi="Calibri"/>
          <w:szCs w:val="18"/>
        </w:rPr>
        <w:t>. See</w:t>
      </w:r>
      <w:r w:rsidR="00E95294" w:rsidRPr="00A167ED">
        <w:rPr>
          <w:rFonts w:ascii="Calibri" w:eastAsia="Calibri" w:hAnsi="Calibri"/>
          <w:szCs w:val="18"/>
        </w:rPr>
        <w:t xml:space="preserve"> Section 1 in “Detailed Methodology</w:t>
      </w:r>
      <w:r w:rsidR="005C2945" w:rsidRPr="00A167ED">
        <w:rPr>
          <w:rFonts w:ascii="Calibri" w:eastAsia="Calibri" w:hAnsi="Calibri"/>
          <w:szCs w:val="18"/>
        </w:rPr>
        <w:t>:</w:t>
      </w:r>
      <w:r w:rsidR="00665039" w:rsidRPr="00A167ED">
        <w:rPr>
          <w:rFonts w:ascii="Calibri" w:eastAsia="Calibri" w:hAnsi="Calibri"/>
          <w:szCs w:val="18"/>
        </w:rPr>
        <w:t xml:space="preserve"> </w:t>
      </w:r>
      <w:r w:rsidR="00E95294" w:rsidRPr="00A167ED">
        <w:rPr>
          <w:rFonts w:ascii="Calibri" w:eastAsia="Calibri" w:hAnsi="Calibri"/>
          <w:szCs w:val="18"/>
        </w:rPr>
        <w:t xml:space="preserve">Obtaining, structuring, and normalizing 2000, 2010, and 2020 census data” </w:t>
      </w:r>
      <w:r w:rsidR="005C2945" w:rsidRPr="00A167ED">
        <w:rPr>
          <w:rFonts w:ascii="Calibri" w:eastAsia="Calibri" w:hAnsi="Calibri"/>
          <w:szCs w:val="18"/>
        </w:rPr>
        <w:t xml:space="preserve"> for more detail</w:t>
      </w:r>
      <w:r w:rsidR="00265918" w:rsidRPr="00A167ED">
        <w:rPr>
          <w:rFonts w:ascii="Calibri" w:eastAsia="Calibri" w:hAnsi="Calibri"/>
          <w:szCs w:val="18"/>
        </w:rPr>
        <w:t xml:space="preserve"> on this process and </w:t>
      </w:r>
      <w:r w:rsidR="00C85F83" w:rsidRPr="00A167ED">
        <w:rPr>
          <w:rFonts w:ascii="Calibri" w:eastAsia="Calibri" w:hAnsi="Calibri"/>
          <w:szCs w:val="18"/>
        </w:rPr>
        <w:t xml:space="preserve">its </w:t>
      </w:r>
      <w:r w:rsidR="00265918" w:rsidRPr="00A167ED">
        <w:rPr>
          <w:rFonts w:ascii="Calibri" w:eastAsia="Calibri" w:hAnsi="Calibri"/>
          <w:szCs w:val="18"/>
        </w:rPr>
        <w:t>assump</w:t>
      </w:r>
      <w:r w:rsidR="00B779DA" w:rsidRPr="00A167ED">
        <w:rPr>
          <w:rFonts w:ascii="Calibri" w:eastAsia="Calibri" w:hAnsi="Calibri"/>
          <w:szCs w:val="18"/>
        </w:rPr>
        <w:t>tions.</w:t>
      </w:r>
    </w:p>
    <w:p w14:paraId="1A7040B9" w14:textId="4136E9D0" w:rsidR="0097797B" w:rsidRDefault="00AD23A9" w:rsidP="00532217">
      <w:pPr>
        <w:pStyle w:val="Heading1"/>
      </w:pPr>
      <w:bookmarkStart w:id="13" w:name="_Toc197520522"/>
      <w:r>
        <w:lastRenderedPageBreak/>
        <w:t>Detailed Methodology</w:t>
      </w:r>
      <w:bookmarkEnd w:id="13"/>
    </w:p>
    <w:p w14:paraId="6A96D141" w14:textId="1D9F1382" w:rsidR="00FF155F" w:rsidRPr="00FE43E4" w:rsidRDefault="00FF155F" w:rsidP="00FF155F">
      <w:pPr>
        <w:spacing w:line="240" w:lineRule="auto"/>
        <w:rPr>
          <w:rFonts w:ascii="Calibri" w:eastAsia="Calibri" w:hAnsi="Calibri"/>
        </w:rPr>
      </w:pPr>
      <w:r w:rsidRPr="00FE43E4">
        <w:rPr>
          <w:rFonts w:ascii="Calibri" w:eastAsia="Calibri" w:hAnsi="Calibri"/>
        </w:rPr>
        <w:t xml:space="preserve">As described in the </w:t>
      </w:r>
      <w:r w:rsidRPr="00FE43E4">
        <w:rPr>
          <w:rFonts w:ascii="Calibri" w:eastAsia="Calibri" w:hAnsi="Calibri"/>
          <w:i/>
        </w:rPr>
        <w:t>Method Overview</w:t>
      </w:r>
      <w:r w:rsidRPr="00FE43E4">
        <w:rPr>
          <w:rFonts w:ascii="Calibri" w:eastAsia="Calibri" w:hAnsi="Calibri"/>
        </w:rPr>
        <w:t xml:space="preserve"> section of this report, the UMDI </w:t>
      </w:r>
      <w:r w:rsidRPr="00FE43E4">
        <w:rPr>
          <w:rFonts w:ascii="Calibri" w:eastAsia="Calibri" w:hAnsi="Calibri"/>
          <w:i/>
        </w:rPr>
        <w:t>Small Area Population Estimates for 202</w:t>
      </w:r>
      <w:r w:rsidR="002947C7" w:rsidRPr="00FE43E4">
        <w:rPr>
          <w:rFonts w:ascii="Calibri" w:eastAsia="Calibri" w:hAnsi="Calibri"/>
          <w:i/>
        </w:rPr>
        <w:t>1</w:t>
      </w:r>
      <w:r w:rsidRPr="00FE43E4">
        <w:rPr>
          <w:rFonts w:ascii="Calibri" w:eastAsia="Calibri" w:hAnsi="Calibri"/>
          <w:i/>
        </w:rPr>
        <w:t xml:space="preserve"> through 2030</w:t>
      </w:r>
      <w:r w:rsidRPr="00FE43E4">
        <w:rPr>
          <w:rFonts w:ascii="Calibri" w:eastAsia="Calibri" w:hAnsi="Calibri"/>
        </w:rPr>
        <w:t xml:space="preserve"> are the product of a modified Hamilton-Perry model that uses Census 2010-2020 10-year </w:t>
      </w:r>
      <w:r w:rsidR="00AB2B8B">
        <w:rPr>
          <w:rFonts w:ascii="Calibri" w:eastAsia="Calibri" w:hAnsi="Calibri"/>
        </w:rPr>
        <w:t>cohort-change-ratios (</w:t>
      </w:r>
      <w:r w:rsidRPr="00FE43E4">
        <w:rPr>
          <w:rFonts w:ascii="Calibri" w:eastAsia="Calibri" w:hAnsi="Calibri"/>
        </w:rPr>
        <w:t>CCRs</w:t>
      </w:r>
      <w:r w:rsidR="00AB2B8B">
        <w:rPr>
          <w:rFonts w:ascii="Calibri" w:eastAsia="Calibri" w:hAnsi="Calibri"/>
        </w:rPr>
        <w:t>)</w:t>
      </w:r>
      <w:r w:rsidRPr="00FE43E4">
        <w:rPr>
          <w:rFonts w:ascii="Calibri" w:eastAsia="Calibri" w:hAnsi="Calibri"/>
        </w:rPr>
        <w:t xml:space="preserve"> with customized child-to-woman ratios and CCR limits or “caps.”  </w:t>
      </w:r>
    </w:p>
    <w:p w14:paraId="4AA120AF" w14:textId="34F9D754" w:rsidR="00FF155F" w:rsidRPr="00C97DC7" w:rsidRDefault="00FF155F" w:rsidP="00FF155F">
      <w:pPr>
        <w:spacing w:line="240" w:lineRule="auto"/>
        <w:rPr>
          <w:rFonts w:ascii="Calibri" w:eastAsia="Calibri" w:hAnsi="Calibri"/>
        </w:rPr>
      </w:pPr>
      <w:r w:rsidRPr="00FE43E4">
        <w:rPr>
          <w:rFonts w:ascii="Calibri" w:eastAsia="Calibri" w:hAnsi="Calibri"/>
        </w:rPr>
        <w:t xml:space="preserve">The implementation of </w:t>
      </w:r>
      <w:r w:rsidR="003E5DA0">
        <w:rPr>
          <w:rFonts w:ascii="Calibri" w:eastAsia="Calibri" w:hAnsi="Calibri"/>
        </w:rPr>
        <w:t xml:space="preserve">both </w:t>
      </w:r>
      <w:r w:rsidRPr="00FE43E4">
        <w:rPr>
          <w:rFonts w:ascii="Calibri" w:eastAsia="Calibri" w:hAnsi="Calibri"/>
        </w:rPr>
        <w:t>our</w:t>
      </w:r>
      <w:r w:rsidR="003E5DA0">
        <w:rPr>
          <w:rFonts w:ascii="Calibri" w:eastAsia="Calibri" w:hAnsi="Calibri"/>
        </w:rPr>
        <w:t xml:space="preserve"> age/sex</w:t>
      </w:r>
      <w:r w:rsidRPr="00FE43E4">
        <w:rPr>
          <w:rFonts w:ascii="Calibri" w:eastAsia="Calibri" w:hAnsi="Calibri"/>
        </w:rPr>
        <w:t xml:space="preserve"> model</w:t>
      </w:r>
      <w:r w:rsidR="00EB59E2">
        <w:rPr>
          <w:rFonts w:ascii="Calibri" w:eastAsia="Calibri" w:hAnsi="Calibri"/>
        </w:rPr>
        <w:t xml:space="preserve"> and age/sex/race/ethnicity model</w:t>
      </w:r>
      <w:r w:rsidRPr="00FE43E4">
        <w:rPr>
          <w:rFonts w:ascii="Calibri" w:eastAsia="Calibri" w:hAnsi="Calibri"/>
        </w:rPr>
        <w:t xml:space="preserve"> include</w:t>
      </w:r>
      <w:r w:rsidR="00EB59E2">
        <w:rPr>
          <w:rFonts w:ascii="Calibri" w:eastAsia="Calibri" w:hAnsi="Calibri"/>
        </w:rPr>
        <w:t xml:space="preserve"> similar processing steps, </w:t>
      </w:r>
      <w:r w:rsidR="00C573A4">
        <w:rPr>
          <w:rFonts w:ascii="Calibri" w:eastAsia="Calibri" w:hAnsi="Calibri"/>
        </w:rPr>
        <w:t xml:space="preserve">with the age/sex/race/ethnicity model requiring a few additional </w:t>
      </w:r>
      <w:r w:rsidR="00AA5BF0">
        <w:rPr>
          <w:rFonts w:ascii="Calibri" w:eastAsia="Calibri" w:hAnsi="Calibri"/>
        </w:rPr>
        <w:t xml:space="preserve">steps. The </w:t>
      </w:r>
      <w:r w:rsidR="008C567A">
        <w:rPr>
          <w:rFonts w:ascii="Calibri" w:eastAsia="Calibri" w:hAnsi="Calibri"/>
        </w:rPr>
        <w:t xml:space="preserve">sequence of the </w:t>
      </w:r>
      <w:r w:rsidR="008C567A" w:rsidRPr="00C97DC7">
        <w:rPr>
          <w:rFonts w:ascii="Calibri" w:eastAsia="Calibri" w:hAnsi="Calibri"/>
        </w:rPr>
        <w:t>steps are as follows</w:t>
      </w:r>
      <w:r w:rsidRPr="00C97DC7">
        <w:rPr>
          <w:rFonts w:ascii="Calibri" w:eastAsia="Calibri" w:hAnsi="Calibri"/>
        </w:rPr>
        <w:t xml:space="preserve">: </w:t>
      </w:r>
    </w:p>
    <w:p w14:paraId="226FAFD2" w14:textId="77777777" w:rsidR="00FF155F" w:rsidRPr="00C97DC7" w:rsidRDefault="00FF155F" w:rsidP="00FF155F">
      <w:pPr>
        <w:numPr>
          <w:ilvl w:val="0"/>
          <w:numId w:val="33"/>
        </w:numPr>
        <w:spacing w:after="0" w:line="240" w:lineRule="auto"/>
        <w:contextualSpacing/>
        <w:rPr>
          <w:rFonts w:ascii="Calibri" w:eastAsia="Calibri" w:hAnsi="Calibri"/>
        </w:rPr>
      </w:pPr>
      <w:r w:rsidRPr="00C97DC7">
        <w:rPr>
          <w:rFonts w:ascii="Calibri" w:eastAsia="Calibri" w:hAnsi="Calibri"/>
        </w:rPr>
        <w:t>Obtaining, structuring, and normalizing 2000, 2010, and 2020 census data</w:t>
      </w:r>
    </w:p>
    <w:p w14:paraId="3357E9DC" w14:textId="6E4FD255" w:rsidR="006960C9" w:rsidRPr="00C97DC7" w:rsidRDefault="006960C9" w:rsidP="00FF155F">
      <w:pPr>
        <w:numPr>
          <w:ilvl w:val="0"/>
          <w:numId w:val="33"/>
        </w:numPr>
        <w:spacing w:after="0" w:line="240" w:lineRule="auto"/>
        <w:contextualSpacing/>
        <w:rPr>
          <w:rFonts w:ascii="Calibri" w:eastAsia="Calibri" w:hAnsi="Calibri"/>
        </w:rPr>
      </w:pPr>
      <w:r w:rsidRPr="00C97DC7">
        <w:rPr>
          <w:rFonts w:ascii="Calibri" w:eastAsia="Calibri" w:hAnsi="Calibri"/>
        </w:rPr>
        <w:t xml:space="preserve">Reassigning “Some other race” to </w:t>
      </w:r>
      <w:r w:rsidR="005265B1" w:rsidRPr="00C97DC7">
        <w:rPr>
          <w:rFonts w:ascii="Calibri" w:eastAsia="Calibri" w:hAnsi="Calibri"/>
        </w:rPr>
        <w:t xml:space="preserve">the six </w:t>
      </w:r>
      <w:r w:rsidR="00363877">
        <w:rPr>
          <w:rFonts w:ascii="Calibri" w:eastAsia="Calibri" w:hAnsi="Calibri"/>
        </w:rPr>
        <w:t>defined</w:t>
      </w:r>
      <w:r w:rsidR="005265B1" w:rsidRPr="00C97DC7">
        <w:rPr>
          <w:rFonts w:ascii="Calibri" w:eastAsia="Calibri" w:hAnsi="Calibri"/>
        </w:rPr>
        <w:t xml:space="preserve"> races</w:t>
      </w:r>
      <w:r w:rsidR="00A84E77" w:rsidRPr="00C97DC7">
        <w:rPr>
          <w:rFonts w:ascii="Calibri" w:eastAsia="Calibri" w:hAnsi="Calibri"/>
        </w:rPr>
        <w:t xml:space="preserve"> (race/ethnicity model only)</w:t>
      </w:r>
    </w:p>
    <w:p w14:paraId="31B8C163" w14:textId="77547DBF" w:rsidR="00FF155F" w:rsidRPr="00C97DC7" w:rsidRDefault="00FF155F" w:rsidP="00FF155F">
      <w:pPr>
        <w:numPr>
          <w:ilvl w:val="0"/>
          <w:numId w:val="33"/>
        </w:numPr>
        <w:spacing w:after="0" w:line="240" w:lineRule="auto"/>
        <w:contextualSpacing/>
        <w:rPr>
          <w:rFonts w:ascii="Calibri" w:eastAsia="Calibri" w:hAnsi="Calibri"/>
        </w:rPr>
      </w:pPr>
      <w:r w:rsidRPr="00C97DC7">
        <w:rPr>
          <w:rFonts w:ascii="Calibri" w:eastAsia="Calibri" w:hAnsi="Calibri"/>
        </w:rPr>
        <w:t xml:space="preserve">Adjusting Census population counts to reflect missed housing units and populations identified by UMDI in post-Census </w:t>
      </w:r>
      <w:r w:rsidR="00542908">
        <w:rPr>
          <w:rFonts w:ascii="Calibri" w:eastAsia="Calibri" w:hAnsi="Calibri"/>
        </w:rPr>
        <w:t xml:space="preserve">2020 </w:t>
      </w:r>
      <w:r w:rsidRPr="00C97DC7">
        <w:rPr>
          <w:rFonts w:ascii="Calibri" w:eastAsia="Calibri" w:hAnsi="Calibri"/>
        </w:rPr>
        <w:t xml:space="preserve">review and research </w:t>
      </w:r>
    </w:p>
    <w:p w14:paraId="17DFD25A" w14:textId="77777777" w:rsidR="00FF155F" w:rsidRPr="00C97DC7" w:rsidRDefault="00FF155F" w:rsidP="00FF155F">
      <w:pPr>
        <w:numPr>
          <w:ilvl w:val="0"/>
          <w:numId w:val="33"/>
        </w:numPr>
        <w:spacing w:after="0" w:line="240" w:lineRule="auto"/>
        <w:contextualSpacing/>
        <w:rPr>
          <w:rFonts w:ascii="Calibri" w:eastAsia="Calibri" w:hAnsi="Calibri"/>
        </w:rPr>
      </w:pPr>
      <w:r w:rsidRPr="00C97DC7">
        <w:rPr>
          <w:rFonts w:ascii="Calibri" w:eastAsia="Calibri" w:hAnsi="Calibri"/>
        </w:rPr>
        <w:t>Making special adjustments in select “college tracts”</w:t>
      </w:r>
    </w:p>
    <w:p w14:paraId="14FACDFC" w14:textId="6B1B0981" w:rsidR="00EF321D" w:rsidRPr="00C97DC7" w:rsidRDefault="00EF321D" w:rsidP="00FF155F">
      <w:pPr>
        <w:numPr>
          <w:ilvl w:val="0"/>
          <w:numId w:val="33"/>
        </w:numPr>
        <w:spacing w:after="0" w:line="240" w:lineRule="auto"/>
        <w:contextualSpacing/>
        <w:rPr>
          <w:rFonts w:ascii="Calibri" w:eastAsia="Calibri" w:hAnsi="Calibri"/>
        </w:rPr>
      </w:pPr>
      <w:r w:rsidRPr="00C97DC7">
        <w:rPr>
          <w:rFonts w:ascii="Calibri" w:eastAsia="Calibri" w:hAnsi="Calibri"/>
        </w:rPr>
        <w:t>Controlling age/sex/ethnicity/race launch</w:t>
      </w:r>
      <w:r w:rsidR="00CD23A0">
        <w:rPr>
          <w:rFonts w:ascii="Calibri" w:eastAsia="Calibri" w:hAnsi="Calibri"/>
        </w:rPr>
        <w:t xml:space="preserve"> populations </w:t>
      </w:r>
      <w:r w:rsidRPr="00C97DC7">
        <w:rPr>
          <w:rFonts w:ascii="Calibri" w:eastAsia="Calibri" w:hAnsi="Calibri"/>
        </w:rPr>
        <w:t>to age/sex</w:t>
      </w:r>
      <w:r w:rsidR="00A37744" w:rsidRPr="00C97DC7">
        <w:rPr>
          <w:rFonts w:ascii="Calibri" w:eastAsia="Calibri" w:hAnsi="Calibri"/>
        </w:rPr>
        <w:t xml:space="preserve"> </w:t>
      </w:r>
      <w:r w:rsidR="00052B5D">
        <w:rPr>
          <w:rFonts w:ascii="Calibri" w:eastAsia="Calibri" w:hAnsi="Calibri"/>
        </w:rPr>
        <w:t>projections</w:t>
      </w:r>
      <w:r w:rsidR="00052B5D" w:rsidRPr="00C97DC7">
        <w:rPr>
          <w:rFonts w:ascii="Calibri" w:eastAsia="Calibri" w:hAnsi="Calibri"/>
        </w:rPr>
        <w:t xml:space="preserve"> </w:t>
      </w:r>
      <w:r w:rsidR="00A84E77" w:rsidRPr="00C97DC7">
        <w:rPr>
          <w:rFonts w:ascii="Calibri" w:eastAsia="Calibri" w:hAnsi="Calibri"/>
        </w:rPr>
        <w:t>(race/ethnicity model only)</w:t>
      </w:r>
    </w:p>
    <w:p w14:paraId="009582F1" w14:textId="77777777" w:rsidR="00FF155F" w:rsidRPr="00C97DC7" w:rsidRDefault="00FF155F" w:rsidP="00FF155F">
      <w:pPr>
        <w:numPr>
          <w:ilvl w:val="0"/>
          <w:numId w:val="33"/>
        </w:numPr>
        <w:spacing w:after="0" w:line="240" w:lineRule="auto"/>
        <w:contextualSpacing/>
        <w:rPr>
          <w:rFonts w:ascii="Calibri" w:eastAsia="Calibri" w:hAnsi="Calibri"/>
        </w:rPr>
      </w:pPr>
      <w:r w:rsidRPr="00C97DC7">
        <w:rPr>
          <w:rFonts w:ascii="Calibri" w:eastAsia="Calibri" w:hAnsi="Calibri"/>
        </w:rPr>
        <w:t>Calculating CCRs and child-to-woman ratios</w:t>
      </w:r>
    </w:p>
    <w:p w14:paraId="02CD0C87" w14:textId="0744F70D" w:rsidR="00FF155F" w:rsidRPr="00C97DC7" w:rsidRDefault="00FF155F" w:rsidP="00FF155F">
      <w:pPr>
        <w:numPr>
          <w:ilvl w:val="0"/>
          <w:numId w:val="33"/>
        </w:numPr>
        <w:spacing w:after="0" w:line="240" w:lineRule="auto"/>
        <w:contextualSpacing/>
        <w:rPr>
          <w:rFonts w:ascii="Calibri" w:eastAsia="Calibri" w:hAnsi="Calibri"/>
        </w:rPr>
      </w:pPr>
      <w:r w:rsidRPr="00C97DC7">
        <w:rPr>
          <w:rFonts w:ascii="Calibri" w:eastAsia="Calibri" w:hAnsi="Calibri"/>
        </w:rPr>
        <w:t>Applying ratios and cap</w:t>
      </w:r>
      <w:r w:rsidR="008A5F70">
        <w:rPr>
          <w:rFonts w:ascii="Calibri" w:eastAsia="Calibri" w:hAnsi="Calibri"/>
        </w:rPr>
        <w:t>ped ratios</w:t>
      </w:r>
      <w:r w:rsidRPr="00C97DC7">
        <w:rPr>
          <w:rFonts w:ascii="Calibri" w:eastAsia="Calibri" w:hAnsi="Calibri"/>
        </w:rPr>
        <w:t xml:space="preserve"> to the modified Census 2020 base population to create “uncontrolled” 2030 estimates</w:t>
      </w:r>
    </w:p>
    <w:p w14:paraId="0F665AA2" w14:textId="77777777" w:rsidR="00FF155F" w:rsidRPr="00C97DC7" w:rsidRDefault="00FF155F" w:rsidP="00FF155F">
      <w:pPr>
        <w:numPr>
          <w:ilvl w:val="0"/>
          <w:numId w:val="33"/>
        </w:numPr>
        <w:spacing w:after="0" w:line="240" w:lineRule="auto"/>
        <w:contextualSpacing/>
        <w:rPr>
          <w:rFonts w:ascii="Calibri" w:eastAsia="Calibri" w:hAnsi="Calibri"/>
        </w:rPr>
      </w:pPr>
      <w:r w:rsidRPr="00C97DC7">
        <w:rPr>
          <w:rFonts w:ascii="Calibri" w:eastAsia="Calibri" w:hAnsi="Calibri"/>
        </w:rPr>
        <w:t>Distributing estimates over single years from 2021 to 2030</w:t>
      </w:r>
    </w:p>
    <w:p w14:paraId="64AFB1AE" w14:textId="4B7250BB" w:rsidR="00FF155F" w:rsidRPr="00C97DC7" w:rsidRDefault="00FF155F" w:rsidP="00FF155F">
      <w:pPr>
        <w:numPr>
          <w:ilvl w:val="0"/>
          <w:numId w:val="33"/>
        </w:numPr>
        <w:spacing w:after="0" w:line="240" w:lineRule="auto"/>
        <w:contextualSpacing/>
        <w:rPr>
          <w:rFonts w:ascii="Calibri" w:eastAsia="Calibri" w:hAnsi="Calibri"/>
        </w:rPr>
      </w:pPr>
      <w:r w:rsidRPr="00C97DC7">
        <w:rPr>
          <w:rFonts w:ascii="Calibri" w:eastAsia="Calibri" w:hAnsi="Calibri"/>
        </w:rPr>
        <w:t>Controlling sub-county estimates to current county-level estimates by age</w:t>
      </w:r>
      <w:r w:rsidR="00C603FF" w:rsidRPr="00C97DC7">
        <w:rPr>
          <w:rFonts w:ascii="Calibri" w:eastAsia="Calibri" w:hAnsi="Calibri"/>
        </w:rPr>
        <w:t>/</w:t>
      </w:r>
      <w:r w:rsidR="00D13F50" w:rsidRPr="00C97DC7">
        <w:rPr>
          <w:rFonts w:ascii="Calibri" w:eastAsia="Calibri" w:hAnsi="Calibri"/>
        </w:rPr>
        <w:t>sex</w:t>
      </w:r>
      <w:r w:rsidR="00C603FF" w:rsidRPr="00C97DC7">
        <w:rPr>
          <w:rFonts w:ascii="Calibri" w:eastAsia="Calibri" w:hAnsi="Calibri"/>
        </w:rPr>
        <w:t xml:space="preserve"> or age/sex/race/ethnic</w:t>
      </w:r>
      <w:r w:rsidR="000B763B" w:rsidRPr="00C97DC7">
        <w:rPr>
          <w:rFonts w:ascii="Calibri" w:eastAsia="Calibri" w:hAnsi="Calibri"/>
        </w:rPr>
        <w:t>ity</w:t>
      </w:r>
      <w:r w:rsidRPr="00C97DC7">
        <w:rPr>
          <w:rFonts w:ascii="Calibri" w:eastAsia="Calibri" w:hAnsi="Calibri"/>
        </w:rPr>
        <w:t xml:space="preserve"> released by the Census Bureau for years 2021 through 202</w:t>
      </w:r>
      <w:r w:rsidR="0040597A" w:rsidRPr="00C97DC7">
        <w:rPr>
          <w:rFonts w:ascii="Calibri" w:eastAsia="Calibri" w:hAnsi="Calibri"/>
        </w:rPr>
        <w:t>3</w:t>
      </w:r>
    </w:p>
    <w:p w14:paraId="434053F0" w14:textId="77777777" w:rsidR="00FF155F" w:rsidRPr="00C97DC7" w:rsidRDefault="00FF155F" w:rsidP="00FF155F">
      <w:pPr>
        <w:numPr>
          <w:ilvl w:val="0"/>
          <w:numId w:val="33"/>
        </w:numPr>
        <w:spacing w:after="0" w:line="240" w:lineRule="auto"/>
        <w:contextualSpacing/>
        <w:rPr>
          <w:rFonts w:ascii="Calibri" w:eastAsia="Calibri" w:hAnsi="Calibri"/>
        </w:rPr>
      </w:pPr>
      <w:r w:rsidRPr="00C97DC7">
        <w:rPr>
          <w:rFonts w:ascii="Calibri" w:eastAsia="Calibri" w:hAnsi="Calibri"/>
        </w:rPr>
        <w:t xml:space="preserve">Distributing 5-year age group estimates to single years of age for ages 0-20 </w:t>
      </w:r>
    </w:p>
    <w:p w14:paraId="06D08B43" w14:textId="5816F73F" w:rsidR="000B763B" w:rsidRPr="00C97DC7" w:rsidRDefault="000B763B" w:rsidP="00FF155F">
      <w:pPr>
        <w:numPr>
          <w:ilvl w:val="0"/>
          <w:numId w:val="33"/>
        </w:numPr>
        <w:spacing w:after="0" w:line="240" w:lineRule="auto"/>
        <w:contextualSpacing/>
        <w:rPr>
          <w:rFonts w:ascii="Calibri" w:eastAsia="Calibri" w:hAnsi="Calibri"/>
        </w:rPr>
      </w:pPr>
      <w:r w:rsidRPr="00C97DC7">
        <w:rPr>
          <w:rFonts w:ascii="Calibri" w:eastAsia="Calibri" w:hAnsi="Calibri"/>
        </w:rPr>
        <w:t>Control</w:t>
      </w:r>
      <w:r w:rsidR="008B7297" w:rsidRPr="00C97DC7">
        <w:rPr>
          <w:rFonts w:ascii="Calibri" w:eastAsia="Calibri" w:hAnsi="Calibri"/>
        </w:rPr>
        <w:t xml:space="preserve">ling </w:t>
      </w:r>
      <w:r w:rsidRPr="00C97DC7">
        <w:rPr>
          <w:rFonts w:ascii="Calibri" w:eastAsia="Calibri" w:hAnsi="Calibri"/>
        </w:rPr>
        <w:t>age/sex/race/ethnicity projections to age/sex projections (race/ethnicity model only)</w:t>
      </w:r>
    </w:p>
    <w:p w14:paraId="15E0F9C1" w14:textId="77777777" w:rsidR="00FF155F" w:rsidRPr="00C97DC7" w:rsidRDefault="00FF155F" w:rsidP="00FF155F">
      <w:pPr>
        <w:numPr>
          <w:ilvl w:val="0"/>
          <w:numId w:val="33"/>
        </w:numPr>
        <w:spacing w:after="0" w:line="240" w:lineRule="auto"/>
        <w:contextualSpacing/>
        <w:rPr>
          <w:rFonts w:ascii="Calibri" w:eastAsia="Calibri" w:hAnsi="Calibri"/>
        </w:rPr>
      </w:pPr>
      <w:r w:rsidRPr="00C97DC7">
        <w:rPr>
          <w:rFonts w:ascii="Calibri" w:eastAsia="Calibri" w:hAnsi="Calibri"/>
        </w:rPr>
        <w:t xml:space="preserve">Assigning historic error and confidence intervals </w:t>
      </w:r>
    </w:p>
    <w:p w14:paraId="3320F8DB" w14:textId="6BD49EE8" w:rsidR="00FF155F" w:rsidRPr="00C97DC7" w:rsidRDefault="00FF155F" w:rsidP="00FF155F">
      <w:pPr>
        <w:numPr>
          <w:ilvl w:val="0"/>
          <w:numId w:val="33"/>
        </w:numPr>
        <w:spacing w:after="0" w:line="240" w:lineRule="auto"/>
        <w:contextualSpacing/>
        <w:rPr>
          <w:rFonts w:ascii="Calibri" w:eastAsia="Calibri" w:hAnsi="Calibri"/>
        </w:rPr>
      </w:pPr>
      <w:r w:rsidRPr="00C97DC7">
        <w:rPr>
          <w:rFonts w:ascii="Calibri" w:eastAsia="Calibri" w:hAnsi="Calibri"/>
        </w:rPr>
        <w:t>Distributing error and confidence intervals over single years 2021-2030</w:t>
      </w:r>
    </w:p>
    <w:p w14:paraId="099733CC" w14:textId="75E52CC9" w:rsidR="00126C38" w:rsidRPr="00C97DC7" w:rsidRDefault="008B7297" w:rsidP="00FF155F">
      <w:pPr>
        <w:numPr>
          <w:ilvl w:val="0"/>
          <w:numId w:val="33"/>
        </w:numPr>
        <w:spacing w:after="0" w:line="240" w:lineRule="auto"/>
        <w:contextualSpacing/>
        <w:rPr>
          <w:rFonts w:ascii="Calibri" w:eastAsia="Calibri" w:hAnsi="Calibri"/>
        </w:rPr>
      </w:pPr>
      <w:r w:rsidRPr="00C97DC7">
        <w:rPr>
          <w:rFonts w:ascii="Calibri" w:eastAsia="Calibri" w:hAnsi="Calibri"/>
        </w:rPr>
        <w:t>Assigning tract-level “college flag”</w:t>
      </w:r>
    </w:p>
    <w:p w14:paraId="0E654EA6" w14:textId="3475AEFA" w:rsidR="008B7297" w:rsidRPr="00C97DC7" w:rsidRDefault="008B7297" w:rsidP="00FF155F">
      <w:pPr>
        <w:numPr>
          <w:ilvl w:val="0"/>
          <w:numId w:val="33"/>
        </w:numPr>
        <w:spacing w:after="0" w:line="240" w:lineRule="auto"/>
        <w:contextualSpacing/>
        <w:rPr>
          <w:rFonts w:ascii="Calibri" w:eastAsia="Calibri" w:hAnsi="Calibri"/>
        </w:rPr>
      </w:pPr>
      <w:r w:rsidRPr="00C97DC7">
        <w:rPr>
          <w:rFonts w:ascii="Calibri" w:eastAsia="Calibri" w:hAnsi="Calibri"/>
        </w:rPr>
        <w:t>Summing</w:t>
      </w:r>
      <w:r w:rsidR="00B72CE9" w:rsidRPr="00C97DC7">
        <w:rPr>
          <w:rFonts w:ascii="Calibri" w:eastAsia="Calibri" w:hAnsi="Calibri"/>
        </w:rPr>
        <w:t xml:space="preserve"> </w:t>
      </w:r>
      <w:r w:rsidR="00396AC1">
        <w:rPr>
          <w:rFonts w:ascii="Calibri" w:eastAsia="Calibri" w:hAnsi="Calibri"/>
        </w:rPr>
        <w:t>es</w:t>
      </w:r>
      <w:r w:rsidR="0001085F">
        <w:rPr>
          <w:rFonts w:ascii="Calibri" w:eastAsia="Calibri" w:hAnsi="Calibri"/>
        </w:rPr>
        <w:t>timates</w:t>
      </w:r>
      <w:r w:rsidR="00396AC1" w:rsidRPr="00C97DC7">
        <w:rPr>
          <w:rFonts w:ascii="Calibri" w:eastAsia="Calibri" w:hAnsi="Calibri"/>
        </w:rPr>
        <w:t xml:space="preserve"> </w:t>
      </w:r>
      <w:r w:rsidR="00B3589A">
        <w:rPr>
          <w:rFonts w:ascii="Calibri" w:eastAsia="Calibri" w:hAnsi="Calibri"/>
        </w:rPr>
        <w:t xml:space="preserve">by </w:t>
      </w:r>
      <w:r w:rsidR="000455C7">
        <w:rPr>
          <w:rFonts w:ascii="Calibri" w:eastAsia="Calibri" w:hAnsi="Calibri"/>
        </w:rPr>
        <w:t>age</w:t>
      </w:r>
      <w:r w:rsidR="007E341A">
        <w:rPr>
          <w:rFonts w:ascii="Calibri" w:eastAsia="Calibri" w:hAnsi="Calibri"/>
        </w:rPr>
        <w:t xml:space="preserve">, race, and ethnicity </w:t>
      </w:r>
      <w:r w:rsidR="001C0B41">
        <w:rPr>
          <w:rFonts w:ascii="Calibri" w:eastAsia="Calibri" w:hAnsi="Calibri"/>
        </w:rPr>
        <w:t xml:space="preserve">to </w:t>
      </w:r>
      <w:r w:rsidR="00EA4171">
        <w:rPr>
          <w:rFonts w:ascii="Calibri" w:eastAsia="Calibri" w:hAnsi="Calibri"/>
        </w:rPr>
        <w:t>”total” race and ethnicity categories</w:t>
      </w:r>
      <w:r w:rsidR="005F7FE2">
        <w:rPr>
          <w:rFonts w:ascii="Calibri" w:eastAsia="Calibri" w:hAnsi="Calibri"/>
        </w:rPr>
        <w:t xml:space="preserve"> and summing male and female cohorts by age to total by age.</w:t>
      </w:r>
    </w:p>
    <w:p w14:paraId="5020176C" w14:textId="77777777" w:rsidR="00FF155F" w:rsidRPr="00781503" w:rsidRDefault="00FF155F" w:rsidP="00FF155F">
      <w:pPr>
        <w:spacing w:after="0" w:line="240" w:lineRule="auto"/>
        <w:contextualSpacing/>
        <w:rPr>
          <w:rFonts w:ascii="Calibri" w:eastAsia="Calibri" w:hAnsi="Calibri"/>
        </w:rPr>
      </w:pPr>
    </w:p>
    <w:p w14:paraId="16C1224B" w14:textId="4E3E353F" w:rsidR="00CD1089" w:rsidRPr="00B35BB5" w:rsidRDefault="00FF155F" w:rsidP="00CD1089">
      <w:pPr>
        <w:rPr>
          <w:rFonts w:ascii="Calibri" w:eastAsia="Calibri" w:hAnsi="Calibri"/>
        </w:rPr>
      </w:pPr>
      <w:r w:rsidRPr="00781503">
        <w:rPr>
          <w:rFonts w:ascii="Calibri" w:eastAsia="Calibri" w:hAnsi="Calibri"/>
        </w:rPr>
        <w:t>The above production methods themselves involve a number of detailed processing steps and assumptions, which we describe in more detail below</w:t>
      </w:r>
      <w:r w:rsidRPr="00B35BB5">
        <w:rPr>
          <w:rFonts w:ascii="Calibri" w:eastAsia="Calibri" w:hAnsi="Calibri"/>
        </w:rPr>
        <w:t>.</w:t>
      </w:r>
    </w:p>
    <w:p w14:paraId="2B274E5C" w14:textId="6A41DC90" w:rsidR="00CD1089" w:rsidRPr="00201848" w:rsidRDefault="00CF3D47" w:rsidP="00CD1089">
      <w:pPr>
        <w:pStyle w:val="Heading2"/>
        <w:numPr>
          <w:ilvl w:val="0"/>
          <w:numId w:val="38"/>
        </w:numPr>
        <w:rPr>
          <w:color w:val="595959" w:themeColor="text1" w:themeTint="A6"/>
        </w:rPr>
      </w:pPr>
      <w:r w:rsidRPr="00201848">
        <w:rPr>
          <w:color w:val="595959" w:themeColor="text1" w:themeTint="A6"/>
        </w:rPr>
        <w:t xml:space="preserve"> </w:t>
      </w:r>
      <w:bookmarkStart w:id="14" w:name="_Toc197520523"/>
      <w:r w:rsidR="00CD1089" w:rsidRPr="00201848">
        <w:rPr>
          <w:color w:val="595959" w:themeColor="text1" w:themeTint="A6"/>
        </w:rPr>
        <w:t>Obtaining</w:t>
      </w:r>
      <w:r w:rsidR="00AA1178" w:rsidRPr="00201848">
        <w:rPr>
          <w:color w:val="595959" w:themeColor="text1" w:themeTint="A6"/>
        </w:rPr>
        <w:t>,</w:t>
      </w:r>
      <w:r w:rsidR="00CD1089" w:rsidRPr="00201848">
        <w:rPr>
          <w:color w:val="595959" w:themeColor="text1" w:themeTint="A6"/>
        </w:rPr>
        <w:t xml:space="preserve"> structuring, and normalizing 2000, 2010, </w:t>
      </w:r>
      <w:r w:rsidR="00AA1178" w:rsidRPr="00201848">
        <w:rPr>
          <w:color w:val="595959" w:themeColor="text1" w:themeTint="A6"/>
        </w:rPr>
        <w:t xml:space="preserve">and </w:t>
      </w:r>
      <w:r w:rsidR="00CD1089" w:rsidRPr="00201848">
        <w:rPr>
          <w:color w:val="595959" w:themeColor="text1" w:themeTint="A6"/>
        </w:rPr>
        <w:t>2020 census data</w:t>
      </w:r>
      <w:bookmarkEnd w:id="14"/>
    </w:p>
    <w:p w14:paraId="2C9701AD" w14:textId="6858BCC7" w:rsidR="00FF155F" w:rsidRPr="00CE4D61" w:rsidRDefault="00FF155F" w:rsidP="00FF155F">
      <w:pPr>
        <w:spacing w:line="240" w:lineRule="auto"/>
        <w:rPr>
          <w:rFonts w:ascii="Calibri" w:eastAsia="Calibri" w:hAnsi="Calibri"/>
        </w:rPr>
      </w:pPr>
      <w:r w:rsidRPr="00CE4D61">
        <w:rPr>
          <w:rFonts w:ascii="Calibri" w:eastAsia="Calibri" w:hAnsi="Calibri"/>
        </w:rPr>
        <w:t>While the geographies and categories counted in the decennial census can change over time, our 2030 estimates model requires data from the 2000, 2010, and 2020 Censuses to be normalized to Census 2020 geograph</w:t>
      </w:r>
      <w:r w:rsidR="00DB0DA9" w:rsidRPr="00CE4D61">
        <w:rPr>
          <w:rFonts w:ascii="Calibri" w:eastAsia="Calibri" w:hAnsi="Calibri"/>
        </w:rPr>
        <w:t>ies</w:t>
      </w:r>
      <w:r w:rsidRPr="00CE4D61">
        <w:rPr>
          <w:rFonts w:ascii="Calibri" w:eastAsia="Calibri" w:hAnsi="Calibri"/>
        </w:rPr>
        <w:t xml:space="preserve">. Although city and town boundaries in Massachusetts have not changed during the time period used in our model, census tract boundaries are revised every ten years. Therefore, a first step in our production method is to normalize census data from 2000 through 2020. This step is necessary because for each 2020 cohort population, we create a CCR based on a corresponding 2010 </w:t>
      </w:r>
      <w:r w:rsidRPr="00CE4D61">
        <w:rPr>
          <w:rFonts w:ascii="Calibri" w:eastAsia="Calibri" w:hAnsi="Calibri"/>
        </w:rPr>
        <w:lastRenderedPageBreak/>
        <w:t xml:space="preserve">cohort population. In order to calculate and apply the proper ratio, the two associated groups must correspond precisely in terms of their geography, age groups, and </w:t>
      </w:r>
      <w:r w:rsidR="00E65522" w:rsidRPr="00CE4D61">
        <w:rPr>
          <w:rFonts w:ascii="Calibri" w:eastAsia="Calibri" w:hAnsi="Calibri"/>
        </w:rPr>
        <w:t>sex</w:t>
      </w:r>
      <w:r w:rsidRPr="00CE4D61">
        <w:rPr>
          <w:rFonts w:ascii="Calibri" w:eastAsia="Calibri" w:hAnsi="Calibri"/>
        </w:rPr>
        <w:t xml:space="preserve"> categories. </w:t>
      </w:r>
    </w:p>
    <w:p w14:paraId="38280471" w14:textId="1CA17070" w:rsidR="00FF155F" w:rsidRPr="00F1108E" w:rsidRDefault="00FF155F" w:rsidP="00FF155F">
      <w:pPr>
        <w:spacing w:line="240" w:lineRule="auto"/>
        <w:rPr>
          <w:rFonts w:ascii="Calibri" w:eastAsia="Calibri" w:hAnsi="Calibri"/>
        </w:rPr>
      </w:pPr>
      <w:r w:rsidRPr="00F1108E">
        <w:rPr>
          <w:rFonts w:ascii="Calibri" w:eastAsia="Calibri" w:hAnsi="Calibri"/>
        </w:rPr>
        <w:t>Corresponding 2000 Census data is also required in our method for the purpose of creating historic errors associated with each cohort estimate. To create error ranges, we run the estimates model to create 2020 age/sex</w:t>
      </w:r>
      <w:r w:rsidRPr="00F1108E" w:rsidDel="00F75A73">
        <w:rPr>
          <w:rFonts w:ascii="Calibri" w:eastAsia="Calibri" w:hAnsi="Calibri"/>
        </w:rPr>
        <w:t xml:space="preserve"> </w:t>
      </w:r>
      <w:r w:rsidRPr="00F1108E">
        <w:rPr>
          <w:rFonts w:ascii="Calibri" w:eastAsia="Calibri" w:hAnsi="Calibri"/>
        </w:rPr>
        <w:t xml:space="preserve">estimates for comparison against 2020 Census counts. 2000 and 2010 data are used to develop CCRs that are applied to 2010 cohorts to develop the 2020 projections used in the comparison. This process requires data from the 2000 Census normalized to 2010 and 2020 census data; that is, the data must be standardized across geographic boundaries. The difference between the estimates and the actual counts </w:t>
      </w:r>
      <w:r w:rsidR="006F1AD5" w:rsidRPr="00F1108E">
        <w:rPr>
          <w:rFonts w:ascii="Calibri" w:eastAsia="Calibri" w:hAnsi="Calibri"/>
        </w:rPr>
        <w:t>forms</w:t>
      </w:r>
      <w:r w:rsidRPr="00F1108E">
        <w:rPr>
          <w:rFonts w:ascii="Calibri" w:eastAsia="Calibri" w:hAnsi="Calibri"/>
        </w:rPr>
        <w:t xml:space="preserve"> the basis of our confidence interval assignments. </w:t>
      </w:r>
    </w:p>
    <w:p w14:paraId="1D5ED7ED" w14:textId="16AD35E8" w:rsidR="00FF155F" w:rsidRPr="00F70841" w:rsidRDefault="00FF155F" w:rsidP="00FF155F">
      <w:pPr>
        <w:spacing w:line="240" w:lineRule="auto"/>
        <w:rPr>
          <w:rFonts w:eastAsia="Calibri" w:cstheme="minorHAnsi"/>
        </w:rPr>
      </w:pPr>
      <w:r w:rsidRPr="00F70841">
        <w:rPr>
          <w:rFonts w:eastAsia="Calibri" w:cstheme="minorHAnsi"/>
        </w:rPr>
        <w:t>To normalize the Census datasets</w:t>
      </w:r>
      <w:r w:rsidR="00427BB0" w:rsidRPr="00F70841">
        <w:rPr>
          <w:rFonts w:eastAsia="Calibri" w:cstheme="minorHAnsi"/>
        </w:rPr>
        <w:t xml:space="preserve"> for age</w:t>
      </w:r>
      <w:r w:rsidR="00C876DB" w:rsidRPr="00F70841">
        <w:rPr>
          <w:rFonts w:eastAsia="Calibri" w:cstheme="minorHAnsi"/>
        </w:rPr>
        <w:t xml:space="preserve"> and sex projections</w:t>
      </w:r>
      <w:r w:rsidRPr="00F70841">
        <w:rPr>
          <w:rFonts w:eastAsia="Calibri" w:cstheme="minorHAnsi"/>
        </w:rPr>
        <w:t xml:space="preserve">, UMDI downloaded U.S. Census Summary File 1 (SF1) data for 2000 and 2010 and Census 2020 DHC-A from the </w:t>
      </w:r>
      <w:r w:rsidRPr="00F70841">
        <w:rPr>
          <w:rFonts w:eastAsia="Calibri" w:cstheme="minorHAnsi"/>
          <w:shd w:val="clear" w:color="auto" w:fill="FFFFFF"/>
        </w:rPr>
        <w:t>National Historical Geographic Information System (NHGIS), which provides online access to aggregate census data and GIS-compatible boundary files for United States geographies.</w:t>
      </w:r>
      <w:r w:rsidRPr="00F70841">
        <w:rPr>
          <w:rFonts w:eastAsia="Calibri" w:cstheme="minorHAnsi"/>
          <w:shd w:val="clear" w:color="auto" w:fill="FFFFFF"/>
          <w:vertAlign w:val="superscript"/>
        </w:rPr>
        <w:footnoteReference w:id="15"/>
      </w:r>
      <w:r w:rsidRPr="00F70841">
        <w:rPr>
          <w:rFonts w:eastAsia="Calibri" w:cstheme="minorHAnsi"/>
        </w:rPr>
        <w:t xml:space="preserve"> Because population data at the tract level had not been normalized by NHGIS at the time of this production cycle, UMDI normalized the time series data using block-level population data in combination with block-to-block correspondence files also available from NHGIS.</w:t>
      </w:r>
      <w:r w:rsidRPr="00F70841">
        <w:rPr>
          <w:rStyle w:val="FootnoteReference"/>
          <w:rFonts w:eastAsia="Calibri" w:cstheme="minorHAnsi"/>
        </w:rPr>
        <w:footnoteReference w:id="16"/>
      </w:r>
      <w:r w:rsidRPr="00F70841">
        <w:rPr>
          <w:rFonts w:eastAsia="Calibri" w:cstheme="minorHAnsi"/>
        </w:rPr>
        <w:t xml:space="preserve"> These correspondence files included the NHGIS 2000</w:t>
      </w:r>
      <w:r w:rsidR="003D3645" w:rsidRPr="00F70841">
        <w:rPr>
          <w:rFonts w:eastAsia="Calibri" w:cstheme="minorHAnsi"/>
        </w:rPr>
        <w:t xml:space="preserve"> to </w:t>
      </w:r>
      <w:r w:rsidRPr="00F70841">
        <w:rPr>
          <w:rFonts w:eastAsia="Calibri" w:cstheme="minorHAnsi"/>
        </w:rPr>
        <w:t>2010, 2010 to 2020 and 2020 to 2010 crosswalks, as follows:</w:t>
      </w:r>
      <w:r w:rsidRPr="00F70841">
        <w:rPr>
          <w:rStyle w:val="FootnoteReference"/>
          <w:rFonts w:eastAsia="Calibri" w:cstheme="minorHAnsi"/>
        </w:rPr>
        <w:t xml:space="preserve"> </w:t>
      </w:r>
      <w:r w:rsidRPr="00F70841">
        <w:rPr>
          <w:rStyle w:val="FootnoteReference"/>
          <w:rFonts w:eastAsia="Calibri" w:cstheme="minorHAnsi"/>
        </w:rPr>
        <w:footnoteReference w:id="17"/>
      </w:r>
    </w:p>
    <w:p w14:paraId="5A8E6C7F" w14:textId="77777777" w:rsidR="00FF155F" w:rsidRPr="00F70841" w:rsidRDefault="00FF155F" w:rsidP="00FF155F">
      <w:pPr>
        <w:numPr>
          <w:ilvl w:val="0"/>
          <w:numId w:val="35"/>
        </w:numPr>
        <w:spacing w:after="0" w:line="240" w:lineRule="auto"/>
        <w:rPr>
          <w:rFonts w:eastAsia="Calibri" w:cstheme="minorHAnsi"/>
        </w:rPr>
      </w:pPr>
      <w:r w:rsidRPr="00F70841">
        <w:rPr>
          <w:rFonts w:eastAsia="Calibri" w:cstheme="minorHAnsi"/>
        </w:rPr>
        <w:t>2000 → 2010 (nhgis_blk2000_blk2010_gj.csv)</w:t>
      </w:r>
    </w:p>
    <w:p w14:paraId="24E53654" w14:textId="77777777" w:rsidR="00FF155F" w:rsidRPr="00F70841" w:rsidRDefault="00FF155F" w:rsidP="00FF155F">
      <w:pPr>
        <w:numPr>
          <w:ilvl w:val="0"/>
          <w:numId w:val="35"/>
        </w:numPr>
        <w:spacing w:after="0" w:line="240" w:lineRule="auto"/>
        <w:rPr>
          <w:rFonts w:eastAsia="Calibri" w:cstheme="minorHAnsi"/>
        </w:rPr>
      </w:pPr>
      <w:r w:rsidRPr="00F70841">
        <w:rPr>
          <w:rFonts w:eastAsia="Calibri" w:cstheme="minorHAnsi"/>
        </w:rPr>
        <w:t>2010 → 2020 (nhgis_blk2010_blk2020_gj.csv)</w:t>
      </w:r>
    </w:p>
    <w:p w14:paraId="2B01F362" w14:textId="1E562208" w:rsidR="00FF155F" w:rsidRPr="00F70841" w:rsidRDefault="00FF155F" w:rsidP="00FF155F">
      <w:pPr>
        <w:numPr>
          <w:ilvl w:val="0"/>
          <w:numId w:val="35"/>
        </w:numPr>
        <w:spacing w:after="0" w:line="240" w:lineRule="auto"/>
        <w:rPr>
          <w:rFonts w:eastAsia="Calibri" w:cstheme="minorHAnsi"/>
        </w:rPr>
      </w:pPr>
      <w:r w:rsidRPr="00F70841">
        <w:rPr>
          <w:rFonts w:eastAsia="Calibri" w:cstheme="minorHAnsi"/>
        </w:rPr>
        <w:t>2020 → 2010 (nhgis_blk2020_blk2010_gj.csv)</w:t>
      </w:r>
    </w:p>
    <w:p w14:paraId="48CCC154" w14:textId="77777777" w:rsidR="00FF155F" w:rsidRPr="00F70841" w:rsidRDefault="00FF155F" w:rsidP="00FF155F">
      <w:pPr>
        <w:spacing w:after="0" w:line="240" w:lineRule="auto"/>
        <w:ind w:left="1080"/>
        <w:rPr>
          <w:rFonts w:eastAsia="Calibri" w:cstheme="minorHAnsi"/>
        </w:rPr>
      </w:pPr>
    </w:p>
    <w:p w14:paraId="4CA51B9C" w14:textId="77777777" w:rsidR="00601EFA" w:rsidRPr="00F70841" w:rsidRDefault="00FF155F" w:rsidP="00601EFA">
      <w:pPr>
        <w:spacing w:line="240" w:lineRule="auto"/>
        <w:rPr>
          <w:rFonts w:eastAsia="Calibri" w:cstheme="minorHAnsi"/>
          <w:i/>
        </w:rPr>
      </w:pPr>
      <w:r w:rsidRPr="00F70841">
        <w:rPr>
          <w:rFonts w:eastAsia="Calibri" w:cstheme="minorHAnsi"/>
          <w:i/>
        </w:rPr>
        <w:t xml:space="preserve">As explained by NHGIS,  </w:t>
      </w:r>
    </w:p>
    <w:p w14:paraId="7AC807DB" w14:textId="513BA0EC" w:rsidR="00FF155F" w:rsidRPr="00F70841" w:rsidRDefault="00FF155F" w:rsidP="00601EFA">
      <w:pPr>
        <w:spacing w:line="240" w:lineRule="auto"/>
        <w:rPr>
          <w:rFonts w:eastAsia="Calibri" w:cstheme="minorHAnsi"/>
          <w:i/>
        </w:rPr>
      </w:pPr>
      <w:r w:rsidRPr="00F70841">
        <w:rPr>
          <w:rFonts w:cstheme="minorHAnsi"/>
        </w:rPr>
        <w:t xml:space="preserve">“In a block-to-block crosswalk, each record identifies a possible intersection between a single source block and a single target block, along with an interpolation weight (ranging between 0 and 1) identifying </w:t>
      </w:r>
      <w:r w:rsidRPr="00F70841">
        <w:rPr>
          <w:rStyle w:val="Emphasis"/>
          <w:rFonts w:cstheme="minorHAnsi"/>
        </w:rPr>
        <w:t>approximately</w:t>
      </w:r>
      <w:r w:rsidRPr="00F70841">
        <w:rPr>
          <w:rFonts w:cstheme="minorHAnsi"/>
        </w:rPr>
        <w:t xml:space="preserve"> what portion of the source zone's population and housing units were located in the intersection. These weights can be used to estimate how </w:t>
      </w:r>
      <w:r w:rsidRPr="00F70841">
        <w:rPr>
          <w:rStyle w:val="Emphasis"/>
          <w:rFonts w:cstheme="minorHAnsi"/>
        </w:rPr>
        <w:t>any counts</w:t>
      </w:r>
      <w:r w:rsidRPr="00F70841">
        <w:rPr>
          <w:rFonts w:cstheme="minorHAnsi"/>
        </w:rPr>
        <w:t xml:space="preserve"> available for source blocks (e.g., females </w:t>
      </w:r>
      <w:r w:rsidR="0011785F" w:rsidRPr="00F70841">
        <w:rPr>
          <w:rFonts w:cstheme="minorHAnsi"/>
        </w:rPr>
        <w:t>aged</w:t>
      </w:r>
      <w:r w:rsidRPr="00F70841">
        <w:rPr>
          <w:rFonts w:cstheme="minorHAnsi"/>
        </w:rPr>
        <w:t xml:space="preserve"> 75 and over, single-member households, owner-occupied housing units, etc.) are distributed among target blocks.</w:t>
      </w:r>
      <w:r w:rsidR="00F913D4">
        <w:rPr>
          <w:rFonts w:cstheme="minorHAnsi"/>
        </w:rPr>
        <w:t>”</w:t>
      </w:r>
      <w:r w:rsidRPr="00F70841">
        <w:rPr>
          <w:rStyle w:val="FootnoteReference"/>
          <w:rFonts w:cstheme="minorHAnsi"/>
        </w:rPr>
        <w:footnoteReference w:id="18"/>
      </w:r>
    </w:p>
    <w:p w14:paraId="060DCBCC" w14:textId="77777777" w:rsidR="00FF155F" w:rsidRPr="00F70841" w:rsidRDefault="00FF155F" w:rsidP="00FF155F">
      <w:pPr>
        <w:spacing w:line="240" w:lineRule="auto"/>
        <w:rPr>
          <w:rFonts w:eastAsia="Calibri" w:cstheme="minorHAnsi"/>
          <w:i/>
        </w:rPr>
      </w:pPr>
      <w:r w:rsidRPr="00F70841">
        <w:rPr>
          <w:rFonts w:eastAsia="Calibri" w:cstheme="minorHAnsi"/>
          <w:i/>
        </w:rPr>
        <w:t>NHGIS explains their method for developing their crosswalks as follows:</w:t>
      </w:r>
    </w:p>
    <w:p w14:paraId="13474B06" w14:textId="03F8ED37" w:rsidR="00FF155F" w:rsidRPr="00F70841" w:rsidRDefault="00FF155F" w:rsidP="00FF155F">
      <w:pPr>
        <w:spacing w:line="240" w:lineRule="auto"/>
        <w:rPr>
          <w:rFonts w:eastAsia="Calibri" w:cstheme="minorHAnsi"/>
          <w:i/>
        </w:rPr>
      </w:pPr>
      <w:r w:rsidRPr="00F70841">
        <w:rPr>
          <w:rFonts w:cstheme="minorHAnsi"/>
        </w:rPr>
        <w:t xml:space="preserve">“The interpolation weights in NHGIS block crosswalks are primarily based on </w:t>
      </w:r>
      <w:r w:rsidR="00A91BC6">
        <w:rPr>
          <w:rFonts w:cstheme="minorHAnsi"/>
        </w:rPr>
        <w:t>‘</w:t>
      </w:r>
      <w:r w:rsidRPr="00F70841">
        <w:rPr>
          <w:rFonts w:cstheme="minorHAnsi"/>
        </w:rPr>
        <w:t>target-density weighting</w:t>
      </w:r>
      <w:r w:rsidR="00A91BC6">
        <w:rPr>
          <w:rFonts w:cstheme="minorHAnsi"/>
        </w:rPr>
        <w:t>’</w:t>
      </w:r>
      <w:r w:rsidRPr="00F70841">
        <w:rPr>
          <w:rFonts w:cstheme="minorHAnsi"/>
        </w:rPr>
        <w:t xml:space="preserve"> (TDW) </w:t>
      </w:r>
      <w:hyperlink r:id="rId15" w:anchor="references" w:history="1">
        <w:r w:rsidRPr="00F70841">
          <w:rPr>
            <w:rStyle w:val="Hyperlink"/>
            <w:rFonts w:cstheme="minorHAnsi"/>
            <w:color w:val="auto"/>
          </w:rPr>
          <w:t>(Schroeder 2007)</w:t>
        </w:r>
      </w:hyperlink>
      <w:r w:rsidRPr="00F70841">
        <w:rPr>
          <w:rFonts w:cstheme="minorHAnsi"/>
        </w:rPr>
        <w:t xml:space="preserve">. TDW assumes that characteristics within each source zone have a distribution proportional to the densities of another characteristic among target zones. For example, if a 2020 block intersects two 2010 blocks, one of which was 10 times as dense as the other in 2010, then TDW assumes that the same 10:1 ratio holds within the 2020 block in 2020. The interpolation weights in the crosswalks </w:t>
      </w:r>
      <w:r w:rsidRPr="00F70841">
        <w:rPr>
          <w:rFonts w:cstheme="minorHAnsi"/>
        </w:rPr>
        <w:lastRenderedPageBreak/>
        <w:t>from 1990 and 2000 blocks to 2010 blocks involve some more advanced modeling as documented in these pages:</w:t>
      </w:r>
    </w:p>
    <w:p w14:paraId="3115DE20" w14:textId="77777777" w:rsidR="00FF155F" w:rsidRPr="00F70841" w:rsidRDefault="00FF155F" w:rsidP="00FF155F">
      <w:pPr>
        <w:numPr>
          <w:ilvl w:val="0"/>
          <w:numId w:val="36"/>
        </w:numPr>
        <w:spacing w:before="100" w:beforeAutospacing="1" w:after="100" w:afterAutospacing="1" w:line="240" w:lineRule="auto"/>
        <w:rPr>
          <w:rFonts w:cstheme="minorHAnsi"/>
        </w:rPr>
      </w:pPr>
      <w:hyperlink r:id="rId16" w:history="1">
        <w:r w:rsidRPr="00F70841">
          <w:rPr>
            <w:rStyle w:val="Hyperlink"/>
            <w:rFonts w:cstheme="minorHAnsi"/>
            <w:color w:val="auto"/>
          </w:rPr>
          <w:t>2000 Block Data Standardized to 2010 Geography</w:t>
        </w:r>
      </w:hyperlink>
    </w:p>
    <w:p w14:paraId="2EF74D43" w14:textId="77777777" w:rsidR="00FF155F" w:rsidRPr="00F70841" w:rsidRDefault="00FF155F" w:rsidP="00FF155F">
      <w:pPr>
        <w:numPr>
          <w:ilvl w:val="0"/>
          <w:numId w:val="36"/>
        </w:numPr>
        <w:spacing w:before="100" w:beforeAutospacing="1" w:after="100" w:afterAutospacing="1" w:line="240" w:lineRule="auto"/>
        <w:rPr>
          <w:rFonts w:cstheme="minorHAnsi"/>
        </w:rPr>
      </w:pPr>
      <w:hyperlink r:id="rId17" w:history="1">
        <w:r w:rsidRPr="00F70841">
          <w:rPr>
            <w:rStyle w:val="Hyperlink"/>
            <w:rFonts w:cstheme="minorHAnsi"/>
            <w:color w:val="auto"/>
          </w:rPr>
          <w:t>1990 Block Data Standardized to 2010 Geography</w:t>
        </w:r>
      </w:hyperlink>
      <w:r w:rsidRPr="00F70841">
        <w:rPr>
          <w:rFonts w:cstheme="minorHAnsi"/>
        </w:rPr>
        <w:t>.”</w:t>
      </w:r>
      <w:r w:rsidRPr="00F70841">
        <w:rPr>
          <w:rStyle w:val="FootnoteReference"/>
          <w:rFonts w:cstheme="minorHAnsi"/>
        </w:rPr>
        <w:footnoteReference w:id="19"/>
      </w:r>
    </w:p>
    <w:p w14:paraId="77BD7212" w14:textId="71653BFA" w:rsidR="00FF155F" w:rsidRPr="00F70841" w:rsidRDefault="00FF155F" w:rsidP="00FF155F">
      <w:pPr>
        <w:tabs>
          <w:tab w:val="num" w:pos="720"/>
        </w:tabs>
        <w:spacing w:line="240" w:lineRule="auto"/>
        <w:rPr>
          <w:rFonts w:ascii="Calibri" w:eastAsia="Calibri" w:hAnsi="Calibri" w:cs="Arial"/>
          <w:shd w:val="clear" w:color="auto" w:fill="FFFFFF"/>
        </w:rPr>
      </w:pPr>
      <w:r w:rsidRPr="00F70841">
        <w:rPr>
          <w:rFonts w:ascii="Calibri" w:eastAsia="Calibri" w:hAnsi="Calibri" w:cs="Arial"/>
          <w:shd w:val="clear" w:color="auto" w:fill="FFFFFF"/>
        </w:rPr>
        <w:t>By applying the general block weights developed by NHGIS to all cohorts, we can estimate block populations in the new geography. Then, the resulting block-level populations are summed to the new geographic tract level.</w:t>
      </w:r>
      <w:r w:rsidR="00A31063" w:rsidRPr="00F70841">
        <w:rPr>
          <w:rStyle w:val="FootnoteReference"/>
          <w:rFonts w:ascii="Calibri" w:eastAsia="Calibri" w:hAnsi="Calibri" w:cs="Arial"/>
          <w:shd w:val="clear" w:color="auto" w:fill="FFFFFF"/>
        </w:rPr>
        <w:footnoteReference w:id="20"/>
      </w:r>
    </w:p>
    <w:p w14:paraId="1329722D" w14:textId="527A1877" w:rsidR="00FF155F" w:rsidRPr="00F70841" w:rsidRDefault="00FF155F" w:rsidP="00FF155F">
      <w:pPr>
        <w:tabs>
          <w:tab w:val="num" w:pos="720"/>
        </w:tabs>
        <w:spacing w:line="240" w:lineRule="auto"/>
        <w:rPr>
          <w:rFonts w:ascii="Calibri" w:eastAsia="Calibri" w:hAnsi="Calibri" w:cs="Arial"/>
          <w:shd w:val="clear" w:color="auto" w:fill="FFFFFF"/>
        </w:rPr>
      </w:pPr>
      <w:r w:rsidRPr="00F70841">
        <w:rPr>
          <w:rFonts w:ascii="Calibri" w:eastAsia="Calibri" w:hAnsi="Calibri" w:cs="Arial"/>
          <w:shd w:val="clear" w:color="auto" w:fill="FFFFFF"/>
        </w:rPr>
        <w:t xml:space="preserve">Figure </w:t>
      </w:r>
      <w:r w:rsidR="007C08B2" w:rsidRPr="00F70841">
        <w:rPr>
          <w:rFonts w:ascii="Calibri" w:eastAsia="Calibri" w:hAnsi="Calibri" w:cs="Arial"/>
          <w:shd w:val="clear" w:color="auto" w:fill="FFFFFF"/>
        </w:rPr>
        <w:t>1</w:t>
      </w:r>
      <w:r w:rsidRPr="00F70841">
        <w:rPr>
          <w:rFonts w:ascii="Calibri" w:eastAsia="Calibri" w:hAnsi="Calibri" w:cs="Arial"/>
          <w:shd w:val="clear" w:color="auto" w:fill="FFFFFF"/>
        </w:rPr>
        <w:t xml:space="preserve"> below provides an example of how block-level cohort populations within a Census 2000 tract are distributed to Census 2010 blocks using the NHGIS weights. In</w:t>
      </w:r>
      <w:r w:rsidRPr="00F70841" w:rsidDel="004548CA">
        <w:rPr>
          <w:rFonts w:ascii="Calibri" w:eastAsia="Calibri" w:hAnsi="Calibri" w:cs="Arial"/>
          <w:shd w:val="clear" w:color="auto" w:fill="FFFFFF"/>
        </w:rPr>
        <w:t xml:space="preserve"> </w:t>
      </w:r>
      <w:r w:rsidR="004548CA">
        <w:rPr>
          <w:rFonts w:ascii="Calibri" w:eastAsia="Calibri" w:hAnsi="Calibri" w:cs="Arial"/>
          <w:shd w:val="clear" w:color="auto" w:fill="FFFFFF"/>
        </w:rPr>
        <w:t>F</w:t>
      </w:r>
      <w:r w:rsidR="004548CA" w:rsidRPr="00F70841">
        <w:rPr>
          <w:rFonts w:ascii="Calibri" w:eastAsia="Calibri" w:hAnsi="Calibri" w:cs="Arial"/>
          <w:shd w:val="clear" w:color="auto" w:fill="FFFFFF"/>
        </w:rPr>
        <w:t xml:space="preserve">igure </w:t>
      </w:r>
      <w:r w:rsidR="007C08B2" w:rsidRPr="00F70841">
        <w:rPr>
          <w:rFonts w:ascii="Calibri" w:eastAsia="Calibri" w:hAnsi="Calibri" w:cs="Arial"/>
          <w:shd w:val="clear" w:color="auto" w:fill="FFFFFF"/>
        </w:rPr>
        <w:t>2</w:t>
      </w:r>
      <w:r w:rsidRPr="00F70841">
        <w:rPr>
          <w:rFonts w:ascii="Calibri" w:eastAsia="Calibri" w:hAnsi="Calibri" w:cs="Arial"/>
          <w:shd w:val="clear" w:color="auto" w:fill="FFFFFF"/>
        </w:rPr>
        <w:t>, the 2000 population is then summed to 2010 tracts.</w:t>
      </w:r>
      <w:r w:rsidR="0070093F">
        <w:rPr>
          <w:rStyle w:val="FootnoteReference"/>
          <w:rFonts w:ascii="Calibri" w:eastAsia="Calibri" w:hAnsi="Calibri" w:cs="Arial"/>
          <w:shd w:val="clear" w:color="auto" w:fill="FFFFFF"/>
        </w:rPr>
        <w:footnoteReference w:id="21"/>
      </w:r>
    </w:p>
    <w:p w14:paraId="1E72B3C1" w14:textId="0F0E1BFF" w:rsidR="00FF155F" w:rsidRPr="00F70841" w:rsidRDefault="00FF155F" w:rsidP="00FF155F">
      <w:pPr>
        <w:spacing w:line="240" w:lineRule="auto"/>
        <w:rPr>
          <w:rFonts w:ascii="Calibri" w:eastAsia="Calibri" w:hAnsi="Calibri" w:cs="Arial"/>
          <w:b/>
          <w:shd w:val="clear" w:color="auto" w:fill="FFFFFF"/>
        </w:rPr>
      </w:pPr>
      <w:r w:rsidRPr="00F70841">
        <w:rPr>
          <w:rFonts w:ascii="Calibri" w:eastAsia="Calibri" w:hAnsi="Calibri" w:cs="Arial"/>
          <w:i/>
          <w:shd w:val="clear" w:color="auto" w:fill="FFFFFF"/>
        </w:rPr>
        <w:t>Example tract G250027</w:t>
      </w:r>
      <w:r w:rsidRPr="00F70841">
        <w:rPr>
          <w:rFonts w:ascii="Calibri" w:eastAsia="Calibri" w:hAnsi="Calibri" w:cs="Arial"/>
          <w:b/>
          <w:i/>
          <w:shd w:val="clear" w:color="auto" w:fill="FFFFFF"/>
        </w:rPr>
        <w:t>0731202</w:t>
      </w:r>
      <w:r w:rsidRPr="00F70841">
        <w:rPr>
          <w:rFonts w:ascii="Calibri" w:eastAsia="Calibri" w:hAnsi="Calibri" w:cs="Arial"/>
          <w:i/>
          <w:shd w:val="clear" w:color="auto" w:fill="FFFFFF"/>
        </w:rPr>
        <w:t xml:space="preserve"> originally </w:t>
      </w:r>
      <w:r w:rsidR="007F76CA" w:rsidRPr="00F70841">
        <w:rPr>
          <w:rFonts w:ascii="Calibri" w:eastAsia="Calibri" w:hAnsi="Calibri" w:cs="Arial"/>
          <w:i/>
          <w:shd w:val="clear" w:color="auto" w:fill="FFFFFF"/>
        </w:rPr>
        <w:t>had</w:t>
      </w:r>
      <w:r w:rsidRPr="00F70841">
        <w:rPr>
          <w:rFonts w:ascii="Calibri" w:eastAsia="Calibri" w:hAnsi="Calibri" w:cs="Arial"/>
          <w:i/>
          <w:shd w:val="clear" w:color="auto" w:fill="FFFFFF"/>
        </w:rPr>
        <w:t xml:space="preserve"> </w:t>
      </w:r>
      <w:r w:rsidRPr="00F70841">
        <w:rPr>
          <w:rFonts w:ascii="Calibri" w:eastAsia="Calibri" w:hAnsi="Calibri" w:cs="Arial"/>
          <w:b/>
          <w:i/>
          <w:shd w:val="clear" w:color="auto" w:fill="FFFFFF"/>
        </w:rPr>
        <w:t>300</w:t>
      </w:r>
      <w:r w:rsidRPr="00F70841">
        <w:rPr>
          <w:rFonts w:ascii="Calibri" w:eastAsia="Calibri" w:hAnsi="Calibri" w:cs="Arial"/>
          <w:i/>
          <w:shd w:val="clear" w:color="auto" w:fill="FFFFFF"/>
        </w:rPr>
        <w:t xml:space="preserve"> people total in </w:t>
      </w:r>
      <w:r w:rsidRPr="00F70841">
        <w:rPr>
          <w:rFonts w:ascii="Calibri" w:eastAsia="Calibri" w:hAnsi="Calibri" w:cs="Arial"/>
          <w:b/>
          <w:i/>
          <w:shd w:val="clear" w:color="auto" w:fill="FFFFFF"/>
        </w:rPr>
        <w:t>2</w:t>
      </w:r>
      <w:r w:rsidRPr="00F70841">
        <w:rPr>
          <w:rFonts w:ascii="Calibri" w:eastAsia="Calibri" w:hAnsi="Calibri" w:cs="Arial"/>
          <w:i/>
          <w:shd w:val="clear" w:color="auto" w:fill="FFFFFF"/>
        </w:rPr>
        <w:t xml:space="preserve"> </w:t>
      </w:r>
      <w:r w:rsidR="006F1AD5" w:rsidRPr="00F70841">
        <w:rPr>
          <w:rFonts w:ascii="Calibri" w:eastAsia="Calibri" w:hAnsi="Calibri" w:cs="Arial"/>
          <w:i/>
          <w:shd w:val="clear" w:color="auto" w:fill="FFFFFF"/>
        </w:rPr>
        <w:t>blocks.</w:t>
      </w:r>
    </w:p>
    <w:p w14:paraId="5B2C4F79" w14:textId="0610E378" w:rsidR="00152512" w:rsidRPr="00F70841" w:rsidRDefault="00152512" w:rsidP="00152512">
      <w:pPr>
        <w:pStyle w:val="Caption"/>
        <w:keepNext/>
        <w:rPr>
          <w:rFonts w:eastAsia="Calibri" w:cstheme="minorHAnsi"/>
          <w:color w:val="auto"/>
          <w:szCs w:val="22"/>
          <w:shd w:val="clear" w:color="auto" w:fill="FFFFFF"/>
        </w:rPr>
      </w:pPr>
      <w:bookmarkStart w:id="15" w:name="_Toc197520565"/>
      <w:r w:rsidRPr="00F70841">
        <w:rPr>
          <w:color w:val="auto"/>
        </w:rPr>
        <w:t xml:space="preserve">Figure </w:t>
      </w:r>
      <w:r w:rsidRPr="00F70841">
        <w:rPr>
          <w:color w:val="auto"/>
        </w:rPr>
        <w:fldChar w:fldCharType="begin"/>
      </w:r>
      <w:r w:rsidRPr="00F70841">
        <w:rPr>
          <w:color w:val="auto"/>
        </w:rPr>
        <w:instrText xml:space="preserve"> SEQ Figure \* ARABIC </w:instrText>
      </w:r>
      <w:r w:rsidRPr="00F70841">
        <w:rPr>
          <w:color w:val="auto"/>
        </w:rPr>
        <w:fldChar w:fldCharType="separate"/>
      </w:r>
      <w:r w:rsidR="00682CB2" w:rsidRPr="00F70841">
        <w:rPr>
          <w:color w:val="auto"/>
        </w:rPr>
        <w:t>1</w:t>
      </w:r>
      <w:r w:rsidRPr="00F70841">
        <w:rPr>
          <w:color w:val="auto"/>
        </w:rPr>
        <w:fldChar w:fldCharType="end"/>
      </w:r>
      <w:r w:rsidR="00C065EE" w:rsidRPr="00F70841">
        <w:rPr>
          <w:color w:val="auto"/>
        </w:rPr>
        <w:t>.</w:t>
      </w:r>
      <w:r w:rsidRPr="00F70841">
        <w:rPr>
          <w:color w:val="auto"/>
        </w:rPr>
        <w:t xml:space="preserve"> </w:t>
      </w:r>
      <w:r w:rsidR="00AD0427" w:rsidRPr="00F70841">
        <w:rPr>
          <w:rFonts w:eastAsia="Calibri" w:cstheme="minorHAnsi"/>
          <w:color w:val="auto"/>
          <w:szCs w:val="22"/>
          <w:shd w:val="clear" w:color="auto" w:fill="FFFFFF"/>
        </w:rPr>
        <w:t>Example of Census 2000 Block Cohort Population Distributed to Census 2010 Block</w:t>
      </w:r>
      <w:bookmarkEnd w:id="15"/>
    </w:p>
    <w:p w14:paraId="6C7DD063" w14:textId="660169BB" w:rsidR="00FF155F" w:rsidRPr="00F70841" w:rsidRDefault="00382950" w:rsidP="00FF155F">
      <w:pPr>
        <w:spacing w:line="240" w:lineRule="auto"/>
        <w:rPr>
          <w:rFonts w:ascii="Calibri" w:eastAsia="Calibri" w:hAnsi="Calibri"/>
        </w:rPr>
      </w:pPr>
      <w:r w:rsidRPr="00F70841">
        <w:rPr>
          <w:rFonts w:ascii="Calibri" w:eastAsia="Calibri" w:hAnsi="Calibri"/>
          <w:noProof/>
        </w:rPr>
        <w:drawing>
          <wp:inline distT="0" distB="0" distL="0" distR="0" wp14:anchorId="199322C2" wp14:editId="771431F2">
            <wp:extent cx="6126480" cy="2215059"/>
            <wp:effectExtent l="0" t="0" r="7620" b="0"/>
            <wp:docPr id="12304483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6480" cy="2215059"/>
                    </a:xfrm>
                    <a:prstGeom prst="rect">
                      <a:avLst/>
                    </a:prstGeom>
                    <a:noFill/>
                  </pic:spPr>
                </pic:pic>
              </a:graphicData>
            </a:graphic>
          </wp:inline>
        </w:drawing>
      </w:r>
    </w:p>
    <w:p w14:paraId="09237F78" w14:textId="3691CD12" w:rsidR="00FF155F" w:rsidRPr="00F617B1" w:rsidRDefault="00FF4B94" w:rsidP="00FF4B94">
      <w:pPr>
        <w:spacing w:line="240" w:lineRule="auto"/>
        <w:rPr>
          <w:rFonts w:ascii="Calibri" w:eastAsia="Calibri" w:hAnsi="Calibri" w:cs="Arial"/>
          <w:i/>
          <w:color w:val="0053BE" w:themeColor="accent6" w:themeTint="BF"/>
          <w:shd w:val="clear" w:color="auto" w:fill="FFFFFF"/>
        </w:rPr>
      </w:pPr>
      <w:r w:rsidRPr="00F70841">
        <w:rPr>
          <w:rFonts w:ascii="Calibri" w:eastAsia="Calibri" w:hAnsi="Calibri" w:cs="Arial"/>
          <w:i/>
          <w:shd w:val="clear" w:color="auto" w:fill="FFFFFF"/>
        </w:rPr>
        <w:t xml:space="preserve">The original 300 people in 1 tract in 2000 geography are distributed to 2 </w:t>
      </w:r>
      <w:r w:rsidRPr="00C75CB0">
        <w:rPr>
          <w:rFonts w:ascii="Calibri" w:eastAsia="Calibri" w:hAnsi="Calibri" w:cs="Arial"/>
          <w:i/>
          <w:color w:val="00B0F0"/>
          <w:shd w:val="clear" w:color="auto" w:fill="FFFFFF"/>
        </w:rPr>
        <w:t xml:space="preserve">tracts in 2010 </w:t>
      </w:r>
      <w:r w:rsidR="006F1AD5" w:rsidRPr="00C75CB0">
        <w:rPr>
          <w:rFonts w:ascii="Calibri" w:eastAsia="Calibri" w:hAnsi="Calibri" w:cs="Arial"/>
          <w:i/>
          <w:color w:val="00B0F0"/>
          <w:shd w:val="clear" w:color="auto" w:fill="FFFFFF"/>
        </w:rPr>
        <w:t>geography</w:t>
      </w:r>
      <w:r w:rsidR="006F1AD5" w:rsidRPr="00C75CB0">
        <w:rPr>
          <w:rFonts w:ascii="Calibri" w:eastAsia="Calibri" w:hAnsi="Calibri" w:cs="Arial"/>
          <w:i/>
          <w:color w:val="2986FF" w:themeColor="accent6" w:themeTint="80"/>
          <w:shd w:val="clear" w:color="auto" w:fill="FFFFFF"/>
        </w:rPr>
        <w:t>.</w:t>
      </w:r>
    </w:p>
    <w:p w14:paraId="5AEDD2D7" w14:textId="0D8AC5E8" w:rsidR="005B42EF" w:rsidRPr="00F70841" w:rsidRDefault="005B42EF" w:rsidP="005B42EF">
      <w:pPr>
        <w:pStyle w:val="Caption"/>
        <w:keepNext/>
        <w:rPr>
          <w:color w:val="auto"/>
        </w:rPr>
      </w:pPr>
      <w:bookmarkStart w:id="16" w:name="_Toc197520566"/>
      <w:r w:rsidRPr="00F70841">
        <w:rPr>
          <w:color w:val="auto"/>
        </w:rPr>
        <w:lastRenderedPageBreak/>
        <w:t xml:space="preserve">Figure </w:t>
      </w:r>
      <w:r w:rsidRPr="00F70841">
        <w:rPr>
          <w:color w:val="auto"/>
        </w:rPr>
        <w:fldChar w:fldCharType="begin"/>
      </w:r>
      <w:r w:rsidRPr="00F70841">
        <w:rPr>
          <w:color w:val="auto"/>
        </w:rPr>
        <w:instrText xml:space="preserve"> SEQ Figure \* ARABIC </w:instrText>
      </w:r>
      <w:r w:rsidRPr="00F70841">
        <w:rPr>
          <w:color w:val="auto"/>
        </w:rPr>
        <w:fldChar w:fldCharType="separate"/>
      </w:r>
      <w:r w:rsidR="00682CB2" w:rsidRPr="00F70841">
        <w:rPr>
          <w:color w:val="auto"/>
        </w:rPr>
        <w:t>2</w:t>
      </w:r>
      <w:r w:rsidRPr="00F70841">
        <w:rPr>
          <w:color w:val="auto"/>
        </w:rPr>
        <w:fldChar w:fldCharType="end"/>
      </w:r>
      <w:r w:rsidR="00C065EE" w:rsidRPr="00F70841">
        <w:rPr>
          <w:color w:val="auto"/>
        </w:rPr>
        <w:t>.</w:t>
      </w:r>
      <w:r w:rsidRPr="00F70841">
        <w:rPr>
          <w:color w:val="auto"/>
        </w:rPr>
        <w:t xml:space="preserve"> Example of Summing Distributed 2000 Population to Census 2010 Tracts</w:t>
      </w:r>
      <w:bookmarkEnd w:id="16"/>
    </w:p>
    <w:p w14:paraId="78C10E8E" w14:textId="12A13E0A" w:rsidR="00FF4B94" w:rsidRPr="00F70841" w:rsidRDefault="00224642" w:rsidP="00F41940">
      <w:r w:rsidRPr="00F70841">
        <w:rPr>
          <w:noProof/>
        </w:rPr>
        <w:drawing>
          <wp:inline distT="0" distB="0" distL="0" distR="0" wp14:anchorId="53412E90" wp14:editId="3AA21534">
            <wp:extent cx="6126480" cy="2168837"/>
            <wp:effectExtent l="0" t="0" r="7620" b="0"/>
            <wp:docPr id="200921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6480" cy="2168837"/>
                    </a:xfrm>
                    <a:prstGeom prst="rect">
                      <a:avLst/>
                    </a:prstGeom>
                    <a:noFill/>
                  </pic:spPr>
                </pic:pic>
              </a:graphicData>
            </a:graphic>
          </wp:inline>
        </w:drawing>
      </w:r>
    </w:p>
    <w:p w14:paraId="3DC323DA" w14:textId="71535BF7" w:rsidR="002164B9" w:rsidRPr="00F70841" w:rsidRDefault="002164B9" w:rsidP="002164B9">
      <w:pPr>
        <w:spacing w:line="240" w:lineRule="auto"/>
        <w:rPr>
          <w:rFonts w:ascii="Calibri" w:eastAsia="Calibri" w:hAnsi="Calibri"/>
        </w:rPr>
      </w:pPr>
      <w:r w:rsidRPr="00F70841">
        <w:rPr>
          <w:rFonts w:ascii="Calibri" w:eastAsia="Calibri" w:hAnsi="Calibri" w:cs="Arial"/>
          <w:shd w:val="clear" w:color="auto" w:fill="FFFFFF"/>
        </w:rPr>
        <w:t>It is important to note that in the NHGIS crosswalk weighting, no distinctions are made for different subgroups of population or housing. In effect, the model assumes that, </w:t>
      </w:r>
      <w:r w:rsidRPr="00F70841">
        <w:rPr>
          <w:rFonts w:ascii="Calibri" w:eastAsia="Calibri" w:hAnsi="Calibri" w:cs="Arial"/>
          <w:i/>
          <w:bdr w:val="none" w:sz="0" w:space="0" w:color="auto" w:frame="1"/>
          <w:shd w:val="clear" w:color="auto" w:fill="FFFFFF"/>
        </w:rPr>
        <w:t>within each block</w:t>
      </w:r>
      <w:r w:rsidRPr="00F70841">
        <w:rPr>
          <w:rFonts w:ascii="Calibri" w:eastAsia="Calibri" w:hAnsi="Calibri" w:cs="Arial"/>
          <w:shd w:val="clear" w:color="auto" w:fill="FFFFFF"/>
        </w:rPr>
        <w:t xml:space="preserve">, </w:t>
      </w:r>
      <w:r w:rsidR="00941D09">
        <w:rPr>
          <w:rFonts w:ascii="Calibri" w:eastAsia="Calibri" w:hAnsi="Calibri" w:cs="Arial"/>
          <w:shd w:val="clear" w:color="auto" w:fill="FFFFFF"/>
        </w:rPr>
        <w:t xml:space="preserve">for example, </w:t>
      </w:r>
      <w:r w:rsidRPr="00F70841">
        <w:rPr>
          <w:rFonts w:ascii="Calibri" w:eastAsia="Calibri" w:hAnsi="Calibri" w:cs="Arial"/>
          <w:shd w:val="clear" w:color="auto" w:fill="FFFFFF"/>
        </w:rPr>
        <w:t xml:space="preserve">the 15-19-year-old population's </w:t>
      </w:r>
      <w:r w:rsidRPr="00941D09">
        <w:rPr>
          <w:rFonts w:ascii="Calibri" w:eastAsia="Calibri" w:hAnsi="Calibri" w:cs="Arial"/>
          <w:i/>
          <w:iCs/>
          <w:shd w:val="clear" w:color="auto" w:fill="FFFFFF"/>
        </w:rPr>
        <w:t xml:space="preserve">spatial </w:t>
      </w:r>
      <w:r w:rsidRPr="00F70841">
        <w:rPr>
          <w:rFonts w:ascii="Calibri" w:eastAsia="Calibri" w:hAnsi="Calibri" w:cs="Arial"/>
          <w:shd w:val="clear" w:color="auto" w:fill="FFFFFF"/>
        </w:rPr>
        <w:t xml:space="preserve">distribution is the same as every other age-cohort’s </w:t>
      </w:r>
      <w:r w:rsidR="00837693">
        <w:rPr>
          <w:rFonts w:ascii="Calibri" w:eastAsia="Calibri" w:hAnsi="Calibri" w:cs="Arial"/>
          <w:shd w:val="clear" w:color="auto" w:fill="FFFFFF"/>
        </w:rPr>
        <w:t xml:space="preserve">spatial </w:t>
      </w:r>
      <w:r w:rsidRPr="00F70841">
        <w:rPr>
          <w:rFonts w:ascii="Calibri" w:eastAsia="Calibri" w:hAnsi="Calibri" w:cs="Arial"/>
          <w:shd w:val="clear" w:color="auto" w:fill="FFFFFF"/>
        </w:rPr>
        <w:t xml:space="preserve">distribution; the </w:t>
      </w:r>
      <w:r w:rsidR="00837693">
        <w:rPr>
          <w:rFonts w:ascii="Calibri" w:eastAsia="Calibri" w:hAnsi="Calibri" w:cs="Arial"/>
          <w:shd w:val="clear" w:color="auto" w:fill="FFFFFF"/>
        </w:rPr>
        <w:t>Asian</w:t>
      </w:r>
      <w:r w:rsidRPr="00F70841">
        <w:rPr>
          <w:rFonts w:ascii="Calibri" w:eastAsia="Calibri" w:hAnsi="Calibri" w:cs="Arial"/>
          <w:shd w:val="clear" w:color="auto" w:fill="FFFFFF"/>
        </w:rPr>
        <w:t xml:space="preserve"> population</w:t>
      </w:r>
      <w:r w:rsidR="00757369">
        <w:rPr>
          <w:rFonts w:ascii="Calibri" w:eastAsia="Calibri" w:hAnsi="Calibri" w:cs="Arial"/>
          <w:shd w:val="clear" w:color="auto" w:fill="FFFFFF"/>
        </w:rPr>
        <w:t xml:space="preserve">’s spatial </w:t>
      </w:r>
      <w:r w:rsidRPr="00F70841">
        <w:rPr>
          <w:rFonts w:ascii="Calibri" w:eastAsia="Calibri" w:hAnsi="Calibri" w:cs="Arial"/>
          <w:shd w:val="clear" w:color="auto" w:fill="FFFFFF"/>
        </w:rPr>
        <w:t xml:space="preserve">distribution is the same as the </w:t>
      </w:r>
      <w:r w:rsidR="00E33189">
        <w:rPr>
          <w:rFonts w:ascii="Calibri" w:eastAsia="Calibri" w:hAnsi="Calibri" w:cs="Arial"/>
          <w:shd w:val="clear" w:color="auto" w:fill="FFFFFF"/>
        </w:rPr>
        <w:t>spatial distr</w:t>
      </w:r>
      <w:r w:rsidR="00357459">
        <w:rPr>
          <w:rFonts w:ascii="Calibri" w:eastAsia="Calibri" w:hAnsi="Calibri" w:cs="Arial"/>
          <w:shd w:val="clear" w:color="auto" w:fill="FFFFFF"/>
        </w:rPr>
        <w:t xml:space="preserve">ibution of any other race; and </w:t>
      </w:r>
      <w:r w:rsidRPr="00F70841">
        <w:rPr>
          <w:rFonts w:ascii="Calibri" w:eastAsia="Calibri" w:hAnsi="Calibri" w:cs="Arial"/>
          <w:shd w:val="clear" w:color="auto" w:fill="FFFFFF"/>
        </w:rPr>
        <w:t xml:space="preserve">the </w:t>
      </w:r>
      <w:r w:rsidR="003D611F">
        <w:rPr>
          <w:rFonts w:ascii="Calibri" w:eastAsia="Calibri" w:hAnsi="Calibri" w:cs="Arial"/>
          <w:shd w:val="clear" w:color="auto" w:fill="FFFFFF"/>
        </w:rPr>
        <w:t xml:space="preserve">spatial </w:t>
      </w:r>
      <w:r w:rsidRPr="00F70841">
        <w:rPr>
          <w:rFonts w:ascii="Calibri" w:eastAsia="Calibri" w:hAnsi="Calibri" w:cs="Arial"/>
          <w:shd w:val="clear" w:color="auto" w:fill="FFFFFF"/>
        </w:rPr>
        <w:t xml:space="preserve">distribution of owner-occupied housing is proportionally the same as renter-occupied housing's, etc. </w:t>
      </w:r>
      <w:r w:rsidR="00D93420">
        <w:rPr>
          <w:rFonts w:ascii="Calibri" w:eastAsia="Calibri" w:hAnsi="Calibri" w:cs="Arial"/>
          <w:shd w:val="clear" w:color="auto" w:fill="FFFFFF"/>
        </w:rPr>
        <w:t>In actuality, particular age or race groups</w:t>
      </w:r>
      <w:r w:rsidR="0078577F">
        <w:rPr>
          <w:rFonts w:ascii="Calibri" w:eastAsia="Calibri" w:hAnsi="Calibri" w:cs="Arial"/>
          <w:shd w:val="clear" w:color="auto" w:fill="FFFFFF"/>
        </w:rPr>
        <w:t xml:space="preserve"> etc. may be </w:t>
      </w:r>
      <w:r w:rsidR="004E1ACE">
        <w:rPr>
          <w:rFonts w:ascii="Calibri" w:eastAsia="Calibri" w:hAnsi="Calibri" w:cs="Arial"/>
          <w:shd w:val="clear" w:color="auto" w:fill="FFFFFF"/>
        </w:rPr>
        <w:t xml:space="preserve">more heavily </w:t>
      </w:r>
      <w:r w:rsidR="0078577F">
        <w:rPr>
          <w:rFonts w:ascii="Calibri" w:eastAsia="Calibri" w:hAnsi="Calibri" w:cs="Arial"/>
          <w:shd w:val="clear" w:color="auto" w:fill="FFFFFF"/>
        </w:rPr>
        <w:t xml:space="preserve">clustered in one area of the block </w:t>
      </w:r>
      <w:r w:rsidR="004E1ACE">
        <w:rPr>
          <w:rFonts w:ascii="Calibri" w:eastAsia="Calibri" w:hAnsi="Calibri" w:cs="Arial"/>
          <w:shd w:val="clear" w:color="auto" w:fill="FFFFFF"/>
        </w:rPr>
        <w:t xml:space="preserve">over other areas. </w:t>
      </w:r>
      <w:r w:rsidRPr="00F70841">
        <w:rPr>
          <w:rFonts w:ascii="Calibri" w:eastAsia="Calibri" w:hAnsi="Calibri" w:cs="Arial"/>
          <w:shd w:val="clear" w:color="auto" w:fill="FFFFFF"/>
        </w:rPr>
        <w:t>This assumption of consistent within-block distributions across subgroups is one source of error in the interpolation model, but it greatly simplifies the model and ensures that all interpolated subtotals will correctly sum to totals.</w:t>
      </w:r>
      <w:r w:rsidRPr="00F70841">
        <w:rPr>
          <w:rFonts w:ascii="Calibri" w:eastAsia="Calibri" w:hAnsi="Calibri" w:cs="Arial"/>
          <w:shd w:val="clear" w:color="auto" w:fill="FFFFFF"/>
          <w:vertAlign w:val="superscript"/>
        </w:rPr>
        <w:footnoteReference w:id="22"/>
      </w:r>
      <w:r w:rsidRPr="00F70841">
        <w:rPr>
          <w:rFonts w:ascii="Calibri" w:eastAsia="Calibri" w:hAnsi="Calibri" w:cs="Arial"/>
          <w:shd w:val="clear" w:color="auto" w:fill="FFFFFF"/>
        </w:rPr>
        <w:t xml:space="preserve">  </w:t>
      </w:r>
      <w:r w:rsidRPr="00F70841">
        <w:rPr>
          <w:rFonts w:ascii="Calibri" w:eastAsia="Calibri" w:hAnsi="Calibri"/>
        </w:rPr>
        <w:t xml:space="preserve">The error ranges that we generate for each age/sex cohort capture the error introduced by the distribution assumptions embedded in the tract normalization process because these same assumptions are made when generating the 2020 estimates used to assign error. </w:t>
      </w:r>
    </w:p>
    <w:p w14:paraId="750DDE9E" w14:textId="18BA99FC" w:rsidR="00DA0304" w:rsidRPr="00284696" w:rsidRDefault="000807D5" w:rsidP="002164B9">
      <w:pPr>
        <w:spacing w:line="240" w:lineRule="auto"/>
        <w:rPr>
          <w:rFonts w:ascii="Calibri" w:eastAsia="Calibri" w:hAnsi="Calibri"/>
        </w:rPr>
      </w:pPr>
      <w:r w:rsidRPr="00284696">
        <w:rPr>
          <w:rFonts w:ascii="Calibri" w:eastAsia="Calibri" w:hAnsi="Calibri"/>
        </w:rPr>
        <w:t>The t</w:t>
      </w:r>
      <w:r w:rsidR="009E2014" w:rsidRPr="00284696">
        <w:rPr>
          <w:rFonts w:ascii="Calibri" w:eastAsia="Calibri" w:hAnsi="Calibri"/>
        </w:rPr>
        <w:t xml:space="preserve">ract-to-tract crosswalk for </w:t>
      </w:r>
      <w:r w:rsidR="00F86A4A" w:rsidRPr="00284696">
        <w:rPr>
          <w:rFonts w:ascii="Calibri" w:eastAsia="Calibri" w:hAnsi="Calibri"/>
        </w:rPr>
        <w:t>2010 to 2020</w:t>
      </w:r>
      <w:r w:rsidR="009E2014" w:rsidRPr="00284696">
        <w:rPr>
          <w:rFonts w:ascii="Calibri" w:eastAsia="Calibri" w:hAnsi="Calibri"/>
        </w:rPr>
        <w:t xml:space="preserve"> became available</w:t>
      </w:r>
      <w:r w:rsidR="00F86A4A" w:rsidRPr="00284696">
        <w:rPr>
          <w:rFonts w:ascii="Calibri" w:eastAsia="Calibri" w:hAnsi="Calibri"/>
        </w:rPr>
        <w:t xml:space="preserve"> from NHGIS while </w:t>
      </w:r>
      <w:r w:rsidR="00C572BB" w:rsidRPr="003C791D">
        <w:rPr>
          <w:rFonts w:ascii="Calibri" w:eastAsia="Calibri" w:hAnsi="Calibri"/>
        </w:rPr>
        <w:t xml:space="preserve">age/sex/race/ethnicity </w:t>
      </w:r>
      <w:r w:rsidR="00B803EE" w:rsidRPr="00284696">
        <w:rPr>
          <w:rFonts w:ascii="Calibri" w:eastAsia="Calibri" w:hAnsi="Calibri"/>
        </w:rPr>
        <w:t>projections were in production</w:t>
      </w:r>
      <w:r w:rsidR="00C01B56" w:rsidRPr="00284696">
        <w:rPr>
          <w:rFonts w:ascii="Calibri" w:eastAsia="Calibri" w:hAnsi="Calibri"/>
        </w:rPr>
        <w:t>.</w:t>
      </w:r>
      <w:r w:rsidR="005F3B77" w:rsidRPr="00284696">
        <w:rPr>
          <w:rFonts w:ascii="Calibri" w:eastAsia="Calibri" w:hAnsi="Calibri"/>
        </w:rPr>
        <w:t xml:space="preserve"> </w:t>
      </w:r>
      <w:r w:rsidR="009774D3" w:rsidRPr="00284696">
        <w:rPr>
          <w:rFonts w:ascii="Calibri" w:eastAsia="Calibri" w:hAnsi="Calibri"/>
        </w:rPr>
        <w:t xml:space="preserve">To </w:t>
      </w:r>
      <w:r w:rsidR="00525643">
        <w:rPr>
          <w:rFonts w:ascii="Calibri" w:eastAsia="Calibri" w:hAnsi="Calibri"/>
        </w:rPr>
        <w:t>develop</w:t>
      </w:r>
      <w:r w:rsidR="009774D3" w:rsidRPr="00284696">
        <w:rPr>
          <w:rFonts w:ascii="Calibri" w:eastAsia="Calibri" w:hAnsi="Calibri"/>
        </w:rPr>
        <w:t xml:space="preserve"> </w:t>
      </w:r>
      <w:r w:rsidR="009D73E3" w:rsidRPr="00284696">
        <w:rPr>
          <w:rFonts w:ascii="Calibri" w:eastAsia="Calibri" w:hAnsi="Calibri"/>
        </w:rPr>
        <w:t xml:space="preserve">2010 base populations by </w:t>
      </w:r>
      <w:r w:rsidR="00C572BB" w:rsidRPr="003C791D">
        <w:rPr>
          <w:rFonts w:ascii="Calibri" w:eastAsia="Calibri" w:hAnsi="Calibri"/>
        </w:rPr>
        <w:t xml:space="preserve">age/sex/race/ethnicity </w:t>
      </w:r>
      <w:r w:rsidR="009D73E3" w:rsidRPr="00284696">
        <w:rPr>
          <w:rFonts w:ascii="Calibri" w:eastAsia="Calibri" w:hAnsi="Calibri"/>
        </w:rPr>
        <w:t xml:space="preserve">in 2020 tract geographies, </w:t>
      </w:r>
      <w:r w:rsidR="006A6273" w:rsidRPr="00284696">
        <w:rPr>
          <w:rFonts w:ascii="Calibri" w:eastAsia="Calibri" w:hAnsi="Calibri"/>
        </w:rPr>
        <w:t>UM</w:t>
      </w:r>
      <w:r w:rsidR="00DC17B5" w:rsidRPr="00284696">
        <w:rPr>
          <w:rFonts w:ascii="Calibri" w:eastAsia="Calibri" w:hAnsi="Calibri"/>
        </w:rPr>
        <w:t xml:space="preserve">DI utilized the race-bridged </w:t>
      </w:r>
      <w:r w:rsidR="005F3B77" w:rsidRPr="00284696">
        <w:rPr>
          <w:rFonts w:ascii="Calibri" w:eastAsia="Calibri" w:hAnsi="Calibri"/>
        </w:rPr>
        <w:t>2010 data</w:t>
      </w:r>
      <w:r w:rsidR="00AE470F" w:rsidRPr="00284696">
        <w:rPr>
          <w:rFonts w:ascii="Calibri" w:eastAsia="Calibri" w:hAnsi="Calibri"/>
        </w:rPr>
        <w:t xml:space="preserve"> </w:t>
      </w:r>
      <w:r w:rsidR="00CE56E6" w:rsidRPr="00284696">
        <w:rPr>
          <w:rFonts w:ascii="Calibri" w:eastAsia="Calibri" w:hAnsi="Calibri"/>
        </w:rPr>
        <w:t xml:space="preserve">file created for the V2017 series, </w:t>
      </w:r>
      <w:r w:rsidR="009D73E3" w:rsidRPr="00284696">
        <w:rPr>
          <w:rFonts w:ascii="Calibri" w:eastAsia="Calibri" w:hAnsi="Calibri"/>
        </w:rPr>
        <w:t>then</w:t>
      </w:r>
      <w:r w:rsidR="00CE56E6" w:rsidRPr="00284696">
        <w:rPr>
          <w:rFonts w:ascii="Calibri" w:eastAsia="Calibri" w:hAnsi="Calibri"/>
        </w:rPr>
        <w:t xml:space="preserve"> </w:t>
      </w:r>
      <w:r w:rsidR="00361314" w:rsidRPr="00284696">
        <w:rPr>
          <w:rFonts w:ascii="Calibri" w:eastAsia="Calibri" w:hAnsi="Calibri"/>
        </w:rPr>
        <w:t xml:space="preserve">used the </w:t>
      </w:r>
      <w:r w:rsidR="008E4CC7" w:rsidRPr="00284696">
        <w:rPr>
          <w:rFonts w:ascii="Calibri" w:eastAsia="Calibri" w:hAnsi="Calibri"/>
        </w:rPr>
        <w:t>NHGIS 2010 to 2020</w:t>
      </w:r>
      <w:r w:rsidR="00FD1F77" w:rsidRPr="00284696">
        <w:rPr>
          <w:rFonts w:ascii="Calibri" w:eastAsia="Calibri" w:hAnsi="Calibri"/>
        </w:rPr>
        <w:t xml:space="preserve"> tract level</w:t>
      </w:r>
      <w:r w:rsidR="008E4CC7" w:rsidRPr="00284696">
        <w:rPr>
          <w:rFonts w:ascii="Calibri" w:eastAsia="Calibri" w:hAnsi="Calibri"/>
        </w:rPr>
        <w:t xml:space="preserve"> crosswalk to distribute</w:t>
      </w:r>
      <w:r w:rsidR="00982DB9" w:rsidRPr="00284696">
        <w:rPr>
          <w:rFonts w:ascii="Calibri" w:eastAsia="Calibri" w:hAnsi="Calibri"/>
        </w:rPr>
        <w:t xml:space="preserve"> </w:t>
      </w:r>
      <w:r w:rsidR="00481A43" w:rsidRPr="00284696">
        <w:rPr>
          <w:rFonts w:ascii="Calibri" w:eastAsia="Calibri" w:hAnsi="Calibri"/>
        </w:rPr>
        <w:t>race/ethnicity/age/sex to 2020 tract geographies</w:t>
      </w:r>
      <w:r w:rsidR="009D73E3" w:rsidRPr="00284696">
        <w:rPr>
          <w:rFonts w:ascii="Calibri" w:eastAsia="Calibri" w:hAnsi="Calibri"/>
        </w:rPr>
        <w:t>.</w:t>
      </w:r>
      <w:r w:rsidR="003F59F8" w:rsidRPr="00284696">
        <w:rPr>
          <w:rStyle w:val="FootnoteReference"/>
          <w:rFonts w:ascii="Calibri" w:eastAsia="Calibri" w:hAnsi="Calibri"/>
        </w:rPr>
        <w:footnoteReference w:id="23"/>
      </w:r>
      <w:r w:rsidR="00A55C24" w:rsidRPr="00284696">
        <w:rPr>
          <w:rFonts w:ascii="Calibri" w:eastAsia="Calibri" w:hAnsi="Calibri"/>
        </w:rPr>
        <w:t xml:space="preserve"> The result was controlled</w:t>
      </w:r>
      <w:r w:rsidR="00481A43" w:rsidRPr="00284696">
        <w:rPr>
          <w:rFonts w:ascii="Calibri" w:eastAsia="Calibri" w:hAnsi="Calibri"/>
        </w:rPr>
        <w:t xml:space="preserve"> to the </w:t>
      </w:r>
      <w:r w:rsidR="00C01B56" w:rsidRPr="00284696">
        <w:rPr>
          <w:rFonts w:ascii="Calibri" w:eastAsia="Calibri" w:hAnsi="Calibri"/>
        </w:rPr>
        <w:t xml:space="preserve">V2024 </w:t>
      </w:r>
      <w:r w:rsidR="00481A43" w:rsidRPr="00284696">
        <w:rPr>
          <w:rFonts w:ascii="Calibri" w:eastAsia="Calibri" w:hAnsi="Calibri"/>
        </w:rPr>
        <w:t>age/sex launch populations</w:t>
      </w:r>
      <w:r w:rsidR="003924E5" w:rsidRPr="00284696">
        <w:rPr>
          <w:rFonts w:ascii="Calibri" w:eastAsia="Calibri" w:hAnsi="Calibri"/>
        </w:rPr>
        <w:t xml:space="preserve"> for </w:t>
      </w:r>
      <w:r w:rsidR="00451F63" w:rsidRPr="00284696">
        <w:rPr>
          <w:rFonts w:ascii="Calibri" w:eastAsia="Calibri" w:hAnsi="Calibri"/>
        </w:rPr>
        <w:t xml:space="preserve">consistency between </w:t>
      </w:r>
      <w:r w:rsidR="009B7A40" w:rsidRPr="00284696">
        <w:rPr>
          <w:rFonts w:ascii="Calibri" w:eastAsia="Calibri" w:hAnsi="Calibri"/>
        </w:rPr>
        <w:t xml:space="preserve">the </w:t>
      </w:r>
      <w:r w:rsidR="00CF3213" w:rsidRPr="00284696">
        <w:rPr>
          <w:rFonts w:ascii="Calibri" w:eastAsia="Calibri" w:hAnsi="Calibri"/>
        </w:rPr>
        <w:t xml:space="preserve">age/sex-only </w:t>
      </w:r>
      <w:r w:rsidR="009B7A40" w:rsidRPr="00284696">
        <w:rPr>
          <w:rFonts w:ascii="Calibri" w:eastAsia="Calibri" w:hAnsi="Calibri"/>
        </w:rPr>
        <w:t>V2024 and</w:t>
      </w:r>
      <w:r w:rsidR="00CF3213" w:rsidRPr="00284696">
        <w:rPr>
          <w:rFonts w:ascii="Calibri" w:eastAsia="Calibri" w:hAnsi="Calibri"/>
        </w:rPr>
        <w:t xml:space="preserve"> age/sex/race/ethnicity</w:t>
      </w:r>
      <w:r w:rsidR="009B7A40" w:rsidRPr="00284696">
        <w:rPr>
          <w:rFonts w:ascii="Calibri" w:eastAsia="Calibri" w:hAnsi="Calibri"/>
        </w:rPr>
        <w:t xml:space="preserve"> V2025 series</w:t>
      </w:r>
      <w:r w:rsidR="00C01B56" w:rsidRPr="00284696">
        <w:rPr>
          <w:rFonts w:ascii="Calibri" w:eastAsia="Calibri" w:hAnsi="Calibri"/>
        </w:rPr>
        <w:t xml:space="preserve"> (see Section 3)</w:t>
      </w:r>
      <w:r w:rsidR="00481A43" w:rsidRPr="00284696">
        <w:rPr>
          <w:rFonts w:ascii="Calibri" w:eastAsia="Calibri" w:hAnsi="Calibri"/>
        </w:rPr>
        <w:t xml:space="preserve"> </w:t>
      </w:r>
      <w:r w:rsidR="00C01B56" w:rsidRPr="00284696">
        <w:rPr>
          <w:rFonts w:ascii="Calibri" w:eastAsia="Calibri" w:hAnsi="Calibri"/>
        </w:rPr>
        <w:t>.</w:t>
      </w:r>
      <w:r w:rsidR="00EB4647" w:rsidRPr="00284696">
        <w:rPr>
          <w:rFonts w:ascii="Calibri" w:eastAsia="Calibri" w:hAnsi="Calibri"/>
        </w:rPr>
        <w:t xml:space="preserve"> </w:t>
      </w:r>
    </w:p>
    <w:p w14:paraId="093A6E7F" w14:textId="3E6120F9" w:rsidR="00E27526" w:rsidRPr="00201848" w:rsidRDefault="00CE7E8C" w:rsidP="00E27526">
      <w:pPr>
        <w:pStyle w:val="Heading2"/>
        <w:numPr>
          <w:ilvl w:val="0"/>
          <w:numId w:val="38"/>
        </w:numPr>
        <w:rPr>
          <w:color w:val="595959" w:themeColor="text1" w:themeTint="A6"/>
        </w:rPr>
      </w:pPr>
      <w:r w:rsidRPr="00201848">
        <w:rPr>
          <w:color w:val="595959" w:themeColor="text1" w:themeTint="A6"/>
        </w:rPr>
        <w:t xml:space="preserve"> </w:t>
      </w:r>
      <w:bookmarkStart w:id="17" w:name="_Toc197520524"/>
      <w:r w:rsidRPr="00201848">
        <w:rPr>
          <w:color w:val="595959" w:themeColor="text1" w:themeTint="A6"/>
        </w:rPr>
        <w:t>Reass</w:t>
      </w:r>
      <w:r w:rsidR="00D42938" w:rsidRPr="00201848">
        <w:rPr>
          <w:color w:val="595959" w:themeColor="text1" w:themeTint="A6"/>
        </w:rPr>
        <w:t>igning</w:t>
      </w:r>
      <w:r w:rsidR="00E27526" w:rsidRPr="00201848">
        <w:rPr>
          <w:color w:val="595959" w:themeColor="text1" w:themeTint="A6"/>
        </w:rPr>
        <w:t xml:space="preserve"> </w:t>
      </w:r>
      <w:r w:rsidR="00D42938" w:rsidRPr="00201848">
        <w:rPr>
          <w:color w:val="595959" w:themeColor="text1" w:themeTint="A6"/>
        </w:rPr>
        <w:t>“Some other race”</w:t>
      </w:r>
      <w:bookmarkEnd w:id="17"/>
    </w:p>
    <w:p w14:paraId="0E7C8370" w14:textId="62E184A5" w:rsidR="007D6DB4" w:rsidRPr="002A5AAF" w:rsidRDefault="00B545CE" w:rsidP="007D6DB4">
      <w:pPr>
        <w:spacing w:line="240" w:lineRule="auto"/>
        <w:rPr>
          <w:rFonts w:ascii="Calibri" w:eastAsia="Calibri" w:hAnsi="Calibri"/>
        </w:rPr>
      </w:pPr>
      <w:r w:rsidRPr="003C791D">
        <w:rPr>
          <w:rFonts w:ascii="Calibri" w:eastAsia="Calibri" w:hAnsi="Calibri"/>
        </w:rPr>
        <w:t>To develop race and ethnicity projections to 2030, we</w:t>
      </w:r>
      <w:r w:rsidR="007D6DB4" w:rsidRPr="003C791D">
        <w:rPr>
          <w:rFonts w:ascii="Calibri" w:eastAsia="Calibri" w:hAnsi="Calibri"/>
        </w:rPr>
        <w:t xml:space="preserve"> re-assign the “Some other race” population counted in the Census 20</w:t>
      </w:r>
      <w:r w:rsidRPr="003C791D">
        <w:rPr>
          <w:rFonts w:ascii="Calibri" w:eastAsia="Calibri" w:hAnsi="Calibri"/>
        </w:rPr>
        <w:t>1</w:t>
      </w:r>
      <w:r w:rsidR="007D6DB4" w:rsidRPr="003C791D">
        <w:rPr>
          <w:rFonts w:ascii="Calibri" w:eastAsia="Calibri" w:hAnsi="Calibri"/>
        </w:rPr>
        <w:t>0 and 20</w:t>
      </w:r>
      <w:r w:rsidR="002E79E4" w:rsidRPr="003C791D">
        <w:rPr>
          <w:rFonts w:ascii="Calibri" w:eastAsia="Calibri" w:hAnsi="Calibri"/>
        </w:rPr>
        <w:t>2</w:t>
      </w:r>
      <w:r w:rsidR="007D6DB4" w:rsidRPr="003C791D">
        <w:rPr>
          <w:rFonts w:ascii="Calibri" w:eastAsia="Calibri" w:hAnsi="Calibri"/>
        </w:rPr>
        <w:t>0 data to the six race categories comprising the post-Census 20</w:t>
      </w:r>
      <w:r w:rsidR="00CD2339" w:rsidRPr="003F474D">
        <w:rPr>
          <w:rFonts w:ascii="Calibri" w:eastAsia="Calibri" w:hAnsi="Calibri"/>
        </w:rPr>
        <w:t>2</w:t>
      </w:r>
      <w:r w:rsidR="007D6DB4" w:rsidRPr="003F474D">
        <w:rPr>
          <w:rFonts w:ascii="Calibri" w:eastAsia="Calibri" w:hAnsi="Calibri"/>
        </w:rPr>
        <w:t>0 county-level age/sex/race/ethnicity estimates</w:t>
      </w:r>
      <w:r w:rsidR="00886739" w:rsidRPr="003F474D">
        <w:rPr>
          <w:rFonts w:ascii="Calibri" w:eastAsia="Calibri" w:hAnsi="Calibri"/>
        </w:rPr>
        <w:t xml:space="preserve">. </w:t>
      </w:r>
      <w:r w:rsidR="007D6DB4" w:rsidRPr="003F474D">
        <w:rPr>
          <w:rFonts w:ascii="Calibri" w:eastAsia="Calibri" w:hAnsi="Calibri"/>
        </w:rPr>
        <w:t xml:space="preserve">We do this because “Some other race” is not technically a race category recognized by the Office of Management and Budget (OMB), but rather a survey response category. </w:t>
      </w:r>
      <w:r w:rsidR="007F5857">
        <w:rPr>
          <w:rFonts w:ascii="Calibri" w:eastAsia="Calibri" w:hAnsi="Calibri"/>
        </w:rPr>
        <w:t>R</w:t>
      </w:r>
      <w:r w:rsidR="007D6DB4" w:rsidRPr="003F474D">
        <w:rPr>
          <w:rFonts w:ascii="Calibri" w:eastAsia="Calibri" w:hAnsi="Calibri"/>
        </w:rPr>
        <w:t xml:space="preserve">e-assigning the “Some other race” category also allows our model to correspond </w:t>
      </w:r>
      <w:r w:rsidR="007D6DB4" w:rsidRPr="003F474D">
        <w:rPr>
          <w:rFonts w:ascii="Calibri" w:eastAsia="Calibri" w:hAnsi="Calibri"/>
        </w:rPr>
        <w:lastRenderedPageBreak/>
        <w:t>fully to the county-level age/sex/race/ethnicity population estimates that the Census Bureau updates on an annual basis</w:t>
      </w:r>
      <w:r w:rsidR="007F5857">
        <w:rPr>
          <w:rFonts w:ascii="Calibri" w:eastAsia="Calibri" w:hAnsi="Calibri"/>
        </w:rPr>
        <w:t xml:space="preserve"> and, more critically, </w:t>
      </w:r>
      <w:r w:rsidR="00616BE0">
        <w:rPr>
          <w:rFonts w:ascii="Calibri" w:eastAsia="Calibri" w:hAnsi="Calibri"/>
        </w:rPr>
        <w:t>to conform to the race categories reported by MA DPH</w:t>
      </w:r>
      <w:r w:rsidR="00886739" w:rsidRPr="003F474D">
        <w:rPr>
          <w:rFonts w:ascii="Calibri" w:eastAsia="Calibri" w:hAnsi="Calibri"/>
        </w:rPr>
        <w:t xml:space="preserve">. </w:t>
      </w:r>
      <w:r w:rsidR="007D6DB4" w:rsidRPr="003F474D">
        <w:rPr>
          <w:rFonts w:ascii="Calibri" w:eastAsia="Calibri" w:hAnsi="Calibri"/>
        </w:rPr>
        <w:t xml:space="preserve">Finally, inconsistencies in “Some other race” reporting from census to census </w:t>
      </w:r>
      <w:r w:rsidR="00A951C8" w:rsidRPr="00337E52">
        <w:rPr>
          <w:rFonts w:ascii="Calibri" w:eastAsia="Calibri" w:hAnsi="Calibri"/>
        </w:rPr>
        <w:t>had caused</w:t>
      </w:r>
      <w:r w:rsidR="007D6DB4" w:rsidRPr="00337E52">
        <w:rPr>
          <w:rFonts w:ascii="Calibri" w:eastAsia="Calibri" w:hAnsi="Calibri"/>
        </w:rPr>
        <w:t xml:space="preserve"> large errors in model testing</w:t>
      </w:r>
      <w:r w:rsidR="00E3135E" w:rsidRPr="00337E52">
        <w:rPr>
          <w:rFonts w:ascii="Calibri" w:eastAsia="Calibri" w:hAnsi="Calibri"/>
        </w:rPr>
        <w:t xml:space="preserve"> in</w:t>
      </w:r>
      <w:r w:rsidR="00220921" w:rsidRPr="00337E52">
        <w:rPr>
          <w:rFonts w:ascii="Calibri" w:eastAsia="Calibri" w:hAnsi="Calibri"/>
        </w:rPr>
        <w:t xml:space="preserve"> our </w:t>
      </w:r>
      <w:r w:rsidR="009D38E7" w:rsidRPr="00337E52">
        <w:rPr>
          <w:rFonts w:ascii="Calibri" w:eastAsia="Calibri" w:hAnsi="Calibri"/>
        </w:rPr>
        <w:t>V</w:t>
      </w:r>
      <w:r w:rsidR="00AD2602" w:rsidRPr="00337E52">
        <w:rPr>
          <w:rFonts w:ascii="Calibri" w:eastAsia="Calibri" w:hAnsi="Calibri"/>
        </w:rPr>
        <w:t>2017</w:t>
      </w:r>
      <w:r w:rsidR="00553AC7" w:rsidRPr="00337E52">
        <w:rPr>
          <w:rFonts w:ascii="Calibri" w:eastAsia="Calibri" w:hAnsi="Calibri"/>
        </w:rPr>
        <w:t xml:space="preserve"> pro</w:t>
      </w:r>
      <w:r w:rsidR="009D38E7" w:rsidRPr="00337E52">
        <w:rPr>
          <w:rFonts w:ascii="Calibri" w:eastAsia="Calibri" w:hAnsi="Calibri"/>
        </w:rPr>
        <w:t>jections to 2020</w:t>
      </w:r>
      <w:r w:rsidR="007D6DB4" w:rsidRPr="002A5AAF">
        <w:rPr>
          <w:rFonts w:ascii="Calibri" w:eastAsia="Calibri" w:hAnsi="Calibri"/>
        </w:rPr>
        <w:t>, the highest among all race groups tested, indicating instability in this reporting category from census to census.</w:t>
      </w:r>
    </w:p>
    <w:p w14:paraId="5D0756CF" w14:textId="50C8EE4F" w:rsidR="007D6DB4" w:rsidRPr="005C4C7E" w:rsidRDefault="007D6DB4" w:rsidP="007D6DB4">
      <w:pPr>
        <w:spacing w:line="240" w:lineRule="auto"/>
        <w:rPr>
          <w:rFonts w:ascii="Calibri" w:eastAsia="Calibri" w:hAnsi="Calibri"/>
        </w:rPr>
      </w:pPr>
      <w:r w:rsidRPr="005C4C7E">
        <w:rPr>
          <w:rFonts w:ascii="Calibri" w:eastAsia="Calibri" w:hAnsi="Calibri"/>
        </w:rPr>
        <w:t>We re-assign the “Some other race” populations by age/sex/</w:t>
      </w:r>
      <w:r w:rsidR="00664178" w:rsidRPr="005C4C7E">
        <w:rPr>
          <w:rFonts w:ascii="Calibri" w:eastAsia="Calibri" w:hAnsi="Calibri"/>
        </w:rPr>
        <w:t>ethnicity/</w:t>
      </w:r>
      <w:r w:rsidRPr="005C4C7E">
        <w:rPr>
          <w:rFonts w:ascii="Calibri" w:eastAsia="Calibri" w:hAnsi="Calibri"/>
        </w:rPr>
        <w:t>geography to the six major race categories using percentage allocations created from the Census Bureau’s Modified Race Summary File</w:t>
      </w:r>
      <w:r w:rsidR="0061380C" w:rsidRPr="005C4C7E">
        <w:rPr>
          <w:rStyle w:val="FootnoteReference"/>
          <w:rFonts w:ascii="Calibri" w:eastAsia="Calibri" w:hAnsi="Calibri"/>
        </w:rPr>
        <w:footnoteReference w:id="24"/>
      </w:r>
      <w:r w:rsidR="00C94D04" w:rsidRPr="005C4C7E">
        <w:rPr>
          <w:rFonts w:ascii="Calibri" w:eastAsia="Calibri" w:hAnsi="Calibri"/>
        </w:rPr>
        <w:t xml:space="preserve"> </w:t>
      </w:r>
      <w:r w:rsidR="0014050F" w:rsidRPr="005C4C7E">
        <w:rPr>
          <w:rFonts w:ascii="Calibri" w:eastAsia="Calibri" w:hAnsi="Calibri"/>
        </w:rPr>
        <w:t xml:space="preserve">for 2010 data </w:t>
      </w:r>
      <w:r w:rsidR="00C94D04" w:rsidRPr="005C4C7E">
        <w:rPr>
          <w:rFonts w:ascii="Calibri" w:eastAsia="Calibri" w:hAnsi="Calibri"/>
        </w:rPr>
        <w:t xml:space="preserve">and </w:t>
      </w:r>
      <w:r w:rsidR="00E86142" w:rsidRPr="005C4C7E">
        <w:rPr>
          <w:rFonts w:ascii="Calibri" w:eastAsia="Calibri" w:hAnsi="Calibri"/>
        </w:rPr>
        <w:t xml:space="preserve">the Modified Age and Race </w:t>
      </w:r>
      <w:r w:rsidR="006E12E6" w:rsidRPr="005C4C7E">
        <w:rPr>
          <w:rFonts w:ascii="Calibri" w:eastAsia="Calibri" w:hAnsi="Calibri"/>
        </w:rPr>
        <w:t>Census (MARC) file</w:t>
      </w:r>
      <w:r w:rsidR="002E54A2" w:rsidRPr="005C4C7E">
        <w:rPr>
          <w:rStyle w:val="FootnoteReference"/>
          <w:rFonts w:ascii="Calibri" w:eastAsia="Calibri" w:hAnsi="Calibri"/>
        </w:rPr>
        <w:footnoteReference w:id="25"/>
      </w:r>
      <w:r w:rsidR="0014050F" w:rsidRPr="005C4C7E">
        <w:rPr>
          <w:rFonts w:ascii="Calibri" w:eastAsia="Calibri" w:hAnsi="Calibri"/>
        </w:rPr>
        <w:t xml:space="preserve"> for 2020 data</w:t>
      </w:r>
      <w:r w:rsidRPr="005C4C7E">
        <w:rPr>
          <w:rFonts w:ascii="Calibri" w:eastAsia="Calibri" w:hAnsi="Calibri"/>
        </w:rPr>
        <w:t>. Our method</w:t>
      </w:r>
      <w:r w:rsidR="00035E9E" w:rsidRPr="005C4C7E">
        <w:rPr>
          <w:rFonts w:ascii="Calibri" w:eastAsia="Calibri" w:hAnsi="Calibri"/>
        </w:rPr>
        <w:t xml:space="preserve"> </w:t>
      </w:r>
      <w:r w:rsidRPr="005C4C7E">
        <w:rPr>
          <w:rFonts w:ascii="Calibri" w:eastAsia="Calibri" w:hAnsi="Calibri"/>
        </w:rPr>
        <w:t xml:space="preserve">assumes that each sub-county geography’s race reassignment percentages are the same as the parent county’s reassignment percentage. Regarding this assumption, Census Bureau staff advised that within a state the reassignment will not vary much by geography and that the even finer county-level files should be sufficient barring any unusual circumstances. </w:t>
      </w:r>
    </w:p>
    <w:p w14:paraId="1BDB70EB" w14:textId="310977C8" w:rsidR="00844DE4" w:rsidRPr="00DE5A84" w:rsidRDefault="007D6DB4" w:rsidP="007D6DB4">
      <w:pPr>
        <w:spacing w:line="240" w:lineRule="auto"/>
        <w:rPr>
          <w:rFonts w:ascii="Calibri" w:eastAsia="Calibri" w:hAnsi="Calibri"/>
        </w:rPr>
      </w:pPr>
      <w:r w:rsidRPr="002A5AAF">
        <w:rPr>
          <w:rFonts w:ascii="Calibri" w:eastAsia="Calibri" w:hAnsi="Calibri"/>
        </w:rPr>
        <w:t xml:space="preserve">To apply </w:t>
      </w:r>
      <w:r w:rsidRPr="00CC167B">
        <w:rPr>
          <w:rFonts w:ascii="Calibri" w:eastAsia="Calibri" w:hAnsi="Calibri"/>
        </w:rPr>
        <w:t xml:space="preserve">the </w:t>
      </w:r>
      <w:r w:rsidR="004D72EE">
        <w:rPr>
          <w:rFonts w:ascii="Calibri" w:eastAsia="Calibri" w:hAnsi="Calibri"/>
        </w:rPr>
        <w:t xml:space="preserve">2010 </w:t>
      </w:r>
      <w:r w:rsidRPr="00CC167B">
        <w:rPr>
          <w:rFonts w:ascii="Calibri" w:eastAsia="Calibri" w:hAnsi="Calibri"/>
        </w:rPr>
        <w:t>modified race file, we compare each age/sex/race/ethnicity population in the Census</w:t>
      </w:r>
      <w:r w:rsidR="00267244">
        <w:rPr>
          <w:rFonts w:ascii="Calibri" w:eastAsia="Calibri" w:hAnsi="Calibri"/>
        </w:rPr>
        <w:t xml:space="preserve"> 2010</w:t>
      </w:r>
      <w:r w:rsidRPr="00CC167B">
        <w:rPr>
          <w:rFonts w:ascii="Calibri" w:eastAsia="Calibri" w:hAnsi="Calibri"/>
        </w:rPr>
        <w:t xml:space="preserve"> SF1 </w:t>
      </w:r>
      <w:r w:rsidR="001933EA" w:rsidRPr="00CC167B">
        <w:rPr>
          <w:rFonts w:ascii="Calibri" w:eastAsia="Calibri" w:hAnsi="Calibri"/>
        </w:rPr>
        <w:t xml:space="preserve">and Census </w:t>
      </w:r>
      <w:r w:rsidR="001933EA" w:rsidRPr="00CC167B">
        <w:rPr>
          <w:rFonts w:eastAsia="Calibri" w:cstheme="minorHAnsi"/>
        </w:rPr>
        <w:t xml:space="preserve">2020 DHC-A </w:t>
      </w:r>
      <w:r w:rsidRPr="00CC167B">
        <w:rPr>
          <w:rFonts w:ascii="Calibri" w:eastAsia="Calibri" w:hAnsi="Calibri"/>
        </w:rPr>
        <w:t>county file</w:t>
      </w:r>
      <w:r w:rsidR="001933EA" w:rsidRPr="00CC167B">
        <w:rPr>
          <w:rFonts w:ascii="Calibri" w:eastAsia="Calibri" w:hAnsi="Calibri"/>
        </w:rPr>
        <w:t>s</w:t>
      </w:r>
      <w:r w:rsidRPr="00CC167B">
        <w:rPr>
          <w:rFonts w:ascii="Calibri" w:eastAsia="Calibri" w:hAnsi="Calibri"/>
        </w:rPr>
        <w:t xml:space="preserve"> to the</w:t>
      </w:r>
      <w:r w:rsidRPr="004E4493">
        <w:rPr>
          <w:rFonts w:ascii="Calibri" w:eastAsia="Calibri" w:hAnsi="Calibri"/>
        </w:rPr>
        <w:t xml:space="preserve"> age/sex/race/ethnicity population in the </w:t>
      </w:r>
      <w:r w:rsidR="00267244">
        <w:rPr>
          <w:rFonts w:ascii="Calibri" w:eastAsia="Calibri" w:hAnsi="Calibri"/>
        </w:rPr>
        <w:t xml:space="preserve">corresponding </w:t>
      </w:r>
      <w:r w:rsidRPr="004E4493">
        <w:rPr>
          <w:rFonts w:ascii="Calibri" w:eastAsia="Calibri" w:hAnsi="Calibri"/>
        </w:rPr>
        <w:t>modified county file, in which all “Some other race” populations have been re-assigned, and calculate a ratio between the two</w:t>
      </w:r>
      <w:r w:rsidR="00096CC1">
        <w:rPr>
          <w:rStyle w:val="FootnoteReference"/>
          <w:rFonts w:ascii="Calibri" w:eastAsia="Calibri" w:hAnsi="Calibri"/>
        </w:rPr>
        <w:footnoteReference w:id="26"/>
      </w:r>
      <w:r w:rsidRPr="004E4493">
        <w:rPr>
          <w:rFonts w:ascii="Calibri" w:eastAsia="Calibri" w:hAnsi="Calibri"/>
        </w:rPr>
        <w:t xml:space="preserve">. We then apply each age/sex/race/ethnicity/county-specific ratio to the corresponding age/sex/race/ethnicity cohorts within each county. Because processing these ratios within </w:t>
      </w:r>
      <w:r w:rsidR="00164C92" w:rsidRPr="00DE5A84">
        <w:rPr>
          <w:rFonts w:ascii="Calibri" w:eastAsia="Calibri" w:hAnsi="Calibri"/>
        </w:rPr>
        <w:t>statistical software</w:t>
      </w:r>
      <w:r w:rsidRPr="004E4493">
        <w:rPr>
          <w:rFonts w:ascii="Calibri" w:eastAsia="Calibri" w:hAnsi="Calibri"/>
        </w:rPr>
        <w:t xml:space="preserve"> includes some decimal rounding, there is some difference between the final “modified” race totals and the original SF1 race totals, however these differences due to rounding average less than one person total per town.</w:t>
      </w:r>
    </w:p>
    <w:p w14:paraId="4B8D9DF5" w14:textId="77197220" w:rsidR="007A64AD" w:rsidRDefault="005C5342" w:rsidP="007D6DB4">
      <w:pPr>
        <w:spacing w:line="240" w:lineRule="auto"/>
        <w:rPr>
          <w:rFonts w:ascii="Calibri" w:eastAsia="Calibri" w:hAnsi="Calibri"/>
        </w:rPr>
      </w:pPr>
      <w:r w:rsidRPr="00754FA8">
        <w:rPr>
          <w:rFonts w:ascii="Calibri" w:eastAsia="Calibri" w:hAnsi="Calibri"/>
        </w:rPr>
        <w:t xml:space="preserve">At the tract level, after </w:t>
      </w:r>
      <w:r w:rsidR="00746AFE" w:rsidRPr="00754FA8">
        <w:rPr>
          <w:rFonts w:ascii="Calibri" w:eastAsia="Calibri" w:hAnsi="Calibri"/>
        </w:rPr>
        <w:t xml:space="preserve">redistributing </w:t>
      </w:r>
      <w:r w:rsidR="00E31522">
        <w:rPr>
          <w:rFonts w:ascii="Calibri" w:eastAsia="Calibri" w:hAnsi="Calibri"/>
        </w:rPr>
        <w:t>“S</w:t>
      </w:r>
      <w:r w:rsidR="00746AFE" w:rsidRPr="00754FA8">
        <w:rPr>
          <w:rFonts w:ascii="Calibri" w:eastAsia="Calibri" w:hAnsi="Calibri"/>
        </w:rPr>
        <w:t>ome other race</w:t>
      </w:r>
      <w:r w:rsidR="00E31522">
        <w:rPr>
          <w:rFonts w:ascii="Calibri" w:eastAsia="Calibri" w:hAnsi="Calibri"/>
        </w:rPr>
        <w:t>”</w:t>
      </w:r>
      <w:r w:rsidR="00746AFE" w:rsidRPr="00754FA8">
        <w:rPr>
          <w:rFonts w:ascii="Calibri" w:eastAsia="Calibri" w:hAnsi="Calibri"/>
        </w:rPr>
        <w:t xml:space="preserve">, </w:t>
      </w:r>
      <w:r w:rsidR="002640A4" w:rsidRPr="00754FA8">
        <w:rPr>
          <w:rFonts w:ascii="Calibri" w:eastAsia="Calibri" w:hAnsi="Calibri"/>
        </w:rPr>
        <w:t xml:space="preserve">each </w:t>
      </w:r>
      <w:r w:rsidR="0082281F" w:rsidRPr="00754FA8">
        <w:rPr>
          <w:rFonts w:ascii="Calibri" w:eastAsia="Calibri" w:hAnsi="Calibri"/>
        </w:rPr>
        <w:t xml:space="preserve">2010 </w:t>
      </w:r>
      <w:r w:rsidR="002640A4" w:rsidRPr="00754FA8">
        <w:rPr>
          <w:rFonts w:ascii="Calibri" w:eastAsia="Calibri" w:hAnsi="Calibri"/>
        </w:rPr>
        <w:t>age/sex/race/ethnicity</w:t>
      </w:r>
      <w:r w:rsidR="0082281F" w:rsidRPr="00754FA8">
        <w:rPr>
          <w:rFonts w:ascii="Calibri" w:eastAsia="Calibri" w:hAnsi="Calibri"/>
        </w:rPr>
        <w:t xml:space="preserve"> </w:t>
      </w:r>
      <w:r w:rsidR="00634833" w:rsidRPr="00754FA8">
        <w:rPr>
          <w:rFonts w:ascii="Calibri" w:eastAsia="Calibri" w:hAnsi="Calibri"/>
        </w:rPr>
        <w:t>population</w:t>
      </w:r>
      <w:r w:rsidR="0082281F" w:rsidRPr="00754FA8">
        <w:rPr>
          <w:rFonts w:ascii="Calibri" w:eastAsia="Calibri" w:hAnsi="Calibri"/>
        </w:rPr>
        <w:t xml:space="preserve"> </w:t>
      </w:r>
      <w:r w:rsidR="006845C8">
        <w:rPr>
          <w:rFonts w:ascii="Calibri" w:eastAsia="Calibri" w:hAnsi="Calibri"/>
        </w:rPr>
        <w:t>i</w:t>
      </w:r>
      <w:r w:rsidR="0082281F" w:rsidRPr="00754FA8">
        <w:rPr>
          <w:rFonts w:ascii="Calibri" w:eastAsia="Calibri" w:hAnsi="Calibri"/>
        </w:rPr>
        <w:t>s</w:t>
      </w:r>
      <w:r w:rsidR="00634833" w:rsidRPr="00754FA8">
        <w:rPr>
          <w:rFonts w:ascii="Calibri" w:eastAsia="Calibri" w:hAnsi="Calibri"/>
        </w:rPr>
        <w:t xml:space="preserve"> </w:t>
      </w:r>
      <w:r w:rsidR="001F2B27" w:rsidRPr="00754FA8">
        <w:rPr>
          <w:rFonts w:ascii="Calibri" w:eastAsia="Calibri" w:hAnsi="Calibri"/>
        </w:rPr>
        <w:t>distributed to</w:t>
      </w:r>
      <w:r w:rsidR="00634833" w:rsidRPr="00754FA8">
        <w:rPr>
          <w:rFonts w:ascii="Calibri" w:eastAsia="Calibri" w:hAnsi="Calibri"/>
        </w:rPr>
        <w:t xml:space="preserve"> 2020 geographies</w:t>
      </w:r>
      <w:r w:rsidR="005D1C6A" w:rsidRPr="00754FA8">
        <w:rPr>
          <w:rFonts w:ascii="Calibri" w:eastAsia="Calibri" w:hAnsi="Calibri"/>
        </w:rPr>
        <w:t xml:space="preserve"> by using the </w:t>
      </w:r>
      <w:r w:rsidR="003B180F" w:rsidRPr="00754FA8">
        <w:rPr>
          <w:rFonts w:ascii="Calibri" w:eastAsia="Calibri" w:hAnsi="Calibri"/>
        </w:rPr>
        <w:t>NHGIS</w:t>
      </w:r>
      <w:r w:rsidR="009B1E9C" w:rsidRPr="00754FA8">
        <w:rPr>
          <w:rFonts w:ascii="Calibri" w:eastAsia="Calibri" w:hAnsi="Calibri"/>
        </w:rPr>
        <w:t xml:space="preserve"> </w:t>
      </w:r>
      <w:r w:rsidR="00F979FE" w:rsidRPr="00754FA8">
        <w:rPr>
          <w:rFonts w:ascii="Calibri" w:eastAsia="Calibri" w:hAnsi="Calibri"/>
        </w:rPr>
        <w:t xml:space="preserve">2010-2020 </w:t>
      </w:r>
      <w:r w:rsidR="009B1E9C" w:rsidRPr="00754FA8">
        <w:rPr>
          <w:rFonts w:ascii="Calibri" w:eastAsia="Calibri" w:hAnsi="Calibri"/>
        </w:rPr>
        <w:t>tract crosswalk</w:t>
      </w:r>
      <w:r w:rsidR="00C131A4" w:rsidRPr="00754FA8">
        <w:rPr>
          <w:rFonts w:ascii="Calibri" w:eastAsia="Calibri" w:hAnsi="Calibri"/>
        </w:rPr>
        <w:t xml:space="preserve"> published in June 202</w:t>
      </w:r>
      <w:r w:rsidR="00877B75" w:rsidRPr="00754FA8">
        <w:rPr>
          <w:rFonts w:ascii="Calibri" w:eastAsia="Calibri" w:hAnsi="Calibri"/>
        </w:rPr>
        <w:t>4.</w:t>
      </w:r>
      <w:r w:rsidR="00966410">
        <w:rPr>
          <w:rStyle w:val="FootnoteReference"/>
          <w:rFonts w:ascii="Calibri" w:eastAsia="Calibri" w:hAnsi="Calibri"/>
        </w:rPr>
        <w:footnoteReference w:id="27"/>
      </w:r>
      <w:r w:rsidR="00B474D5" w:rsidRPr="00754FA8">
        <w:rPr>
          <w:rFonts w:ascii="Calibri" w:eastAsia="Calibri" w:hAnsi="Calibri"/>
        </w:rPr>
        <w:t xml:space="preserve"> </w:t>
      </w:r>
    </w:p>
    <w:p w14:paraId="0848838C" w14:textId="178C5298" w:rsidR="00F21588" w:rsidRPr="00F21588" w:rsidRDefault="00B2753C" w:rsidP="00F21588">
      <w:pPr>
        <w:spacing w:line="240" w:lineRule="auto"/>
        <w:rPr>
          <w:rFonts w:ascii="Calibri" w:eastAsia="Calibri" w:hAnsi="Calibri"/>
        </w:rPr>
      </w:pPr>
      <w:r>
        <w:rPr>
          <w:rFonts w:ascii="Calibri" w:eastAsia="Calibri" w:hAnsi="Calibri"/>
        </w:rPr>
        <w:t xml:space="preserve">Applying the </w:t>
      </w:r>
      <w:r w:rsidR="007F3ED0">
        <w:rPr>
          <w:rFonts w:ascii="Calibri" w:eastAsia="Calibri" w:hAnsi="Calibri"/>
        </w:rPr>
        <w:t xml:space="preserve">2020 MARC file follows a similar </w:t>
      </w:r>
      <w:r w:rsidR="00920DFA">
        <w:rPr>
          <w:rFonts w:ascii="Calibri" w:eastAsia="Calibri" w:hAnsi="Calibri"/>
        </w:rPr>
        <w:t>process but</w:t>
      </w:r>
      <w:r w:rsidR="007F3ED0">
        <w:rPr>
          <w:rFonts w:ascii="Calibri" w:eastAsia="Calibri" w:hAnsi="Calibri"/>
        </w:rPr>
        <w:t xml:space="preserve"> </w:t>
      </w:r>
      <w:r w:rsidR="00DA60E7">
        <w:rPr>
          <w:rFonts w:ascii="Calibri" w:eastAsia="Calibri" w:hAnsi="Calibri"/>
        </w:rPr>
        <w:t xml:space="preserve">includes </w:t>
      </w:r>
      <w:r w:rsidR="007F3ED0">
        <w:rPr>
          <w:rFonts w:ascii="Calibri" w:eastAsia="Calibri" w:hAnsi="Calibri"/>
        </w:rPr>
        <w:t xml:space="preserve">some additional steps </w:t>
      </w:r>
      <w:r w:rsidR="00FA52CC">
        <w:rPr>
          <w:rFonts w:ascii="Calibri" w:eastAsia="Calibri" w:hAnsi="Calibri"/>
        </w:rPr>
        <w:t xml:space="preserve">due to </w:t>
      </w:r>
      <w:r w:rsidR="00E4699D">
        <w:rPr>
          <w:rFonts w:ascii="Calibri" w:eastAsia="Calibri" w:hAnsi="Calibri"/>
        </w:rPr>
        <w:t>changes</w:t>
      </w:r>
      <w:r w:rsidR="0061744F">
        <w:rPr>
          <w:rFonts w:ascii="Calibri" w:eastAsia="Calibri" w:hAnsi="Calibri"/>
        </w:rPr>
        <w:t xml:space="preserve"> in the content</w:t>
      </w:r>
      <w:r w:rsidR="003B1B36">
        <w:rPr>
          <w:rFonts w:ascii="Calibri" w:eastAsia="Calibri" w:hAnsi="Calibri"/>
        </w:rPr>
        <w:t xml:space="preserve"> and processing</w:t>
      </w:r>
      <w:r w:rsidR="0061744F">
        <w:rPr>
          <w:rFonts w:ascii="Calibri" w:eastAsia="Calibri" w:hAnsi="Calibri"/>
        </w:rPr>
        <w:t xml:space="preserve"> </w:t>
      </w:r>
      <w:r w:rsidR="005762E9">
        <w:rPr>
          <w:rFonts w:ascii="Calibri" w:eastAsia="Calibri" w:hAnsi="Calibri"/>
        </w:rPr>
        <w:t xml:space="preserve">of </w:t>
      </w:r>
      <w:r w:rsidR="005D06C0">
        <w:rPr>
          <w:rFonts w:ascii="Calibri" w:eastAsia="Calibri" w:hAnsi="Calibri"/>
        </w:rPr>
        <w:t xml:space="preserve">this modified race file from </w:t>
      </w:r>
      <w:r w:rsidR="00DA60E7">
        <w:rPr>
          <w:rFonts w:ascii="Calibri" w:eastAsia="Calibri" w:hAnsi="Calibri"/>
        </w:rPr>
        <w:t xml:space="preserve">versions </w:t>
      </w:r>
      <w:r w:rsidR="001A21ED">
        <w:rPr>
          <w:rFonts w:ascii="Calibri" w:eastAsia="Calibri" w:hAnsi="Calibri"/>
        </w:rPr>
        <w:t xml:space="preserve">the Census Bureau </w:t>
      </w:r>
      <w:r w:rsidR="002B7B93">
        <w:rPr>
          <w:rFonts w:ascii="Calibri" w:eastAsia="Calibri" w:hAnsi="Calibri"/>
        </w:rPr>
        <w:t xml:space="preserve">produced </w:t>
      </w:r>
      <w:r w:rsidR="007A77DB">
        <w:rPr>
          <w:rFonts w:ascii="Calibri" w:eastAsia="Calibri" w:hAnsi="Calibri"/>
        </w:rPr>
        <w:t>for previous Census years</w:t>
      </w:r>
      <w:r w:rsidR="002776B4">
        <w:rPr>
          <w:rFonts w:ascii="Calibri" w:eastAsia="Calibri" w:hAnsi="Calibri"/>
        </w:rPr>
        <w:t>.</w:t>
      </w:r>
      <w:r w:rsidR="00F21588">
        <w:rPr>
          <w:rFonts w:ascii="Calibri" w:eastAsia="Calibri" w:hAnsi="Calibri"/>
        </w:rPr>
        <w:t xml:space="preserve"> </w:t>
      </w:r>
      <w:r w:rsidR="00F21588" w:rsidRPr="00F21588">
        <w:rPr>
          <w:rFonts w:ascii="Calibri" w:eastAsia="Calibri" w:hAnsi="Calibri"/>
        </w:rPr>
        <w:t xml:space="preserve">Unlike in previous decades’ </w:t>
      </w:r>
      <w:r w:rsidR="00EA1C83">
        <w:rPr>
          <w:rFonts w:ascii="Calibri" w:eastAsia="Calibri" w:hAnsi="Calibri"/>
        </w:rPr>
        <w:t>Modified Race Summary</w:t>
      </w:r>
      <w:r w:rsidR="00F21588" w:rsidRPr="00F21588">
        <w:rPr>
          <w:rFonts w:ascii="Calibri" w:eastAsia="Calibri" w:hAnsi="Calibri"/>
        </w:rPr>
        <w:t xml:space="preserve"> files, which re-codes Census “</w:t>
      </w:r>
      <w:r w:rsidR="004E3BB1">
        <w:rPr>
          <w:rFonts w:ascii="Calibri" w:eastAsia="Calibri" w:hAnsi="Calibri"/>
        </w:rPr>
        <w:t>S</w:t>
      </w:r>
      <w:r w:rsidR="00F21588" w:rsidRPr="00F21588">
        <w:rPr>
          <w:rFonts w:ascii="Calibri" w:eastAsia="Calibri" w:hAnsi="Calibri"/>
        </w:rPr>
        <w:t xml:space="preserve">ome other race” data for 5-year age groups, the 2020 MARC file was published in single-year age groups and also corrects for “age heaping”. This is </w:t>
      </w:r>
      <w:r w:rsidR="00347E9C">
        <w:rPr>
          <w:rFonts w:ascii="Calibri" w:eastAsia="Calibri" w:hAnsi="Calibri"/>
        </w:rPr>
        <w:t xml:space="preserve">a </w:t>
      </w:r>
      <w:r w:rsidR="00F21588" w:rsidRPr="00F21588">
        <w:rPr>
          <w:rFonts w:ascii="Calibri" w:eastAsia="Calibri" w:hAnsi="Calibri"/>
        </w:rPr>
        <w:t xml:space="preserve">phenomenon where some reported ages—usually ones that end in a 5 or a 0-- have artificially high populations in </w:t>
      </w:r>
      <w:r w:rsidR="00034CD7">
        <w:rPr>
          <w:rFonts w:ascii="Calibri" w:eastAsia="Calibri" w:hAnsi="Calibri"/>
        </w:rPr>
        <w:t>the C</w:t>
      </w:r>
      <w:r w:rsidR="00F21588" w:rsidRPr="00F21588">
        <w:rPr>
          <w:rFonts w:ascii="Calibri" w:eastAsia="Calibri" w:hAnsi="Calibri"/>
        </w:rPr>
        <w:t xml:space="preserve">ensus data. It </w:t>
      </w:r>
      <w:r w:rsidR="00CE2555">
        <w:rPr>
          <w:rFonts w:ascii="Calibri" w:eastAsia="Calibri" w:hAnsi="Calibri"/>
        </w:rPr>
        <w:t>can occur</w:t>
      </w:r>
      <w:r w:rsidR="00F21588" w:rsidRPr="00F21588">
        <w:rPr>
          <w:rFonts w:ascii="Calibri" w:eastAsia="Calibri" w:hAnsi="Calibri"/>
        </w:rPr>
        <w:t xml:space="preserve"> when Census takers rely on neighbors to estimate the age of a person who has not filled out their own Census</w:t>
      </w:r>
      <w:r w:rsidR="00CE2555">
        <w:rPr>
          <w:rFonts w:ascii="Calibri" w:eastAsia="Calibri" w:hAnsi="Calibri"/>
        </w:rPr>
        <w:t xml:space="preserve"> or when a responder </w:t>
      </w:r>
      <w:r w:rsidR="00AB4878">
        <w:rPr>
          <w:rFonts w:ascii="Calibri" w:eastAsia="Calibri" w:hAnsi="Calibri"/>
        </w:rPr>
        <w:t xml:space="preserve">approximates the age of a household member rather than </w:t>
      </w:r>
      <w:r w:rsidR="002D09CB">
        <w:rPr>
          <w:rFonts w:ascii="Calibri" w:eastAsia="Calibri" w:hAnsi="Calibri"/>
        </w:rPr>
        <w:t>specifying a birth date</w:t>
      </w:r>
      <w:r w:rsidR="00F21588" w:rsidRPr="00F21588">
        <w:rPr>
          <w:rFonts w:ascii="Calibri" w:eastAsia="Calibri" w:hAnsi="Calibri"/>
        </w:rPr>
        <w:t>. To rectify this in the MARC file, the Census</w:t>
      </w:r>
      <w:r w:rsidR="003952DD">
        <w:rPr>
          <w:rFonts w:ascii="Calibri" w:eastAsia="Calibri" w:hAnsi="Calibri"/>
        </w:rPr>
        <w:t xml:space="preserve"> Bureau</w:t>
      </w:r>
      <w:r w:rsidR="00F21588" w:rsidRPr="00F21588">
        <w:rPr>
          <w:rFonts w:ascii="Calibri" w:eastAsia="Calibri" w:hAnsi="Calibri"/>
        </w:rPr>
        <w:t xml:space="preserve"> identified and mathematically distributed </w:t>
      </w:r>
      <w:r w:rsidR="00ED79CD">
        <w:rPr>
          <w:rFonts w:ascii="Calibri" w:eastAsia="Calibri" w:hAnsi="Calibri"/>
        </w:rPr>
        <w:t xml:space="preserve">the </w:t>
      </w:r>
      <w:r w:rsidR="0016099A">
        <w:rPr>
          <w:rFonts w:ascii="Calibri" w:eastAsia="Calibri" w:hAnsi="Calibri"/>
        </w:rPr>
        <w:t xml:space="preserve">“age only” </w:t>
      </w:r>
      <w:r w:rsidR="00ED79CD">
        <w:rPr>
          <w:rFonts w:ascii="Calibri" w:eastAsia="Calibri" w:hAnsi="Calibri"/>
        </w:rPr>
        <w:t xml:space="preserve">response </w:t>
      </w:r>
      <w:r w:rsidR="00F21588" w:rsidRPr="00F21588">
        <w:rPr>
          <w:rFonts w:ascii="Calibri" w:eastAsia="Calibri" w:hAnsi="Calibri"/>
        </w:rPr>
        <w:t xml:space="preserve">records that were contributing to age heaping. This age redistribution means that the county age/sex cohort populations and age/sex/ethnicity for the 5-year of age in Census 2020 and the </w:t>
      </w:r>
      <w:r w:rsidR="00F21588" w:rsidRPr="00F21588">
        <w:rPr>
          <w:rFonts w:ascii="Calibri" w:eastAsia="Calibri" w:hAnsi="Calibri"/>
        </w:rPr>
        <w:lastRenderedPageBreak/>
        <w:t xml:space="preserve">2020 MARC file are, unlike previous decades, no longer equal. Our usual process to develop the race-bridging multipliers used to re-code “some other race” at the tract level is based on having equivalent age/sex/ethnicity cohorts between the race bridging file and Census 2020 at the county level for use as denominators. Because these populations no longer match, we first must control the 2020 MARC populations to the Census 2020 county populations by age and sex. Next, we calculate the </w:t>
      </w:r>
      <w:r w:rsidR="00331E60">
        <w:rPr>
          <w:rFonts w:ascii="Calibri" w:eastAsia="Calibri" w:hAnsi="Calibri"/>
        </w:rPr>
        <w:t xml:space="preserve">share </w:t>
      </w:r>
      <w:r w:rsidR="00331E60" w:rsidRPr="00F21588">
        <w:rPr>
          <w:rFonts w:ascii="Calibri" w:eastAsia="Calibri" w:hAnsi="Calibri"/>
        </w:rPr>
        <w:t xml:space="preserve"> </w:t>
      </w:r>
      <w:r w:rsidR="00F21588" w:rsidRPr="00F21588">
        <w:rPr>
          <w:rFonts w:ascii="Calibri" w:eastAsia="Calibri" w:hAnsi="Calibri"/>
        </w:rPr>
        <w:t xml:space="preserve">of each race </w:t>
      </w:r>
      <w:r w:rsidR="004973BE">
        <w:rPr>
          <w:rFonts w:ascii="Calibri" w:eastAsia="Calibri" w:hAnsi="Calibri"/>
        </w:rPr>
        <w:t xml:space="preserve">cohort </w:t>
      </w:r>
      <w:r w:rsidR="0000553C">
        <w:rPr>
          <w:rFonts w:ascii="Calibri" w:eastAsia="Calibri" w:hAnsi="Calibri"/>
        </w:rPr>
        <w:t xml:space="preserve">within </w:t>
      </w:r>
      <w:r w:rsidR="00F21588" w:rsidRPr="00F21588">
        <w:rPr>
          <w:rFonts w:ascii="Calibri" w:eastAsia="Calibri" w:hAnsi="Calibri"/>
        </w:rPr>
        <w:t xml:space="preserve">each ethnicity in the controlled MARC </w:t>
      </w:r>
      <w:r w:rsidR="006A4972" w:rsidRPr="00F21588">
        <w:rPr>
          <w:rFonts w:ascii="Calibri" w:eastAsia="Calibri" w:hAnsi="Calibri"/>
        </w:rPr>
        <w:t>file and</w:t>
      </w:r>
      <w:r w:rsidR="00F21588" w:rsidRPr="00F21588">
        <w:rPr>
          <w:rFonts w:ascii="Calibri" w:eastAsia="Calibri" w:hAnsi="Calibri"/>
        </w:rPr>
        <w:t xml:space="preserve"> multiply this by the original Census 2020 ethnicity populations for each age/sex group. This estimates the population of each race within the Hispanic/non-Hispanic populations based on the ethnicities as represented in the 2020 Census. From here, we follow the same steps as </w:t>
      </w:r>
      <w:r w:rsidR="009D1852">
        <w:rPr>
          <w:rFonts w:ascii="Calibri" w:eastAsia="Calibri" w:hAnsi="Calibri"/>
        </w:rPr>
        <w:t>we do for the 2010 data</w:t>
      </w:r>
      <w:r w:rsidR="00F21588" w:rsidRPr="00F21588">
        <w:rPr>
          <w:rFonts w:ascii="Calibri" w:eastAsia="Calibri" w:hAnsi="Calibri"/>
        </w:rPr>
        <w:t xml:space="preserve"> to develop the multipliers for each age/sex/race/ethnicity combination</w:t>
      </w:r>
      <w:r w:rsidR="00212B30">
        <w:rPr>
          <w:rFonts w:ascii="Calibri" w:eastAsia="Calibri" w:hAnsi="Calibri"/>
        </w:rPr>
        <w:t>.</w:t>
      </w:r>
    </w:p>
    <w:p w14:paraId="344E58DC" w14:textId="6BF89277" w:rsidR="00DB0527" w:rsidRPr="004E4493" w:rsidRDefault="00F21588" w:rsidP="00F21588">
      <w:pPr>
        <w:spacing w:line="240" w:lineRule="auto"/>
        <w:rPr>
          <w:rFonts w:ascii="Calibri" w:eastAsia="Calibri" w:hAnsi="Calibri"/>
        </w:rPr>
      </w:pPr>
      <w:r w:rsidRPr="00B27AA8">
        <w:rPr>
          <w:rFonts w:ascii="Calibri" w:eastAsia="Calibri" w:hAnsi="Calibri"/>
        </w:rPr>
        <w:t xml:space="preserve">Because age and ethnicity no longer perfectly align between the Census 2020 and 2020 MARC files, </w:t>
      </w:r>
      <w:r w:rsidR="002206A6" w:rsidRPr="00B27AA8">
        <w:rPr>
          <w:rFonts w:ascii="Calibri" w:eastAsia="Calibri" w:hAnsi="Calibri"/>
        </w:rPr>
        <w:t xml:space="preserve">the 2020 race bridging </w:t>
      </w:r>
      <w:r w:rsidRPr="00B27AA8">
        <w:rPr>
          <w:rFonts w:ascii="Calibri" w:eastAsia="Calibri" w:hAnsi="Calibri"/>
        </w:rPr>
        <w:t>introduces more error, and ethnicities and races may become decoupled to a certain extent when dealing with the redistribution of age categories</w:t>
      </w:r>
      <w:r w:rsidR="00E96726" w:rsidRPr="00B27AA8">
        <w:rPr>
          <w:rFonts w:ascii="Calibri" w:eastAsia="Calibri" w:hAnsi="Calibri"/>
        </w:rPr>
        <w:t xml:space="preserve"> in the MARC file</w:t>
      </w:r>
      <w:r w:rsidRPr="00B27AA8">
        <w:rPr>
          <w:rFonts w:ascii="Calibri" w:eastAsia="Calibri" w:hAnsi="Calibri"/>
        </w:rPr>
        <w:t xml:space="preserve">. </w:t>
      </w:r>
      <w:r w:rsidR="00AC6242" w:rsidRPr="00B27AA8">
        <w:rPr>
          <w:rFonts w:ascii="Calibri" w:eastAsia="Calibri" w:hAnsi="Calibri"/>
        </w:rPr>
        <w:t xml:space="preserve">For this reason, population </w:t>
      </w:r>
      <w:r w:rsidRPr="00B27AA8">
        <w:rPr>
          <w:rFonts w:ascii="Calibri" w:eastAsia="Calibri" w:hAnsi="Calibri"/>
        </w:rPr>
        <w:t>estimates of ethnicities or races (</w:t>
      </w:r>
      <w:r w:rsidR="00F20157" w:rsidRPr="00B27AA8">
        <w:rPr>
          <w:rFonts w:ascii="Calibri" w:eastAsia="Calibri" w:hAnsi="Calibri"/>
        </w:rPr>
        <w:t>e.g</w:t>
      </w:r>
      <w:r w:rsidR="00F20157">
        <w:rPr>
          <w:rFonts w:ascii="Calibri" w:eastAsia="Calibri" w:hAnsi="Calibri"/>
        </w:rPr>
        <w:t>.,</w:t>
      </w:r>
      <w:r w:rsidRPr="00B27AA8">
        <w:rPr>
          <w:rFonts w:ascii="Calibri" w:eastAsia="Calibri" w:hAnsi="Calibri"/>
        </w:rPr>
        <w:t xml:space="preserve"> Black OR Hispanic) on their own may be more reliable than estimates in combination (</w:t>
      </w:r>
      <w:r w:rsidR="004423D7" w:rsidRPr="00B27AA8">
        <w:rPr>
          <w:rFonts w:ascii="Calibri" w:eastAsia="Calibri" w:hAnsi="Calibri"/>
        </w:rPr>
        <w:t>e.g.,</w:t>
      </w:r>
      <w:r w:rsidRPr="00B27AA8">
        <w:rPr>
          <w:rFonts w:ascii="Calibri" w:eastAsia="Calibri" w:hAnsi="Calibri"/>
        </w:rPr>
        <w:t xml:space="preserve"> Black AND Hispanic).</w:t>
      </w:r>
    </w:p>
    <w:p w14:paraId="171E1B41" w14:textId="14977ED8" w:rsidR="001928B6" w:rsidRPr="00201848" w:rsidRDefault="001928B6" w:rsidP="00EE199B">
      <w:pPr>
        <w:pStyle w:val="Heading2"/>
        <w:numPr>
          <w:ilvl w:val="0"/>
          <w:numId w:val="38"/>
        </w:numPr>
        <w:rPr>
          <w:color w:val="595959" w:themeColor="text1" w:themeTint="A6"/>
        </w:rPr>
      </w:pPr>
      <w:r w:rsidRPr="00201848">
        <w:rPr>
          <w:color w:val="595959" w:themeColor="text1" w:themeTint="A6"/>
        </w:rPr>
        <w:t xml:space="preserve"> </w:t>
      </w:r>
      <w:bookmarkStart w:id="18" w:name="_Toc197520525"/>
      <w:r w:rsidRPr="00201848">
        <w:rPr>
          <w:color w:val="595959" w:themeColor="text1" w:themeTint="A6"/>
        </w:rPr>
        <w:t>Adjusting Census population counts</w:t>
      </w:r>
      <w:bookmarkEnd w:id="18"/>
    </w:p>
    <w:p w14:paraId="6AFB4419" w14:textId="77777777" w:rsidR="00F00DED" w:rsidRPr="00C84684" w:rsidRDefault="002164B9" w:rsidP="002164B9">
      <w:pPr>
        <w:spacing w:line="240" w:lineRule="auto"/>
        <w:rPr>
          <w:rFonts w:eastAsiaTheme="minorEastAsia" w:cstheme="minorHAnsi"/>
        </w:rPr>
      </w:pPr>
      <w:r w:rsidRPr="00C84684">
        <w:rPr>
          <w:rFonts w:eastAsiaTheme="minorEastAsia" w:cstheme="minorHAnsi"/>
        </w:rPr>
        <w:t xml:space="preserve">After the 2020 Census count, UMDI assisted cities and towns with population challenges and supporting research to address missing housing units or “group quarters” populations. </w:t>
      </w:r>
      <w:r w:rsidR="008B6AAE" w:rsidRPr="00C84684">
        <w:rPr>
          <w:rFonts w:eastAsiaTheme="minorEastAsia" w:cstheme="minorHAnsi"/>
        </w:rPr>
        <w:t xml:space="preserve">Towns that warranted corrections according to this research </w:t>
      </w:r>
      <w:r w:rsidRPr="00C84684">
        <w:rPr>
          <w:rFonts w:eastAsiaTheme="minorEastAsia" w:cstheme="minorHAnsi"/>
        </w:rPr>
        <w:t xml:space="preserve">included Middlefield, Erving, Chester, Boston, Bourne, Chicopee, Dartmouth, Dedham, Franklin, Middleton, Randolph, Springfield, Wareham, and Wenham. </w:t>
      </w:r>
      <w:r w:rsidR="00EA37B0" w:rsidRPr="00C84684">
        <w:rPr>
          <w:rFonts w:eastAsiaTheme="minorEastAsia" w:cstheme="minorHAnsi"/>
        </w:rPr>
        <w:t>I</w:t>
      </w:r>
      <w:r w:rsidR="00745F38" w:rsidRPr="00C84684">
        <w:rPr>
          <w:rFonts w:eastAsiaTheme="minorEastAsia" w:cstheme="minorHAnsi"/>
        </w:rPr>
        <w:t>n</w:t>
      </w:r>
      <w:r w:rsidR="00EA37B0" w:rsidRPr="00C84684">
        <w:rPr>
          <w:rFonts w:eastAsiaTheme="minorEastAsia" w:cstheme="minorHAnsi"/>
        </w:rPr>
        <w:t xml:space="preserve"> the V2024 series, </w:t>
      </w:r>
      <w:r w:rsidR="004473B3" w:rsidRPr="00C84684">
        <w:rPr>
          <w:rFonts w:eastAsiaTheme="minorEastAsia" w:cstheme="minorHAnsi"/>
        </w:rPr>
        <w:t xml:space="preserve">Census 2020 corrections </w:t>
      </w:r>
      <w:r w:rsidRPr="00C84684">
        <w:rPr>
          <w:rFonts w:eastAsiaTheme="minorEastAsia" w:cstheme="minorHAnsi"/>
        </w:rPr>
        <w:t>prepared for or submitted to the Census Bureau (regardless of acceptance status) are incorporated into the 2020 launch population.</w:t>
      </w:r>
      <w:r w:rsidR="00745F38" w:rsidRPr="00C84684">
        <w:rPr>
          <w:rFonts w:eastAsiaTheme="minorEastAsia" w:cstheme="minorHAnsi"/>
        </w:rPr>
        <w:t xml:space="preserve"> </w:t>
      </w:r>
    </w:p>
    <w:p w14:paraId="7EECE494" w14:textId="60432499" w:rsidR="0069591A" w:rsidRPr="00C84684" w:rsidRDefault="00103735" w:rsidP="0069591A">
      <w:pPr>
        <w:pStyle w:val="BodyText"/>
        <w:contextualSpacing/>
        <w:rPr>
          <w:rFonts w:eastAsiaTheme="minorEastAsia" w:cstheme="minorHAnsi"/>
        </w:rPr>
      </w:pPr>
      <w:r w:rsidRPr="00C84684">
        <w:rPr>
          <w:rFonts w:eastAsiaTheme="minorEastAsia" w:cstheme="minorHAnsi"/>
        </w:rPr>
        <w:t>Firs</w:t>
      </w:r>
      <w:r w:rsidR="00F00DED" w:rsidRPr="00C84684">
        <w:rPr>
          <w:rFonts w:eastAsiaTheme="minorEastAsia" w:cstheme="minorHAnsi"/>
        </w:rPr>
        <w:t xml:space="preserve">t, the missing </w:t>
      </w:r>
      <w:r w:rsidR="00D516D9" w:rsidRPr="00C84684">
        <w:rPr>
          <w:rFonts w:eastAsiaTheme="minorEastAsia" w:cstheme="minorHAnsi"/>
        </w:rPr>
        <w:t>p</w:t>
      </w:r>
      <w:r w:rsidR="002164B9" w:rsidRPr="00C84684">
        <w:rPr>
          <w:rFonts w:eastAsiaTheme="minorEastAsia" w:cstheme="minorHAnsi"/>
        </w:rPr>
        <w:t>opulation is distributed</w:t>
      </w:r>
      <w:r w:rsidR="0001366F" w:rsidRPr="00C84684">
        <w:rPr>
          <w:rFonts w:eastAsiaTheme="minorEastAsia" w:cstheme="minorHAnsi"/>
        </w:rPr>
        <w:t xml:space="preserve"> by age and sex based on the type of challenge. Populations associated with missing housing units are developed by using the persons per household counted in the 2020 Census for the MCD and the resulting populations are distributed by age and sex based on the Census 2020 age profile of the MCD. </w:t>
      </w:r>
      <w:r w:rsidR="0069591A" w:rsidRPr="00C84684">
        <w:rPr>
          <w:rFonts w:eastAsiaTheme="minorEastAsia" w:cstheme="minorHAnsi"/>
        </w:rPr>
        <w:t>Group quarters populations are distributed according to the state-level age</w:t>
      </w:r>
      <w:r w:rsidR="00E61C8A">
        <w:rPr>
          <w:rFonts w:eastAsiaTheme="minorEastAsia" w:cstheme="minorHAnsi"/>
        </w:rPr>
        <w:t>/</w:t>
      </w:r>
      <w:r w:rsidR="0069591A" w:rsidRPr="00C84684">
        <w:rPr>
          <w:rFonts w:eastAsiaTheme="minorEastAsia" w:cstheme="minorHAnsi"/>
        </w:rPr>
        <w:t>sex structure associated with the group quarter</w:t>
      </w:r>
      <w:r w:rsidR="00E61C8A">
        <w:rPr>
          <w:rFonts w:eastAsiaTheme="minorEastAsia" w:cstheme="minorHAnsi"/>
        </w:rPr>
        <w:t>s</w:t>
      </w:r>
      <w:r w:rsidR="0069591A" w:rsidRPr="00C84684">
        <w:rPr>
          <w:rFonts w:eastAsiaTheme="minorEastAsia" w:cstheme="minorHAnsi"/>
        </w:rPr>
        <w:t xml:space="preserve"> “type” (prisons, student dormitories, nursing homes, etc.), all based on the Census 2020 Demographic and Housing Characteristics file, with some exceptions. A few of the group quarters identified for correction were predominately male or predominately female, and for these we adjusted the cohort ratios. These included the </w:t>
      </w:r>
      <w:r w:rsidR="0069591A" w:rsidRPr="00C84684">
        <w:rPr>
          <w:rStyle w:val="cf01"/>
          <w:rFonts w:asciiTheme="minorHAnsi" w:hAnsiTheme="minorHAnsi" w:cstheme="minorHAnsi"/>
          <w:sz w:val="22"/>
          <w:szCs w:val="22"/>
        </w:rPr>
        <w:t>Mass. Maritime Academy in Bourne</w:t>
      </w:r>
      <w:r w:rsidR="0069591A" w:rsidRPr="00C84684">
        <w:rPr>
          <w:rStyle w:val="cf01"/>
          <w:rFonts w:cstheme="minorHAnsi"/>
        </w:rPr>
        <w:t xml:space="preserve"> </w:t>
      </w:r>
      <w:r w:rsidR="0069591A" w:rsidRPr="00C84684">
        <w:rPr>
          <w:rStyle w:val="cf01"/>
          <w:rFonts w:asciiTheme="minorHAnsi" w:hAnsiTheme="minorHAnsi" w:cstheme="minorHAnsi"/>
          <w:sz w:val="22"/>
          <w:szCs w:val="22"/>
        </w:rPr>
        <w:t xml:space="preserve">and Wareham, which was 87% male, St. John’s Seminary in Boston, which was 100% male, the Western MA Regional Women’s Correctional Facility in Springfield which was 100% female and Simmons College in Boston which was 100% female. </w:t>
      </w:r>
      <w:r w:rsidR="0069591A" w:rsidRPr="00C84684">
        <w:rPr>
          <w:rFonts w:eastAsiaTheme="minorEastAsia" w:cstheme="minorHAnsi"/>
        </w:rPr>
        <w:t xml:space="preserve">The resulting populations by age, sex, and geography are then added to the Census 2020 DHC data for an adjusted 2020 population. </w:t>
      </w:r>
    </w:p>
    <w:p w14:paraId="6109FD9F" w14:textId="77777777" w:rsidR="0069591A" w:rsidRPr="00C84684" w:rsidRDefault="0069591A" w:rsidP="0069591A">
      <w:pPr>
        <w:pStyle w:val="BodyText"/>
        <w:contextualSpacing/>
        <w:rPr>
          <w:rFonts w:eastAsiaTheme="minorEastAsia" w:cstheme="minorHAnsi"/>
        </w:rPr>
      </w:pPr>
    </w:p>
    <w:p w14:paraId="5753A057" w14:textId="36B2FF5C" w:rsidR="0069591A" w:rsidRPr="00C84684" w:rsidRDefault="0069591A" w:rsidP="0069591A">
      <w:pPr>
        <w:pStyle w:val="BodyText"/>
        <w:contextualSpacing/>
        <w:rPr>
          <w:rFonts w:eastAsiaTheme="minorEastAsia" w:cstheme="minorHAnsi"/>
        </w:rPr>
      </w:pPr>
      <w:r w:rsidRPr="00C84684">
        <w:rPr>
          <w:rFonts w:eastAsiaTheme="minorEastAsia" w:cstheme="minorHAnsi"/>
        </w:rPr>
        <w:t xml:space="preserve">Table 1 below shows the population added to the 2020 launch for each of the adjusted municipalities, including the Census group quarters population type for each. In the table below “GQ 1” represents population in correctional facilities; “GQ 3” is nursing home population; “GQ 5” is college student dormitory population; and “GQ 7” represents, in this case, population living in group homes. Appendix Table A1 displays the Massachusetts age/sex shares used for each group quarters type, as reported in the Census 2020 DHC-A file. </w:t>
      </w:r>
    </w:p>
    <w:p w14:paraId="3D4DC2F6" w14:textId="77777777" w:rsidR="004D578C" w:rsidRDefault="004D578C" w:rsidP="0069591A">
      <w:pPr>
        <w:spacing w:line="240" w:lineRule="auto"/>
        <w:rPr>
          <w:b/>
        </w:rPr>
      </w:pPr>
      <w:bookmarkStart w:id="19" w:name="_Toc170212113"/>
    </w:p>
    <w:p w14:paraId="7303812F" w14:textId="47F2810E" w:rsidR="00E22536" w:rsidRPr="00C84684" w:rsidRDefault="00E22536" w:rsidP="0069591A">
      <w:pPr>
        <w:spacing w:line="240" w:lineRule="auto"/>
        <w:rPr>
          <w:b/>
        </w:rPr>
      </w:pPr>
      <w:bookmarkStart w:id="20" w:name="_Toc197520547"/>
      <w:r w:rsidRPr="00C84684">
        <w:rPr>
          <w:b/>
        </w:rPr>
        <w:lastRenderedPageBreak/>
        <w:t xml:space="preserve">Table </w:t>
      </w:r>
      <w:r w:rsidRPr="00C84684">
        <w:rPr>
          <w:b/>
        </w:rPr>
        <w:fldChar w:fldCharType="begin"/>
      </w:r>
      <w:r w:rsidRPr="00C84684">
        <w:rPr>
          <w:b/>
        </w:rPr>
        <w:instrText xml:space="preserve"> SEQ Table \* ARABIC </w:instrText>
      </w:r>
      <w:r w:rsidRPr="00C84684">
        <w:rPr>
          <w:b/>
        </w:rPr>
        <w:fldChar w:fldCharType="separate"/>
      </w:r>
      <w:r w:rsidR="00682CB2" w:rsidRPr="00C84684">
        <w:rPr>
          <w:b/>
        </w:rPr>
        <w:t>1</w:t>
      </w:r>
      <w:r w:rsidRPr="00C84684">
        <w:rPr>
          <w:b/>
        </w:rPr>
        <w:fldChar w:fldCharType="end"/>
      </w:r>
      <w:r w:rsidRPr="00C84684">
        <w:rPr>
          <w:b/>
        </w:rPr>
        <w:t>. Population Adjustment by Municipality and Challenge Type</w:t>
      </w:r>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1621"/>
        <w:gridCol w:w="2459"/>
      </w:tblGrid>
      <w:tr w:rsidR="00C84684" w:rsidRPr="00C84684" w14:paraId="6907599E" w14:textId="77777777" w:rsidTr="004D578C">
        <w:trPr>
          <w:trHeight w:hRule="exact" w:val="288"/>
        </w:trPr>
        <w:tc>
          <w:tcPr>
            <w:tcW w:w="0" w:type="auto"/>
            <w:shd w:val="clear" w:color="auto" w:fill="FFFFFF" w:themeFill="background1"/>
            <w:vAlign w:val="center"/>
            <w:hideMark/>
          </w:tcPr>
          <w:p w14:paraId="77EF501E" w14:textId="77777777" w:rsidR="00254BF8" w:rsidRPr="00C84684" w:rsidRDefault="00254BF8">
            <w:pPr>
              <w:spacing w:line="240" w:lineRule="auto"/>
              <w:jc w:val="center"/>
              <w:rPr>
                <w:rFonts w:cstheme="minorHAnsi"/>
                <w:b/>
              </w:rPr>
            </w:pPr>
            <w:r w:rsidRPr="00C84684">
              <w:rPr>
                <w:rFonts w:cstheme="minorHAnsi"/>
                <w:b/>
              </w:rPr>
              <w:t>MCD</w:t>
            </w:r>
          </w:p>
        </w:tc>
        <w:tc>
          <w:tcPr>
            <w:tcW w:w="0" w:type="auto"/>
            <w:shd w:val="clear" w:color="auto" w:fill="FFFFFF" w:themeFill="background1"/>
            <w:vAlign w:val="center"/>
            <w:hideMark/>
          </w:tcPr>
          <w:p w14:paraId="32E181C4" w14:textId="77777777" w:rsidR="00254BF8" w:rsidRPr="00C84684" w:rsidRDefault="00254BF8">
            <w:pPr>
              <w:spacing w:line="240" w:lineRule="auto"/>
              <w:jc w:val="center"/>
              <w:rPr>
                <w:rFonts w:cstheme="minorHAnsi"/>
                <w:b/>
              </w:rPr>
            </w:pPr>
            <w:r w:rsidRPr="00C84684">
              <w:rPr>
                <w:rFonts w:cstheme="minorHAnsi"/>
                <w:b/>
              </w:rPr>
              <w:t>Challenge Type</w:t>
            </w:r>
          </w:p>
        </w:tc>
        <w:tc>
          <w:tcPr>
            <w:tcW w:w="0" w:type="auto"/>
            <w:shd w:val="clear" w:color="auto" w:fill="FFFFFF" w:themeFill="background1"/>
            <w:vAlign w:val="center"/>
            <w:hideMark/>
          </w:tcPr>
          <w:p w14:paraId="103C0137" w14:textId="77777777" w:rsidR="00254BF8" w:rsidRPr="00C84684" w:rsidRDefault="00254BF8">
            <w:pPr>
              <w:spacing w:line="240" w:lineRule="auto"/>
              <w:jc w:val="center"/>
              <w:rPr>
                <w:rFonts w:cstheme="minorHAnsi"/>
                <w:b/>
              </w:rPr>
            </w:pPr>
            <w:r w:rsidRPr="00C84684">
              <w:rPr>
                <w:rFonts w:cstheme="minorHAnsi"/>
                <w:b/>
              </w:rPr>
              <w:t>Total Population Change</w:t>
            </w:r>
          </w:p>
        </w:tc>
      </w:tr>
      <w:tr w:rsidR="00C84684" w:rsidRPr="00C84684" w14:paraId="2C99C933" w14:textId="77777777" w:rsidTr="004D578C">
        <w:trPr>
          <w:trHeight w:hRule="exact" w:val="288"/>
        </w:trPr>
        <w:tc>
          <w:tcPr>
            <w:tcW w:w="0" w:type="auto"/>
            <w:shd w:val="clear" w:color="auto" w:fill="FFFFFF" w:themeFill="background1"/>
            <w:noWrap/>
            <w:vAlign w:val="bottom"/>
            <w:hideMark/>
          </w:tcPr>
          <w:p w14:paraId="5A05FCE8" w14:textId="77777777" w:rsidR="00254BF8" w:rsidRPr="00C84684" w:rsidRDefault="00254BF8">
            <w:pPr>
              <w:spacing w:line="240" w:lineRule="auto"/>
              <w:rPr>
                <w:rFonts w:cstheme="minorHAnsi"/>
              </w:rPr>
            </w:pPr>
            <w:r w:rsidRPr="00C84684">
              <w:rPr>
                <w:rFonts w:cstheme="minorHAnsi"/>
              </w:rPr>
              <w:t>Middlefield</w:t>
            </w:r>
          </w:p>
        </w:tc>
        <w:tc>
          <w:tcPr>
            <w:tcW w:w="0" w:type="auto"/>
            <w:shd w:val="clear" w:color="auto" w:fill="FFFFFF" w:themeFill="background1"/>
            <w:noWrap/>
            <w:vAlign w:val="bottom"/>
            <w:hideMark/>
          </w:tcPr>
          <w:p w14:paraId="32C42972" w14:textId="77777777" w:rsidR="00254BF8" w:rsidRPr="00C84684" w:rsidRDefault="00254BF8">
            <w:pPr>
              <w:spacing w:line="240" w:lineRule="auto"/>
              <w:rPr>
                <w:rFonts w:cstheme="minorHAnsi"/>
              </w:rPr>
            </w:pPr>
            <w:r w:rsidRPr="00C84684">
              <w:rPr>
                <w:rFonts w:cstheme="minorHAnsi"/>
              </w:rPr>
              <w:t>Housing Units</w:t>
            </w:r>
          </w:p>
        </w:tc>
        <w:tc>
          <w:tcPr>
            <w:tcW w:w="0" w:type="auto"/>
            <w:shd w:val="clear" w:color="auto" w:fill="FFFFFF" w:themeFill="background1"/>
            <w:noWrap/>
            <w:vAlign w:val="bottom"/>
            <w:hideMark/>
          </w:tcPr>
          <w:p w14:paraId="2A76DA19" w14:textId="77777777" w:rsidR="00254BF8" w:rsidRPr="00C84684" w:rsidRDefault="00254BF8">
            <w:pPr>
              <w:spacing w:line="240" w:lineRule="auto"/>
              <w:jc w:val="center"/>
              <w:rPr>
                <w:rFonts w:cstheme="minorHAnsi"/>
              </w:rPr>
            </w:pPr>
            <w:r w:rsidRPr="00C84684">
              <w:rPr>
                <w:rFonts w:cstheme="minorHAnsi"/>
              </w:rPr>
              <w:t>41</w:t>
            </w:r>
          </w:p>
        </w:tc>
      </w:tr>
      <w:tr w:rsidR="00C84684" w:rsidRPr="00C84684" w14:paraId="459493F5" w14:textId="77777777" w:rsidTr="004D578C">
        <w:trPr>
          <w:trHeight w:hRule="exact" w:val="288"/>
        </w:trPr>
        <w:tc>
          <w:tcPr>
            <w:tcW w:w="0" w:type="auto"/>
            <w:shd w:val="clear" w:color="auto" w:fill="FFFFFF" w:themeFill="background1"/>
            <w:noWrap/>
            <w:vAlign w:val="bottom"/>
            <w:hideMark/>
          </w:tcPr>
          <w:p w14:paraId="22C87462" w14:textId="77777777" w:rsidR="00254BF8" w:rsidRPr="00C84684" w:rsidRDefault="00254BF8">
            <w:pPr>
              <w:spacing w:line="240" w:lineRule="auto"/>
              <w:rPr>
                <w:rFonts w:cstheme="minorHAnsi"/>
              </w:rPr>
            </w:pPr>
            <w:r w:rsidRPr="00C84684">
              <w:rPr>
                <w:rFonts w:cstheme="minorHAnsi"/>
              </w:rPr>
              <w:t>Erving</w:t>
            </w:r>
          </w:p>
        </w:tc>
        <w:tc>
          <w:tcPr>
            <w:tcW w:w="0" w:type="auto"/>
            <w:shd w:val="clear" w:color="auto" w:fill="FFFFFF" w:themeFill="background1"/>
            <w:noWrap/>
            <w:vAlign w:val="bottom"/>
            <w:hideMark/>
          </w:tcPr>
          <w:p w14:paraId="7F2598AF" w14:textId="77777777" w:rsidR="00254BF8" w:rsidRPr="00C84684" w:rsidRDefault="00254BF8" w:rsidP="00235DFF">
            <w:pPr>
              <w:spacing w:line="240" w:lineRule="auto"/>
              <w:rPr>
                <w:rFonts w:cstheme="minorHAnsi"/>
              </w:rPr>
            </w:pPr>
            <w:r w:rsidRPr="00C84684">
              <w:rPr>
                <w:rFonts w:cstheme="minorHAnsi"/>
              </w:rPr>
              <w:t>Housing Units</w:t>
            </w:r>
          </w:p>
        </w:tc>
        <w:tc>
          <w:tcPr>
            <w:tcW w:w="0" w:type="auto"/>
            <w:shd w:val="clear" w:color="auto" w:fill="FFFFFF" w:themeFill="background1"/>
            <w:noWrap/>
            <w:vAlign w:val="bottom"/>
            <w:hideMark/>
          </w:tcPr>
          <w:p w14:paraId="605F5D8B" w14:textId="77777777" w:rsidR="00254BF8" w:rsidRPr="00C84684" w:rsidRDefault="00254BF8">
            <w:pPr>
              <w:spacing w:line="240" w:lineRule="auto"/>
              <w:jc w:val="center"/>
              <w:rPr>
                <w:rFonts w:cstheme="minorHAnsi"/>
              </w:rPr>
            </w:pPr>
            <w:r w:rsidRPr="00C84684">
              <w:rPr>
                <w:rFonts w:cstheme="minorHAnsi"/>
              </w:rPr>
              <w:t>93</w:t>
            </w:r>
          </w:p>
        </w:tc>
      </w:tr>
      <w:tr w:rsidR="00C84684" w:rsidRPr="00C84684" w14:paraId="345194BD" w14:textId="77777777" w:rsidTr="004D578C">
        <w:trPr>
          <w:trHeight w:hRule="exact" w:val="288"/>
        </w:trPr>
        <w:tc>
          <w:tcPr>
            <w:tcW w:w="0" w:type="auto"/>
            <w:shd w:val="clear" w:color="auto" w:fill="FFFFFF" w:themeFill="background1"/>
            <w:noWrap/>
            <w:vAlign w:val="bottom"/>
            <w:hideMark/>
          </w:tcPr>
          <w:p w14:paraId="6FFCFE82" w14:textId="77777777" w:rsidR="00254BF8" w:rsidRPr="00C84684" w:rsidRDefault="00254BF8">
            <w:pPr>
              <w:spacing w:line="240" w:lineRule="auto"/>
              <w:rPr>
                <w:rFonts w:cstheme="minorHAnsi"/>
              </w:rPr>
            </w:pPr>
            <w:r w:rsidRPr="00C84684">
              <w:rPr>
                <w:rFonts w:cstheme="minorHAnsi"/>
              </w:rPr>
              <w:t>Boston</w:t>
            </w:r>
          </w:p>
        </w:tc>
        <w:tc>
          <w:tcPr>
            <w:tcW w:w="0" w:type="auto"/>
            <w:shd w:val="clear" w:color="auto" w:fill="FFFFFF" w:themeFill="background1"/>
            <w:noWrap/>
            <w:vAlign w:val="bottom"/>
            <w:hideMark/>
          </w:tcPr>
          <w:p w14:paraId="57BCBFA1" w14:textId="77777777" w:rsidR="00254BF8" w:rsidRPr="00C84684" w:rsidRDefault="00254BF8">
            <w:pPr>
              <w:spacing w:line="240" w:lineRule="auto"/>
              <w:rPr>
                <w:rFonts w:cstheme="minorHAnsi"/>
              </w:rPr>
            </w:pPr>
            <w:r w:rsidRPr="00C84684">
              <w:rPr>
                <w:rFonts w:cstheme="minorHAnsi"/>
              </w:rPr>
              <w:t>Group Quarters</w:t>
            </w:r>
          </w:p>
        </w:tc>
        <w:tc>
          <w:tcPr>
            <w:tcW w:w="0" w:type="auto"/>
            <w:shd w:val="clear" w:color="auto" w:fill="FFFFFF" w:themeFill="background1"/>
            <w:noWrap/>
            <w:vAlign w:val="bottom"/>
            <w:hideMark/>
          </w:tcPr>
          <w:p w14:paraId="7F106DCF" w14:textId="31DD0686" w:rsidR="00254BF8" w:rsidRPr="00C84684" w:rsidRDefault="00254BF8">
            <w:pPr>
              <w:spacing w:line="240" w:lineRule="auto"/>
              <w:jc w:val="center"/>
              <w:rPr>
                <w:rFonts w:cstheme="minorHAnsi"/>
              </w:rPr>
            </w:pPr>
            <w:r w:rsidRPr="00C84684">
              <w:rPr>
                <w:rFonts w:cstheme="minorHAnsi"/>
              </w:rPr>
              <w:t>GQ1: 264   GQ5: 6,026</w:t>
            </w:r>
            <w:r w:rsidR="000F69FF" w:rsidRPr="00C84684">
              <w:rPr>
                <w:rStyle w:val="FootnoteReference"/>
                <w:rFonts w:cstheme="minorHAnsi"/>
              </w:rPr>
              <w:footnoteReference w:id="28"/>
            </w:r>
          </w:p>
        </w:tc>
      </w:tr>
      <w:tr w:rsidR="00C84684" w:rsidRPr="00C84684" w14:paraId="059E2B99" w14:textId="77777777" w:rsidTr="004D578C">
        <w:trPr>
          <w:trHeight w:hRule="exact" w:val="288"/>
        </w:trPr>
        <w:tc>
          <w:tcPr>
            <w:tcW w:w="0" w:type="auto"/>
            <w:shd w:val="clear" w:color="auto" w:fill="FFFFFF" w:themeFill="background1"/>
            <w:noWrap/>
            <w:vAlign w:val="bottom"/>
            <w:hideMark/>
          </w:tcPr>
          <w:p w14:paraId="38C3D7EC" w14:textId="77777777" w:rsidR="00254BF8" w:rsidRPr="00C84684" w:rsidRDefault="00254BF8">
            <w:pPr>
              <w:spacing w:line="240" w:lineRule="auto"/>
              <w:rPr>
                <w:rFonts w:cstheme="minorHAnsi"/>
              </w:rPr>
            </w:pPr>
            <w:r w:rsidRPr="00C84684">
              <w:rPr>
                <w:rFonts w:cstheme="minorHAnsi"/>
              </w:rPr>
              <w:t>Bourne</w:t>
            </w:r>
          </w:p>
        </w:tc>
        <w:tc>
          <w:tcPr>
            <w:tcW w:w="0" w:type="auto"/>
            <w:shd w:val="clear" w:color="auto" w:fill="FFFFFF" w:themeFill="background1"/>
            <w:noWrap/>
            <w:vAlign w:val="bottom"/>
            <w:hideMark/>
          </w:tcPr>
          <w:p w14:paraId="4C3F5A97" w14:textId="77777777" w:rsidR="00254BF8" w:rsidRPr="00C84684" w:rsidRDefault="00254BF8">
            <w:pPr>
              <w:spacing w:line="240" w:lineRule="auto"/>
              <w:rPr>
                <w:rFonts w:cstheme="minorHAnsi"/>
              </w:rPr>
            </w:pPr>
            <w:r w:rsidRPr="00C84684">
              <w:rPr>
                <w:rFonts w:cstheme="minorHAnsi"/>
              </w:rPr>
              <w:t>Group Quarters</w:t>
            </w:r>
          </w:p>
        </w:tc>
        <w:tc>
          <w:tcPr>
            <w:tcW w:w="0" w:type="auto"/>
            <w:shd w:val="clear" w:color="auto" w:fill="FFFFFF" w:themeFill="background1"/>
            <w:noWrap/>
            <w:vAlign w:val="bottom"/>
            <w:hideMark/>
          </w:tcPr>
          <w:p w14:paraId="3583353D" w14:textId="77777777" w:rsidR="00254BF8" w:rsidRPr="00C84684" w:rsidRDefault="00254BF8">
            <w:pPr>
              <w:spacing w:line="240" w:lineRule="auto"/>
              <w:jc w:val="center"/>
              <w:rPr>
                <w:rFonts w:cstheme="minorHAnsi"/>
              </w:rPr>
            </w:pPr>
            <w:r w:rsidRPr="00C84684">
              <w:rPr>
                <w:rFonts w:cstheme="minorHAnsi"/>
              </w:rPr>
              <w:t>GQ5: 220</w:t>
            </w:r>
          </w:p>
        </w:tc>
      </w:tr>
      <w:tr w:rsidR="00C84684" w:rsidRPr="00C84684" w14:paraId="0D24D922" w14:textId="77777777" w:rsidTr="004D578C">
        <w:trPr>
          <w:trHeight w:hRule="exact" w:val="288"/>
        </w:trPr>
        <w:tc>
          <w:tcPr>
            <w:tcW w:w="0" w:type="auto"/>
            <w:shd w:val="clear" w:color="auto" w:fill="FFFFFF" w:themeFill="background1"/>
            <w:noWrap/>
            <w:vAlign w:val="bottom"/>
            <w:hideMark/>
          </w:tcPr>
          <w:p w14:paraId="1FFB362B" w14:textId="77777777" w:rsidR="00254BF8" w:rsidRPr="00C84684" w:rsidRDefault="00254BF8">
            <w:pPr>
              <w:spacing w:line="240" w:lineRule="auto"/>
              <w:rPr>
                <w:rFonts w:cstheme="minorHAnsi"/>
              </w:rPr>
            </w:pPr>
            <w:r w:rsidRPr="00C84684">
              <w:rPr>
                <w:rFonts w:cstheme="minorHAnsi"/>
              </w:rPr>
              <w:t>Chicopee</w:t>
            </w:r>
          </w:p>
        </w:tc>
        <w:tc>
          <w:tcPr>
            <w:tcW w:w="0" w:type="auto"/>
            <w:shd w:val="clear" w:color="auto" w:fill="FFFFFF" w:themeFill="background1"/>
            <w:noWrap/>
            <w:vAlign w:val="bottom"/>
            <w:hideMark/>
          </w:tcPr>
          <w:p w14:paraId="0359E232" w14:textId="77777777" w:rsidR="00254BF8" w:rsidRPr="00C84684" w:rsidRDefault="00254BF8">
            <w:pPr>
              <w:spacing w:line="240" w:lineRule="auto"/>
              <w:rPr>
                <w:rFonts w:cstheme="minorHAnsi"/>
              </w:rPr>
            </w:pPr>
            <w:r w:rsidRPr="00C84684">
              <w:rPr>
                <w:rFonts w:cstheme="minorHAnsi"/>
              </w:rPr>
              <w:t>Group Quarters</w:t>
            </w:r>
          </w:p>
        </w:tc>
        <w:tc>
          <w:tcPr>
            <w:tcW w:w="0" w:type="auto"/>
            <w:shd w:val="clear" w:color="auto" w:fill="FFFFFF" w:themeFill="background1"/>
            <w:noWrap/>
            <w:vAlign w:val="bottom"/>
            <w:hideMark/>
          </w:tcPr>
          <w:p w14:paraId="2A475216" w14:textId="77777777" w:rsidR="00254BF8" w:rsidRPr="00C84684" w:rsidRDefault="00254BF8">
            <w:pPr>
              <w:spacing w:line="240" w:lineRule="auto"/>
              <w:jc w:val="center"/>
              <w:rPr>
                <w:rFonts w:cstheme="minorHAnsi"/>
              </w:rPr>
            </w:pPr>
            <w:r w:rsidRPr="00C84684">
              <w:rPr>
                <w:rFonts w:cstheme="minorHAnsi"/>
              </w:rPr>
              <w:t>GQ1: 124</w:t>
            </w:r>
          </w:p>
        </w:tc>
      </w:tr>
      <w:tr w:rsidR="00C84684" w:rsidRPr="00C84684" w14:paraId="3CBBE5CA" w14:textId="77777777" w:rsidTr="004D578C">
        <w:trPr>
          <w:trHeight w:hRule="exact" w:val="288"/>
        </w:trPr>
        <w:tc>
          <w:tcPr>
            <w:tcW w:w="0" w:type="auto"/>
            <w:shd w:val="clear" w:color="auto" w:fill="FFFFFF" w:themeFill="background1"/>
            <w:noWrap/>
            <w:vAlign w:val="bottom"/>
            <w:hideMark/>
          </w:tcPr>
          <w:p w14:paraId="59AA973C" w14:textId="77777777" w:rsidR="00254BF8" w:rsidRPr="00C84684" w:rsidRDefault="00254BF8">
            <w:pPr>
              <w:spacing w:line="240" w:lineRule="auto"/>
              <w:rPr>
                <w:rFonts w:cstheme="minorHAnsi"/>
              </w:rPr>
            </w:pPr>
            <w:r w:rsidRPr="00C84684">
              <w:rPr>
                <w:rFonts w:cstheme="minorHAnsi"/>
              </w:rPr>
              <w:t>Dartmouth</w:t>
            </w:r>
          </w:p>
        </w:tc>
        <w:tc>
          <w:tcPr>
            <w:tcW w:w="0" w:type="auto"/>
            <w:shd w:val="clear" w:color="auto" w:fill="FFFFFF" w:themeFill="background1"/>
            <w:noWrap/>
            <w:vAlign w:val="bottom"/>
            <w:hideMark/>
          </w:tcPr>
          <w:p w14:paraId="0078C73F" w14:textId="77777777" w:rsidR="00254BF8" w:rsidRPr="00C84684" w:rsidRDefault="00254BF8">
            <w:pPr>
              <w:spacing w:line="240" w:lineRule="auto"/>
              <w:rPr>
                <w:rFonts w:cstheme="minorHAnsi"/>
              </w:rPr>
            </w:pPr>
            <w:r w:rsidRPr="00C84684">
              <w:rPr>
                <w:rFonts w:cstheme="minorHAnsi"/>
              </w:rPr>
              <w:t>Group Quarters</w:t>
            </w:r>
          </w:p>
        </w:tc>
        <w:tc>
          <w:tcPr>
            <w:tcW w:w="0" w:type="auto"/>
            <w:shd w:val="clear" w:color="auto" w:fill="FFFFFF" w:themeFill="background1"/>
            <w:noWrap/>
            <w:vAlign w:val="bottom"/>
            <w:hideMark/>
          </w:tcPr>
          <w:p w14:paraId="34806553" w14:textId="77777777" w:rsidR="00254BF8" w:rsidRPr="00C84684" w:rsidRDefault="00254BF8">
            <w:pPr>
              <w:spacing w:line="240" w:lineRule="auto"/>
              <w:jc w:val="center"/>
              <w:rPr>
                <w:rFonts w:cstheme="minorHAnsi"/>
              </w:rPr>
            </w:pPr>
            <w:r w:rsidRPr="00C84684">
              <w:rPr>
                <w:rFonts w:cstheme="minorHAnsi"/>
              </w:rPr>
              <w:t>GQ1: 73</w:t>
            </w:r>
          </w:p>
        </w:tc>
      </w:tr>
      <w:tr w:rsidR="00C84684" w:rsidRPr="00C84684" w14:paraId="241FA0B6" w14:textId="77777777" w:rsidTr="004D578C">
        <w:trPr>
          <w:trHeight w:hRule="exact" w:val="288"/>
        </w:trPr>
        <w:tc>
          <w:tcPr>
            <w:tcW w:w="0" w:type="auto"/>
            <w:shd w:val="clear" w:color="auto" w:fill="FFFFFF" w:themeFill="background1"/>
            <w:vAlign w:val="center"/>
            <w:hideMark/>
          </w:tcPr>
          <w:p w14:paraId="0F6B440D" w14:textId="77777777" w:rsidR="00254BF8" w:rsidRPr="00C84684" w:rsidRDefault="00254BF8">
            <w:pPr>
              <w:spacing w:line="240" w:lineRule="auto"/>
              <w:rPr>
                <w:rFonts w:cstheme="minorHAnsi"/>
              </w:rPr>
            </w:pPr>
            <w:r w:rsidRPr="00C84684">
              <w:rPr>
                <w:rFonts w:cstheme="minorHAnsi"/>
              </w:rPr>
              <w:t>Dedham</w:t>
            </w:r>
          </w:p>
        </w:tc>
        <w:tc>
          <w:tcPr>
            <w:tcW w:w="0" w:type="auto"/>
            <w:shd w:val="clear" w:color="auto" w:fill="FFFFFF" w:themeFill="background1"/>
            <w:noWrap/>
            <w:vAlign w:val="bottom"/>
            <w:hideMark/>
          </w:tcPr>
          <w:p w14:paraId="211E516F" w14:textId="77777777" w:rsidR="00254BF8" w:rsidRPr="00C84684" w:rsidRDefault="00254BF8">
            <w:pPr>
              <w:spacing w:line="240" w:lineRule="auto"/>
              <w:rPr>
                <w:rFonts w:cstheme="minorHAnsi"/>
              </w:rPr>
            </w:pPr>
            <w:r w:rsidRPr="00C84684">
              <w:rPr>
                <w:rFonts w:cstheme="minorHAnsi"/>
              </w:rPr>
              <w:t>Group Quarters</w:t>
            </w:r>
          </w:p>
        </w:tc>
        <w:tc>
          <w:tcPr>
            <w:tcW w:w="0" w:type="auto"/>
            <w:shd w:val="clear" w:color="auto" w:fill="FFFFFF" w:themeFill="background1"/>
            <w:noWrap/>
            <w:vAlign w:val="bottom"/>
            <w:hideMark/>
          </w:tcPr>
          <w:p w14:paraId="2326D755" w14:textId="77777777" w:rsidR="00254BF8" w:rsidRPr="00C84684" w:rsidRDefault="00254BF8">
            <w:pPr>
              <w:spacing w:line="240" w:lineRule="auto"/>
              <w:jc w:val="center"/>
              <w:rPr>
                <w:rFonts w:cstheme="minorHAnsi"/>
              </w:rPr>
            </w:pPr>
            <w:r w:rsidRPr="00C84684">
              <w:rPr>
                <w:rFonts w:cstheme="minorHAnsi"/>
              </w:rPr>
              <w:t>GQ1: 122</w:t>
            </w:r>
          </w:p>
        </w:tc>
      </w:tr>
      <w:tr w:rsidR="00C84684" w:rsidRPr="00C84684" w14:paraId="511C34E5" w14:textId="77777777" w:rsidTr="004D578C">
        <w:trPr>
          <w:trHeight w:hRule="exact" w:val="288"/>
        </w:trPr>
        <w:tc>
          <w:tcPr>
            <w:tcW w:w="0" w:type="auto"/>
            <w:shd w:val="clear" w:color="auto" w:fill="FFFFFF" w:themeFill="background1"/>
            <w:vAlign w:val="center"/>
            <w:hideMark/>
          </w:tcPr>
          <w:p w14:paraId="6C652EDF" w14:textId="77777777" w:rsidR="00254BF8" w:rsidRPr="00C84684" w:rsidRDefault="00254BF8">
            <w:pPr>
              <w:spacing w:line="240" w:lineRule="auto"/>
              <w:rPr>
                <w:rFonts w:cstheme="minorHAnsi"/>
              </w:rPr>
            </w:pPr>
            <w:r w:rsidRPr="00C84684">
              <w:rPr>
                <w:rFonts w:cstheme="minorHAnsi"/>
              </w:rPr>
              <w:t>Franklin</w:t>
            </w:r>
          </w:p>
        </w:tc>
        <w:tc>
          <w:tcPr>
            <w:tcW w:w="0" w:type="auto"/>
            <w:shd w:val="clear" w:color="auto" w:fill="FFFFFF" w:themeFill="background1"/>
            <w:noWrap/>
            <w:vAlign w:val="bottom"/>
            <w:hideMark/>
          </w:tcPr>
          <w:p w14:paraId="00C4092B" w14:textId="77777777" w:rsidR="00254BF8" w:rsidRPr="00C84684" w:rsidRDefault="00254BF8">
            <w:pPr>
              <w:spacing w:line="240" w:lineRule="auto"/>
              <w:rPr>
                <w:rFonts w:cstheme="minorHAnsi"/>
              </w:rPr>
            </w:pPr>
            <w:r w:rsidRPr="00C84684">
              <w:rPr>
                <w:rFonts w:cstheme="minorHAnsi"/>
              </w:rPr>
              <w:t>Group Quarters</w:t>
            </w:r>
          </w:p>
        </w:tc>
        <w:tc>
          <w:tcPr>
            <w:tcW w:w="0" w:type="auto"/>
            <w:shd w:val="clear" w:color="auto" w:fill="FFFFFF" w:themeFill="background1"/>
            <w:noWrap/>
            <w:vAlign w:val="bottom"/>
            <w:hideMark/>
          </w:tcPr>
          <w:p w14:paraId="7BA05650" w14:textId="77777777" w:rsidR="00254BF8" w:rsidRPr="00C84684" w:rsidRDefault="00254BF8">
            <w:pPr>
              <w:spacing w:line="240" w:lineRule="auto"/>
              <w:jc w:val="center"/>
              <w:rPr>
                <w:rFonts w:cstheme="minorHAnsi"/>
              </w:rPr>
            </w:pPr>
            <w:r w:rsidRPr="00C84684">
              <w:rPr>
                <w:rFonts w:cstheme="minorHAnsi"/>
              </w:rPr>
              <w:t>GQ5: 74</w:t>
            </w:r>
          </w:p>
        </w:tc>
      </w:tr>
      <w:tr w:rsidR="00C84684" w:rsidRPr="00C84684" w14:paraId="6739CA13" w14:textId="77777777" w:rsidTr="004D578C">
        <w:trPr>
          <w:trHeight w:hRule="exact" w:val="288"/>
        </w:trPr>
        <w:tc>
          <w:tcPr>
            <w:tcW w:w="0" w:type="auto"/>
            <w:shd w:val="clear" w:color="auto" w:fill="FFFFFF" w:themeFill="background1"/>
            <w:vAlign w:val="center"/>
            <w:hideMark/>
          </w:tcPr>
          <w:p w14:paraId="422627E8" w14:textId="77777777" w:rsidR="00254BF8" w:rsidRPr="00C84684" w:rsidRDefault="00254BF8">
            <w:pPr>
              <w:spacing w:line="240" w:lineRule="auto"/>
              <w:rPr>
                <w:rFonts w:cstheme="minorHAnsi"/>
              </w:rPr>
            </w:pPr>
            <w:r w:rsidRPr="00C84684">
              <w:rPr>
                <w:rFonts w:cstheme="minorHAnsi"/>
              </w:rPr>
              <w:t>Middleton</w:t>
            </w:r>
          </w:p>
        </w:tc>
        <w:tc>
          <w:tcPr>
            <w:tcW w:w="0" w:type="auto"/>
            <w:shd w:val="clear" w:color="auto" w:fill="FFFFFF" w:themeFill="background1"/>
            <w:noWrap/>
            <w:vAlign w:val="bottom"/>
            <w:hideMark/>
          </w:tcPr>
          <w:p w14:paraId="4CD5CCA4" w14:textId="77777777" w:rsidR="00254BF8" w:rsidRPr="00C84684" w:rsidRDefault="00254BF8">
            <w:pPr>
              <w:spacing w:line="240" w:lineRule="auto"/>
              <w:rPr>
                <w:rFonts w:cstheme="minorHAnsi"/>
              </w:rPr>
            </w:pPr>
            <w:r w:rsidRPr="00C84684">
              <w:rPr>
                <w:rFonts w:cstheme="minorHAnsi"/>
              </w:rPr>
              <w:t>Group Quarters</w:t>
            </w:r>
          </w:p>
        </w:tc>
        <w:tc>
          <w:tcPr>
            <w:tcW w:w="0" w:type="auto"/>
            <w:shd w:val="clear" w:color="auto" w:fill="FFFFFF" w:themeFill="background1"/>
            <w:noWrap/>
            <w:vAlign w:val="bottom"/>
            <w:hideMark/>
          </w:tcPr>
          <w:p w14:paraId="411895DB" w14:textId="77777777" w:rsidR="00254BF8" w:rsidRPr="00C84684" w:rsidRDefault="00254BF8">
            <w:pPr>
              <w:spacing w:line="240" w:lineRule="auto"/>
              <w:jc w:val="center"/>
              <w:rPr>
                <w:rFonts w:cstheme="minorHAnsi"/>
              </w:rPr>
            </w:pPr>
            <w:r w:rsidRPr="00C84684">
              <w:rPr>
                <w:rFonts w:cstheme="minorHAnsi"/>
              </w:rPr>
              <w:t>GQ1: 67</w:t>
            </w:r>
          </w:p>
        </w:tc>
      </w:tr>
      <w:tr w:rsidR="00C84684" w:rsidRPr="00C84684" w14:paraId="2A072389" w14:textId="77777777" w:rsidTr="004D578C">
        <w:trPr>
          <w:trHeight w:hRule="exact" w:val="288"/>
        </w:trPr>
        <w:tc>
          <w:tcPr>
            <w:tcW w:w="0" w:type="auto"/>
            <w:shd w:val="clear" w:color="auto" w:fill="FFFFFF" w:themeFill="background1"/>
            <w:noWrap/>
            <w:vAlign w:val="bottom"/>
            <w:hideMark/>
          </w:tcPr>
          <w:p w14:paraId="2F0A1ABD" w14:textId="77777777" w:rsidR="00254BF8" w:rsidRPr="00C84684" w:rsidRDefault="00254BF8">
            <w:pPr>
              <w:spacing w:line="240" w:lineRule="auto"/>
              <w:rPr>
                <w:rFonts w:cstheme="minorHAnsi"/>
              </w:rPr>
            </w:pPr>
            <w:r w:rsidRPr="00C84684">
              <w:rPr>
                <w:rFonts w:cstheme="minorHAnsi"/>
              </w:rPr>
              <w:t>Randolph</w:t>
            </w:r>
          </w:p>
        </w:tc>
        <w:tc>
          <w:tcPr>
            <w:tcW w:w="0" w:type="auto"/>
            <w:shd w:val="clear" w:color="auto" w:fill="FFFFFF" w:themeFill="background1"/>
            <w:noWrap/>
            <w:vAlign w:val="bottom"/>
            <w:hideMark/>
          </w:tcPr>
          <w:p w14:paraId="31B0845A" w14:textId="77777777" w:rsidR="00254BF8" w:rsidRPr="00C84684" w:rsidRDefault="00254BF8">
            <w:pPr>
              <w:spacing w:line="240" w:lineRule="auto"/>
              <w:rPr>
                <w:rFonts w:cstheme="minorHAnsi"/>
              </w:rPr>
            </w:pPr>
            <w:r w:rsidRPr="00C84684">
              <w:rPr>
                <w:rFonts w:cstheme="minorHAnsi"/>
              </w:rPr>
              <w:t>Group Quarters</w:t>
            </w:r>
          </w:p>
        </w:tc>
        <w:tc>
          <w:tcPr>
            <w:tcW w:w="0" w:type="auto"/>
            <w:shd w:val="clear" w:color="auto" w:fill="FFFFFF" w:themeFill="background1"/>
            <w:noWrap/>
            <w:vAlign w:val="bottom"/>
            <w:hideMark/>
          </w:tcPr>
          <w:p w14:paraId="5BD2334E" w14:textId="77777777" w:rsidR="00254BF8" w:rsidRPr="00C84684" w:rsidRDefault="00254BF8">
            <w:pPr>
              <w:spacing w:line="240" w:lineRule="auto"/>
              <w:jc w:val="center"/>
              <w:rPr>
                <w:rFonts w:cstheme="minorHAnsi"/>
              </w:rPr>
            </w:pPr>
            <w:r w:rsidRPr="00C84684">
              <w:rPr>
                <w:rFonts w:cstheme="minorHAnsi"/>
              </w:rPr>
              <w:t>GQ3: 60   GQ7:87</w:t>
            </w:r>
          </w:p>
        </w:tc>
      </w:tr>
      <w:tr w:rsidR="00C84684" w:rsidRPr="00C84684" w14:paraId="14164C96" w14:textId="77777777" w:rsidTr="004D578C">
        <w:trPr>
          <w:trHeight w:hRule="exact" w:val="288"/>
        </w:trPr>
        <w:tc>
          <w:tcPr>
            <w:tcW w:w="0" w:type="auto"/>
            <w:shd w:val="clear" w:color="auto" w:fill="FFFFFF" w:themeFill="background1"/>
            <w:noWrap/>
            <w:vAlign w:val="bottom"/>
            <w:hideMark/>
          </w:tcPr>
          <w:p w14:paraId="6EEAFD55" w14:textId="77777777" w:rsidR="00254BF8" w:rsidRPr="00C84684" w:rsidRDefault="00254BF8">
            <w:pPr>
              <w:spacing w:line="240" w:lineRule="auto"/>
              <w:rPr>
                <w:rFonts w:cstheme="minorHAnsi"/>
              </w:rPr>
            </w:pPr>
            <w:r w:rsidRPr="00C84684">
              <w:rPr>
                <w:rFonts w:cstheme="minorHAnsi"/>
              </w:rPr>
              <w:t>Springfield</w:t>
            </w:r>
          </w:p>
        </w:tc>
        <w:tc>
          <w:tcPr>
            <w:tcW w:w="0" w:type="auto"/>
            <w:shd w:val="clear" w:color="auto" w:fill="FFFFFF" w:themeFill="background1"/>
            <w:noWrap/>
            <w:vAlign w:val="bottom"/>
            <w:hideMark/>
          </w:tcPr>
          <w:p w14:paraId="4805996B" w14:textId="77777777" w:rsidR="00254BF8" w:rsidRPr="00C84684" w:rsidRDefault="00254BF8">
            <w:pPr>
              <w:spacing w:line="240" w:lineRule="auto"/>
              <w:rPr>
                <w:rFonts w:cstheme="minorHAnsi"/>
              </w:rPr>
            </w:pPr>
            <w:r w:rsidRPr="00C84684">
              <w:rPr>
                <w:rFonts w:cstheme="minorHAnsi"/>
              </w:rPr>
              <w:t>Group Quarters</w:t>
            </w:r>
          </w:p>
        </w:tc>
        <w:tc>
          <w:tcPr>
            <w:tcW w:w="0" w:type="auto"/>
            <w:shd w:val="clear" w:color="auto" w:fill="FFFFFF" w:themeFill="background1"/>
            <w:noWrap/>
            <w:vAlign w:val="bottom"/>
            <w:hideMark/>
          </w:tcPr>
          <w:p w14:paraId="19DB7B4F" w14:textId="77777777" w:rsidR="00254BF8" w:rsidRPr="00C84684" w:rsidRDefault="00254BF8">
            <w:pPr>
              <w:spacing w:line="240" w:lineRule="auto"/>
              <w:jc w:val="center"/>
              <w:rPr>
                <w:rFonts w:cstheme="minorHAnsi"/>
              </w:rPr>
            </w:pPr>
            <w:r w:rsidRPr="00C84684">
              <w:rPr>
                <w:rFonts w:cstheme="minorHAnsi"/>
              </w:rPr>
              <w:t>GQ1: 70</w:t>
            </w:r>
          </w:p>
        </w:tc>
      </w:tr>
      <w:tr w:rsidR="00C84684" w:rsidRPr="00C84684" w14:paraId="2053FC02" w14:textId="77777777" w:rsidTr="004D578C">
        <w:trPr>
          <w:trHeight w:hRule="exact" w:val="288"/>
        </w:trPr>
        <w:tc>
          <w:tcPr>
            <w:tcW w:w="0" w:type="auto"/>
            <w:shd w:val="clear" w:color="auto" w:fill="FFFFFF" w:themeFill="background1"/>
            <w:vAlign w:val="center"/>
            <w:hideMark/>
          </w:tcPr>
          <w:p w14:paraId="3684C386" w14:textId="77777777" w:rsidR="00254BF8" w:rsidRPr="00C84684" w:rsidRDefault="00254BF8">
            <w:pPr>
              <w:spacing w:line="240" w:lineRule="auto"/>
              <w:rPr>
                <w:rFonts w:cstheme="minorHAnsi"/>
              </w:rPr>
            </w:pPr>
            <w:r w:rsidRPr="00C84684">
              <w:rPr>
                <w:rFonts w:cstheme="minorHAnsi"/>
              </w:rPr>
              <w:t>Wareham</w:t>
            </w:r>
          </w:p>
        </w:tc>
        <w:tc>
          <w:tcPr>
            <w:tcW w:w="0" w:type="auto"/>
            <w:shd w:val="clear" w:color="auto" w:fill="FFFFFF" w:themeFill="background1"/>
            <w:noWrap/>
            <w:vAlign w:val="bottom"/>
            <w:hideMark/>
          </w:tcPr>
          <w:p w14:paraId="1E4DCBE4" w14:textId="77777777" w:rsidR="00254BF8" w:rsidRPr="00C84684" w:rsidRDefault="00254BF8">
            <w:pPr>
              <w:spacing w:line="240" w:lineRule="auto"/>
              <w:rPr>
                <w:rFonts w:cstheme="minorHAnsi"/>
              </w:rPr>
            </w:pPr>
            <w:r w:rsidRPr="00C84684">
              <w:rPr>
                <w:rFonts w:cstheme="minorHAnsi"/>
              </w:rPr>
              <w:t>Group Quarters</w:t>
            </w:r>
          </w:p>
        </w:tc>
        <w:tc>
          <w:tcPr>
            <w:tcW w:w="0" w:type="auto"/>
            <w:shd w:val="clear" w:color="auto" w:fill="FFFFFF" w:themeFill="background1"/>
            <w:noWrap/>
            <w:vAlign w:val="bottom"/>
            <w:hideMark/>
          </w:tcPr>
          <w:p w14:paraId="2993A5FF" w14:textId="77777777" w:rsidR="00254BF8" w:rsidRPr="00C84684" w:rsidRDefault="00254BF8">
            <w:pPr>
              <w:spacing w:line="240" w:lineRule="auto"/>
              <w:jc w:val="center"/>
              <w:rPr>
                <w:rFonts w:cstheme="minorHAnsi"/>
              </w:rPr>
            </w:pPr>
            <w:r w:rsidRPr="00C84684">
              <w:rPr>
                <w:rFonts w:cstheme="minorHAnsi"/>
              </w:rPr>
              <w:t>GQ5: 83</w:t>
            </w:r>
          </w:p>
        </w:tc>
      </w:tr>
      <w:tr w:rsidR="00C84684" w:rsidRPr="00C84684" w14:paraId="49E42F5D" w14:textId="77777777" w:rsidTr="004D578C">
        <w:trPr>
          <w:trHeight w:hRule="exact" w:val="288"/>
        </w:trPr>
        <w:tc>
          <w:tcPr>
            <w:tcW w:w="0" w:type="auto"/>
            <w:shd w:val="clear" w:color="auto" w:fill="FFFFFF" w:themeFill="background1"/>
            <w:noWrap/>
            <w:vAlign w:val="bottom"/>
            <w:hideMark/>
          </w:tcPr>
          <w:p w14:paraId="50F7A06F" w14:textId="77777777" w:rsidR="00254BF8" w:rsidRPr="00C84684" w:rsidRDefault="00254BF8">
            <w:pPr>
              <w:spacing w:line="240" w:lineRule="auto"/>
              <w:rPr>
                <w:rFonts w:cstheme="minorHAnsi"/>
              </w:rPr>
            </w:pPr>
            <w:r w:rsidRPr="00C84684">
              <w:rPr>
                <w:rFonts w:cstheme="minorHAnsi"/>
              </w:rPr>
              <w:t>Wenham</w:t>
            </w:r>
          </w:p>
        </w:tc>
        <w:tc>
          <w:tcPr>
            <w:tcW w:w="0" w:type="auto"/>
            <w:shd w:val="clear" w:color="auto" w:fill="FFFFFF" w:themeFill="background1"/>
            <w:noWrap/>
            <w:vAlign w:val="bottom"/>
            <w:hideMark/>
          </w:tcPr>
          <w:p w14:paraId="46D295A5" w14:textId="77777777" w:rsidR="00254BF8" w:rsidRPr="00C84684" w:rsidRDefault="00254BF8">
            <w:pPr>
              <w:spacing w:line="240" w:lineRule="auto"/>
              <w:rPr>
                <w:rFonts w:cstheme="minorHAnsi"/>
              </w:rPr>
            </w:pPr>
            <w:r w:rsidRPr="00C84684">
              <w:rPr>
                <w:rFonts w:cstheme="minorHAnsi"/>
              </w:rPr>
              <w:t>Group Quarters</w:t>
            </w:r>
          </w:p>
        </w:tc>
        <w:tc>
          <w:tcPr>
            <w:tcW w:w="0" w:type="auto"/>
            <w:shd w:val="clear" w:color="auto" w:fill="FFFFFF" w:themeFill="background1"/>
            <w:noWrap/>
            <w:vAlign w:val="bottom"/>
            <w:hideMark/>
          </w:tcPr>
          <w:p w14:paraId="17C3B42F" w14:textId="77777777" w:rsidR="00254BF8" w:rsidRPr="00C84684" w:rsidRDefault="00254BF8">
            <w:pPr>
              <w:spacing w:line="240" w:lineRule="auto"/>
              <w:jc w:val="center"/>
              <w:rPr>
                <w:rFonts w:cstheme="minorHAnsi"/>
              </w:rPr>
            </w:pPr>
            <w:r w:rsidRPr="00C84684">
              <w:rPr>
                <w:rFonts w:cstheme="minorHAnsi"/>
              </w:rPr>
              <w:t>GQ5: 79</w:t>
            </w:r>
          </w:p>
        </w:tc>
      </w:tr>
    </w:tbl>
    <w:p w14:paraId="31E2186D" w14:textId="77777777" w:rsidR="001928B6" w:rsidRPr="00C84684" w:rsidRDefault="001928B6" w:rsidP="002230AF">
      <w:pPr>
        <w:spacing w:line="240" w:lineRule="auto"/>
        <w:rPr>
          <w:rFonts w:ascii="Calibri" w:eastAsia="Calibri" w:hAnsi="Calibri"/>
        </w:rPr>
      </w:pPr>
    </w:p>
    <w:p w14:paraId="7C7C5F33" w14:textId="516752B1" w:rsidR="00F82669" w:rsidRDefault="00A80F25" w:rsidP="004A1080">
      <w:pPr>
        <w:spacing w:line="240" w:lineRule="auto"/>
        <w:rPr>
          <w:rFonts w:ascii="Calibri" w:eastAsia="Calibri" w:hAnsi="Calibri"/>
        </w:rPr>
      </w:pPr>
      <w:r w:rsidRPr="00C84684">
        <w:rPr>
          <w:rFonts w:ascii="Calibri" w:eastAsia="Calibri" w:hAnsi="Calibri"/>
        </w:rPr>
        <w:t>Finally, we adjust population in our model for the Town of Lincoln and for the census tract in Lincoln that represents the Hanscom Air Force Base.</w:t>
      </w:r>
      <w:r w:rsidRPr="00C84684">
        <w:rPr>
          <w:rFonts w:ascii="Calibri" w:eastAsia="Calibri" w:hAnsi="Calibri"/>
          <w:vertAlign w:val="superscript"/>
        </w:rPr>
        <w:footnoteReference w:id="29"/>
      </w:r>
      <w:r w:rsidRPr="00C84684">
        <w:rPr>
          <w:rFonts w:ascii="Calibri" w:eastAsia="Calibri" w:hAnsi="Calibri"/>
        </w:rPr>
        <w:t xml:space="preserve"> We do this because Lincoln was counted in Census 2010 with a significantly reduced population—as much as 21% of the town and 55% of the tract population by our estimates—because a large number of the housing units at the military base were demolished just prior to the 2010 count and then replaced in 2011. Using the temporarily diminished population in 2010 as a base for calculat</w:t>
      </w:r>
      <w:r w:rsidR="00404B57" w:rsidRPr="00C84684">
        <w:rPr>
          <w:rFonts w:ascii="Calibri" w:eastAsia="Calibri" w:hAnsi="Calibri"/>
        </w:rPr>
        <w:t>ing</w:t>
      </w:r>
      <w:r w:rsidRPr="00C84684">
        <w:rPr>
          <w:rFonts w:ascii="Calibri" w:eastAsia="Calibri" w:hAnsi="Calibri"/>
        </w:rPr>
        <w:t xml:space="preserve"> ratios and projecting future estimates produces very unreasonable results. To correct for this, we substitute the 2000 tract population for 2010, reasoning that population housed at a military base does not necessarily age or migrate at the same rate as the household population, but, instead, functions like a “revolving door” population in terms of age breakdown.</w:t>
      </w:r>
      <w:r w:rsidRPr="00C84684">
        <w:rPr>
          <w:rFonts w:ascii="Calibri" w:eastAsia="Calibri" w:hAnsi="Calibri"/>
          <w:vertAlign w:val="superscript"/>
        </w:rPr>
        <w:footnoteReference w:id="30"/>
      </w:r>
      <w:r w:rsidRPr="00C84684">
        <w:rPr>
          <w:rFonts w:ascii="Calibri" w:eastAsia="Calibri" w:hAnsi="Calibri"/>
        </w:rPr>
        <w:t xml:space="preserve"> Although this substitution introduces the</w:t>
      </w:r>
      <w:r w:rsidR="002230AF" w:rsidRPr="00C84684">
        <w:rPr>
          <w:rFonts w:ascii="Calibri" w:eastAsia="Calibri" w:hAnsi="Calibri"/>
        </w:rPr>
        <w:t xml:space="preserve"> assumption that the count and characteristics of Lincoln population in 2010 were the same as that of 2000, we believe that overall, this processing decision produces a much more realistic estimate for that area than the unadjusted Census 2010 count.</w:t>
      </w:r>
      <w:r w:rsidR="002230AF" w:rsidRPr="00C84684">
        <w:rPr>
          <w:rFonts w:ascii="Calibri" w:eastAsia="Calibri" w:hAnsi="Calibri"/>
          <w:sz w:val="18"/>
          <w:szCs w:val="18"/>
        </w:rPr>
        <w:t xml:space="preserve"> </w:t>
      </w:r>
      <w:r w:rsidR="002230AF" w:rsidRPr="00C84684">
        <w:rPr>
          <w:rFonts w:ascii="Calibri" w:eastAsia="Calibri" w:hAnsi="Calibri"/>
        </w:rPr>
        <w:t xml:space="preserve">For the Lincoln tract-level populations used in the model, 2000 population was expressed in 2010 and 2020 tract geography, as required by the model. For the MCD-level, a 2010 population was modelled using 1990-2000 CCRS applied to the 2000 population by age and sex. </w:t>
      </w:r>
    </w:p>
    <w:p w14:paraId="27AC37DF" w14:textId="77777777" w:rsidR="004D578C" w:rsidRPr="00C84684" w:rsidRDefault="004D578C" w:rsidP="004A1080">
      <w:pPr>
        <w:spacing w:line="240" w:lineRule="auto"/>
        <w:rPr>
          <w:rFonts w:ascii="Calibri" w:eastAsia="Calibri" w:hAnsi="Calibri"/>
        </w:rPr>
      </w:pPr>
    </w:p>
    <w:p w14:paraId="280CF3F2" w14:textId="7F21C039" w:rsidR="004A1080" w:rsidRPr="00201848" w:rsidRDefault="00212C3E" w:rsidP="003941C8">
      <w:pPr>
        <w:pStyle w:val="Heading2"/>
        <w:numPr>
          <w:ilvl w:val="0"/>
          <w:numId w:val="38"/>
        </w:numPr>
        <w:rPr>
          <w:color w:val="595959" w:themeColor="text1" w:themeTint="A6"/>
        </w:rPr>
      </w:pPr>
      <w:r w:rsidRPr="00201848">
        <w:rPr>
          <w:color w:val="595959" w:themeColor="text1" w:themeTint="A6"/>
        </w:rPr>
        <w:lastRenderedPageBreak/>
        <w:t xml:space="preserve"> </w:t>
      </w:r>
      <w:bookmarkStart w:id="21" w:name="_Toc197520526"/>
      <w:r w:rsidR="003941C8" w:rsidRPr="00201848">
        <w:rPr>
          <w:color w:val="595959" w:themeColor="text1" w:themeTint="A6"/>
        </w:rPr>
        <w:t>Special adjustments: college tract overrides</w:t>
      </w:r>
      <w:bookmarkEnd w:id="21"/>
    </w:p>
    <w:p w14:paraId="71892B96" w14:textId="4084E108" w:rsidR="002230AF" w:rsidRPr="00D241F6" w:rsidRDefault="002230AF" w:rsidP="002230AF">
      <w:pPr>
        <w:pStyle w:val="BodyText"/>
        <w:rPr>
          <w:rFonts w:eastAsia="Calibri" w:cstheme="minorHAnsi"/>
        </w:rPr>
      </w:pPr>
      <w:r w:rsidRPr="00D241F6">
        <w:rPr>
          <w:rFonts w:eastAsia="Calibri" w:cstheme="minorHAnsi"/>
        </w:rPr>
        <w:t>In addition to housing units and group quarters populations that UMDI identified as undercounted in the 2020 Census, UMDI uncovered a few more particular cases for population adjustment when revie</w:t>
      </w:r>
      <w:r w:rsidR="000E20E6" w:rsidRPr="00D241F6">
        <w:rPr>
          <w:rFonts w:eastAsia="Calibri" w:cstheme="minorHAnsi"/>
        </w:rPr>
        <w:t>w</w:t>
      </w:r>
      <w:r w:rsidRPr="00D241F6">
        <w:rPr>
          <w:rFonts w:eastAsia="Calibri" w:cstheme="minorHAnsi"/>
        </w:rPr>
        <w:t>ing the first run of retrospective 2020 estimates against the 2020 Census count. In this comparison</w:t>
      </w:r>
      <w:r w:rsidR="0089467A">
        <w:rPr>
          <w:rFonts w:eastAsia="Calibri" w:cstheme="minorHAnsi"/>
        </w:rPr>
        <w:t>,</w:t>
      </w:r>
      <w:r w:rsidRPr="00D241F6">
        <w:rPr>
          <w:rFonts w:eastAsia="Calibri" w:cstheme="minorHAnsi"/>
        </w:rPr>
        <w:t xml:space="preserve"> cohorts in a few geographies were generating unusually large percentage differences that warranted more detailed investigation</w:t>
      </w:r>
      <w:r w:rsidR="00EE42A6">
        <w:rPr>
          <w:rFonts w:eastAsia="Calibri" w:cstheme="minorHAnsi"/>
        </w:rPr>
        <w:t>.</w:t>
      </w:r>
      <w:r w:rsidR="000E4FAB">
        <w:rPr>
          <w:rFonts w:eastAsia="Calibri" w:cstheme="minorHAnsi"/>
        </w:rPr>
        <w:t xml:space="preserve"> </w:t>
      </w:r>
    </w:p>
    <w:p w14:paraId="36F231EF" w14:textId="793FD957" w:rsidR="002230AF" w:rsidRPr="004C6C51" w:rsidRDefault="002230AF" w:rsidP="002230AF">
      <w:pPr>
        <w:pStyle w:val="BodyText"/>
        <w:rPr>
          <w:rFonts w:eastAsia="Calibri" w:cstheme="minorHAnsi"/>
        </w:rPr>
      </w:pPr>
      <w:r w:rsidRPr="004C6C51">
        <w:rPr>
          <w:rFonts w:eastAsia="Calibri" w:cstheme="minorHAnsi"/>
        </w:rPr>
        <w:t xml:space="preserve">The first of these occurred in the Census tract </w:t>
      </w:r>
      <w:r w:rsidR="004913DA">
        <w:rPr>
          <w:rFonts w:eastAsia="Calibri" w:cstheme="minorHAnsi"/>
        </w:rPr>
        <w:t xml:space="preserve">in Amherst </w:t>
      </w:r>
      <w:r w:rsidRPr="004C6C51">
        <w:rPr>
          <w:rFonts w:eastAsia="Calibri" w:cstheme="minorHAnsi"/>
        </w:rPr>
        <w:t>that includes Hampshire College.</w:t>
      </w:r>
      <w:r w:rsidRPr="004C6C51">
        <w:rPr>
          <w:rStyle w:val="FootnoteReference"/>
          <w:rFonts w:eastAsia="Calibri" w:cstheme="minorHAnsi"/>
        </w:rPr>
        <w:footnoteReference w:id="31"/>
      </w:r>
      <w:r w:rsidRPr="004C6C51">
        <w:rPr>
          <w:rFonts w:eastAsia="Calibri" w:cstheme="minorHAnsi"/>
        </w:rPr>
        <w:t xml:space="preserve"> Between the 2010 Census and the 2020 Census, Hampshire College reduced its student population significantly, from 1,157 students housed in its dormitories (or “Group Quarters Type 5, or “GQ5” population, in U.S. Census terms) to 579 in 2020. Because this tract is comprised exclusively of college students in 2020, the reduction greatly affected both the error, when comparing the 2020 estimate to the 2020 Census count, and the CCRs used to project the population to 2030. To correct for this issue, in the 2030 projection UMDI takes the Census 2020 population by age and sex in the tract and carries it forward to 2030, unchanged, before controlling to the county estimate. This adjustment assumes that the population living at Hampshire College may be treated as a “revolving door” population, with students in 2020 replaced by other students of the same age in future years.</w:t>
      </w:r>
    </w:p>
    <w:p w14:paraId="33A5461E" w14:textId="34EA1B73" w:rsidR="002230AF" w:rsidRPr="004C6C51" w:rsidRDefault="002230AF" w:rsidP="002230AF">
      <w:pPr>
        <w:pStyle w:val="BodyText"/>
        <w:rPr>
          <w:rFonts w:eastAsia="Calibri" w:cstheme="minorHAnsi"/>
        </w:rPr>
      </w:pPr>
      <w:r w:rsidRPr="004C6C51">
        <w:rPr>
          <w:rFonts w:eastAsia="Calibri" w:cstheme="minorHAnsi"/>
        </w:rPr>
        <w:t xml:space="preserve">A second, similar situation was observed in the Census tract </w:t>
      </w:r>
      <w:r w:rsidR="003F0F06">
        <w:rPr>
          <w:rFonts w:eastAsia="Calibri" w:cstheme="minorHAnsi"/>
        </w:rPr>
        <w:t xml:space="preserve">in Newton </w:t>
      </w:r>
      <w:r w:rsidRPr="004C6C51">
        <w:rPr>
          <w:rFonts w:eastAsia="Calibri" w:cstheme="minorHAnsi"/>
        </w:rPr>
        <w:t>that includes the Mount Ida college campus.</w:t>
      </w:r>
      <w:r w:rsidRPr="004C6C51">
        <w:rPr>
          <w:rStyle w:val="FootnoteReference"/>
          <w:rFonts w:eastAsia="Calibri" w:cstheme="minorHAnsi"/>
        </w:rPr>
        <w:footnoteReference w:id="32"/>
      </w:r>
      <w:r w:rsidRPr="004C6C51">
        <w:rPr>
          <w:rFonts w:eastAsia="Calibri" w:cstheme="minorHAnsi"/>
        </w:rPr>
        <w:t xml:space="preserve"> The college closed between 2010 and 2020 and was purchased by UMass as a location for student intern programs, with limited on-campus housing. According to U.S. Census counts, the on-campus student population (GQ5 population) was reduced from 868 in 2010 to just 54 in 2020. Like the Hampshire College case, the drastic decrease in a very specific age cohort was having a large effect on the cohort-change ratios for those cohorts. Unlike the Hampshire College case, however, the Mount Ida tract also included a very large “household” population not residing in dorms and making up 98.9% of the total tract population. For this tract, UMDI</w:t>
      </w:r>
      <w:r w:rsidRPr="004C6C51" w:rsidDel="00DA7441">
        <w:rPr>
          <w:rFonts w:eastAsia="Calibri" w:cstheme="minorHAnsi"/>
        </w:rPr>
        <w:t xml:space="preserve"> </w:t>
      </w:r>
      <w:r w:rsidR="00DA7441" w:rsidRPr="004C6C51">
        <w:rPr>
          <w:rFonts w:eastAsia="Calibri" w:cstheme="minorHAnsi"/>
        </w:rPr>
        <w:t>h</w:t>
      </w:r>
      <w:r w:rsidR="00DA7441">
        <w:rPr>
          <w:rFonts w:eastAsia="Calibri" w:cstheme="minorHAnsi"/>
        </w:rPr>
        <w:t>olds</w:t>
      </w:r>
      <w:r w:rsidR="00DA7441" w:rsidRPr="004C6C51">
        <w:rPr>
          <w:rFonts w:eastAsia="Calibri" w:cstheme="minorHAnsi"/>
        </w:rPr>
        <w:t xml:space="preserve"> </w:t>
      </w:r>
      <w:r w:rsidRPr="004C6C51">
        <w:rPr>
          <w:rFonts w:eastAsia="Calibri" w:cstheme="minorHAnsi"/>
        </w:rPr>
        <w:t xml:space="preserve">constant to 2030 only the 20-24 and 25-29 populations from the Census 2020 count. </w:t>
      </w:r>
    </w:p>
    <w:p w14:paraId="4AFBA03E" w14:textId="6D946492" w:rsidR="002230AF" w:rsidRPr="004C6C51" w:rsidRDefault="002230AF" w:rsidP="002230AF">
      <w:pPr>
        <w:rPr>
          <w:rFonts w:cstheme="minorHAnsi"/>
        </w:rPr>
      </w:pPr>
      <w:r w:rsidRPr="004C6C51">
        <w:rPr>
          <w:rFonts w:eastAsia="Calibri" w:cstheme="minorHAnsi"/>
        </w:rPr>
        <w:t xml:space="preserve">Finally, the tract location </w:t>
      </w:r>
      <w:r w:rsidR="00D56A27">
        <w:rPr>
          <w:rFonts w:eastAsia="Calibri" w:cstheme="minorHAnsi"/>
        </w:rPr>
        <w:t xml:space="preserve">in Boston </w:t>
      </w:r>
      <w:r w:rsidRPr="004C6C51">
        <w:rPr>
          <w:rFonts w:eastAsia="Calibri" w:cstheme="minorHAnsi"/>
        </w:rPr>
        <w:t>for UMass Boston experienced a large increase in the on-campus population due to the opening of student housing at the college between 2010 and 2020.</w:t>
      </w:r>
      <w:r w:rsidRPr="004C6C51">
        <w:rPr>
          <w:rStyle w:val="FootnoteReference"/>
          <w:rFonts w:eastAsia="Calibri" w:cstheme="minorHAnsi"/>
        </w:rPr>
        <w:footnoteReference w:id="33"/>
      </w:r>
      <w:r w:rsidRPr="004C6C51">
        <w:rPr>
          <w:rFonts w:eastAsia="Calibri" w:cstheme="minorHAnsi"/>
        </w:rPr>
        <w:t xml:space="preserve"> In this case, the GQ5 population increased from 0 in 2010 to 1,077, comprising 29.9% of the total tract population. To adjust for this, UMDI </w:t>
      </w:r>
      <w:r w:rsidRPr="004C6C51">
        <w:rPr>
          <w:rFonts w:cstheme="minorHAnsi"/>
        </w:rPr>
        <w:t>start</w:t>
      </w:r>
      <w:r w:rsidR="00DA7441">
        <w:rPr>
          <w:rFonts w:cstheme="minorHAnsi"/>
        </w:rPr>
        <w:t>s</w:t>
      </w:r>
      <w:r w:rsidRPr="004C6C51">
        <w:rPr>
          <w:rFonts w:cstheme="minorHAnsi"/>
        </w:rPr>
        <w:t xml:space="preserve"> with the Census 2020 values for a launch population, perform</w:t>
      </w:r>
      <w:r w:rsidR="00DA7441">
        <w:rPr>
          <w:rFonts w:cstheme="minorHAnsi"/>
        </w:rPr>
        <w:t>s</w:t>
      </w:r>
      <w:r w:rsidRPr="004C6C51">
        <w:rPr>
          <w:rFonts w:cstheme="minorHAnsi"/>
        </w:rPr>
        <w:t xml:space="preserve"> a CCR based on that, and interpolate</w:t>
      </w:r>
      <w:r w:rsidR="00DA7441">
        <w:rPr>
          <w:rFonts w:cstheme="minorHAnsi"/>
        </w:rPr>
        <w:t>s</w:t>
      </w:r>
      <w:r w:rsidRPr="004C6C51">
        <w:rPr>
          <w:rFonts w:cstheme="minorHAnsi"/>
        </w:rPr>
        <w:t xml:space="preserve"> to 2030. Then, we add 1,077 (the new dorm population) </w:t>
      </w:r>
      <w:r w:rsidR="00DA7441">
        <w:rPr>
          <w:rFonts w:cstheme="minorHAnsi"/>
        </w:rPr>
        <w:t xml:space="preserve">to the tract population </w:t>
      </w:r>
      <w:r w:rsidRPr="004C6C51">
        <w:rPr>
          <w:rFonts w:cstheme="minorHAnsi"/>
        </w:rPr>
        <w:t xml:space="preserve">for all years from 2020 through 2030, again assuming that the students added in 2020 will be replaced in future years by new students. To distribute the 1,077 students to age/sex cohorts, we use the state-level age/sex distribution of the GQ5 population. </w:t>
      </w:r>
    </w:p>
    <w:p w14:paraId="52A03FAE" w14:textId="5A9E12A7" w:rsidR="00DF0E0D" w:rsidRPr="009E4D05" w:rsidRDefault="002230AF" w:rsidP="009539AE">
      <w:pPr>
        <w:spacing w:line="240" w:lineRule="auto"/>
        <w:rPr>
          <w:rFonts w:cstheme="minorHAnsi"/>
        </w:rPr>
      </w:pPr>
      <w:r w:rsidRPr="009E4D05">
        <w:rPr>
          <w:rFonts w:cstheme="minorHAnsi"/>
        </w:rPr>
        <w:t xml:space="preserve">All of the college tract adjustments are built into the model before controlling to the Census Bureau’s annual county-level age/sex </w:t>
      </w:r>
      <w:r w:rsidR="002E1446" w:rsidRPr="009E4D05">
        <w:rPr>
          <w:rFonts w:cstheme="minorHAnsi"/>
        </w:rPr>
        <w:t>and the age/sex/race/ethnicity estimates for the V2025 model,</w:t>
      </w:r>
      <w:r w:rsidRPr="009E4D05">
        <w:rPr>
          <w:rFonts w:cstheme="minorHAnsi"/>
        </w:rPr>
        <w:t xml:space="preserve"> and before distributing 5-year age cohorts to single years of age. Table 2 below displays the population detail for the college override tracts.</w:t>
      </w:r>
    </w:p>
    <w:p w14:paraId="2984A403" w14:textId="2DC564DE" w:rsidR="00E22536" w:rsidRPr="0064532C" w:rsidRDefault="00E22536" w:rsidP="00E22536">
      <w:pPr>
        <w:pStyle w:val="Caption"/>
        <w:rPr>
          <w:color w:val="auto"/>
        </w:rPr>
      </w:pPr>
      <w:bookmarkStart w:id="22" w:name="_Toc170212114"/>
      <w:bookmarkStart w:id="23" w:name="_Toc197520548"/>
      <w:r w:rsidRPr="0064532C">
        <w:rPr>
          <w:color w:val="auto"/>
        </w:rPr>
        <w:lastRenderedPageBreak/>
        <w:t xml:space="preserve">Table </w:t>
      </w:r>
      <w:r w:rsidRPr="0064532C">
        <w:rPr>
          <w:color w:val="auto"/>
        </w:rPr>
        <w:fldChar w:fldCharType="begin"/>
      </w:r>
      <w:r w:rsidRPr="0064532C">
        <w:rPr>
          <w:color w:val="auto"/>
        </w:rPr>
        <w:instrText xml:space="preserve"> SEQ Table \* ARABIC </w:instrText>
      </w:r>
      <w:r w:rsidRPr="0064532C">
        <w:rPr>
          <w:color w:val="auto"/>
        </w:rPr>
        <w:fldChar w:fldCharType="separate"/>
      </w:r>
      <w:r w:rsidR="00682CB2" w:rsidRPr="0064532C">
        <w:rPr>
          <w:color w:val="auto"/>
        </w:rPr>
        <w:t>2</w:t>
      </w:r>
      <w:r w:rsidRPr="0064532C">
        <w:rPr>
          <w:color w:val="auto"/>
        </w:rPr>
        <w:fldChar w:fldCharType="end"/>
      </w:r>
      <w:r w:rsidRPr="0064532C">
        <w:rPr>
          <w:color w:val="auto"/>
        </w:rPr>
        <w:t>. College Override Tracts and Populations</w:t>
      </w:r>
      <w:bookmarkEnd w:id="22"/>
      <w:bookmarkEnd w:id="23"/>
    </w:p>
    <w:tbl>
      <w:tblPr>
        <w:tblStyle w:val="TableGrid1"/>
        <w:tblW w:w="8545" w:type="dxa"/>
        <w:tblLayout w:type="fixed"/>
        <w:tblLook w:val="04A0" w:firstRow="1" w:lastRow="0" w:firstColumn="1" w:lastColumn="0" w:noHBand="0" w:noVBand="1"/>
      </w:tblPr>
      <w:tblGrid>
        <w:gridCol w:w="1428"/>
        <w:gridCol w:w="997"/>
        <w:gridCol w:w="990"/>
        <w:gridCol w:w="1080"/>
        <w:gridCol w:w="990"/>
        <w:gridCol w:w="1080"/>
        <w:gridCol w:w="990"/>
        <w:gridCol w:w="990"/>
      </w:tblGrid>
      <w:tr w:rsidR="0064532C" w:rsidRPr="0064532C" w14:paraId="15F67947" w14:textId="77777777" w:rsidTr="0015632F">
        <w:trPr>
          <w:trHeight w:hRule="exact" w:val="285"/>
        </w:trPr>
        <w:tc>
          <w:tcPr>
            <w:tcW w:w="1428" w:type="dxa"/>
            <w:noWrap/>
            <w:hideMark/>
          </w:tcPr>
          <w:p w14:paraId="68B7D525" w14:textId="77777777" w:rsidR="00DF0E0D" w:rsidRPr="0064532C" w:rsidRDefault="00DF0E0D">
            <w:pPr>
              <w:spacing w:line="240" w:lineRule="auto"/>
              <w:rPr>
                <w:rFonts w:asciiTheme="minorHAnsi" w:hAnsiTheme="minorHAnsi" w:cstheme="minorHAnsi"/>
                <w:sz w:val="20"/>
                <w:szCs w:val="20"/>
              </w:rPr>
            </w:pPr>
            <w:r w:rsidRPr="0064532C">
              <w:rPr>
                <w:rFonts w:asciiTheme="minorHAnsi" w:hAnsiTheme="minorHAnsi" w:cstheme="minorHAnsi"/>
                <w:sz w:val="20"/>
                <w:szCs w:val="20"/>
              </w:rPr>
              <w:t>College</w:t>
            </w:r>
          </w:p>
        </w:tc>
        <w:tc>
          <w:tcPr>
            <w:tcW w:w="1987" w:type="dxa"/>
            <w:gridSpan w:val="2"/>
            <w:noWrap/>
            <w:hideMark/>
          </w:tcPr>
          <w:p w14:paraId="6F78CB99" w14:textId="77777777" w:rsidR="00DF0E0D" w:rsidRPr="0064532C" w:rsidRDefault="00DF0E0D">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Hampshire College</w:t>
            </w:r>
          </w:p>
        </w:tc>
        <w:tc>
          <w:tcPr>
            <w:tcW w:w="2070" w:type="dxa"/>
            <w:gridSpan w:val="2"/>
            <w:noWrap/>
            <w:hideMark/>
          </w:tcPr>
          <w:p w14:paraId="0827A0A6" w14:textId="77777777" w:rsidR="00DF0E0D" w:rsidRPr="0064532C" w:rsidRDefault="00DF0E0D">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Mt. Ida</w:t>
            </w:r>
          </w:p>
        </w:tc>
        <w:tc>
          <w:tcPr>
            <w:tcW w:w="3060" w:type="dxa"/>
            <w:gridSpan w:val="3"/>
            <w:noWrap/>
            <w:hideMark/>
          </w:tcPr>
          <w:p w14:paraId="734AC1B7" w14:textId="77777777" w:rsidR="00DF0E0D" w:rsidRPr="0064532C" w:rsidRDefault="00DF0E0D">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UMass Boston</w:t>
            </w:r>
          </w:p>
        </w:tc>
      </w:tr>
      <w:tr w:rsidR="0064532C" w:rsidRPr="0064532C" w14:paraId="542CB381" w14:textId="77777777" w:rsidTr="0015632F">
        <w:trPr>
          <w:trHeight w:hRule="exact" w:val="285"/>
        </w:trPr>
        <w:tc>
          <w:tcPr>
            <w:tcW w:w="1428" w:type="dxa"/>
            <w:noWrap/>
            <w:hideMark/>
          </w:tcPr>
          <w:p w14:paraId="2B974C92" w14:textId="77777777" w:rsidR="00DF0E0D" w:rsidRPr="0064532C" w:rsidRDefault="00DF0E0D">
            <w:pPr>
              <w:spacing w:line="240" w:lineRule="auto"/>
              <w:rPr>
                <w:rFonts w:asciiTheme="minorHAnsi" w:hAnsiTheme="minorHAnsi" w:cstheme="minorHAnsi"/>
                <w:sz w:val="20"/>
                <w:szCs w:val="20"/>
              </w:rPr>
            </w:pPr>
            <w:r w:rsidRPr="0064532C">
              <w:rPr>
                <w:rFonts w:asciiTheme="minorHAnsi" w:hAnsiTheme="minorHAnsi" w:cstheme="minorHAnsi"/>
                <w:sz w:val="20"/>
                <w:szCs w:val="20"/>
              </w:rPr>
              <w:t>GEOID</w:t>
            </w:r>
          </w:p>
        </w:tc>
        <w:tc>
          <w:tcPr>
            <w:tcW w:w="1987" w:type="dxa"/>
            <w:gridSpan w:val="2"/>
            <w:noWrap/>
            <w:hideMark/>
          </w:tcPr>
          <w:p w14:paraId="66614438" w14:textId="77777777" w:rsidR="00DF0E0D" w:rsidRPr="0064532C" w:rsidRDefault="00DF0E0D" w:rsidP="0015632F">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25015820802</w:t>
            </w:r>
          </w:p>
        </w:tc>
        <w:tc>
          <w:tcPr>
            <w:tcW w:w="2070" w:type="dxa"/>
            <w:gridSpan w:val="2"/>
            <w:noWrap/>
            <w:hideMark/>
          </w:tcPr>
          <w:p w14:paraId="3C83079D" w14:textId="77777777" w:rsidR="00DF0E0D" w:rsidRPr="0064532C" w:rsidRDefault="00DF0E0D" w:rsidP="0015632F">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25017374000</w:t>
            </w:r>
          </w:p>
        </w:tc>
        <w:tc>
          <w:tcPr>
            <w:tcW w:w="3060" w:type="dxa"/>
            <w:gridSpan w:val="3"/>
            <w:noWrap/>
            <w:hideMark/>
          </w:tcPr>
          <w:p w14:paraId="09C7E1C3" w14:textId="77777777" w:rsidR="00DF0E0D" w:rsidRPr="0064532C" w:rsidRDefault="00DF0E0D" w:rsidP="0015632F">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25025090901</w:t>
            </w:r>
          </w:p>
        </w:tc>
      </w:tr>
      <w:tr w:rsidR="0064532C" w:rsidRPr="0064532C" w14:paraId="2C159141" w14:textId="77777777" w:rsidTr="0015632F">
        <w:trPr>
          <w:trHeight w:hRule="exact" w:val="285"/>
        </w:trPr>
        <w:tc>
          <w:tcPr>
            <w:tcW w:w="1428" w:type="dxa"/>
            <w:noWrap/>
          </w:tcPr>
          <w:p w14:paraId="51EF4882" w14:textId="77777777" w:rsidR="00DF0E0D" w:rsidRPr="0064532C" w:rsidRDefault="00DF0E0D">
            <w:pPr>
              <w:spacing w:line="240" w:lineRule="auto"/>
              <w:rPr>
                <w:rFonts w:asciiTheme="minorHAnsi" w:hAnsiTheme="minorHAnsi" w:cstheme="minorHAnsi"/>
                <w:sz w:val="20"/>
                <w:szCs w:val="20"/>
              </w:rPr>
            </w:pPr>
            <w:r w:rsidRPr="0064532C">
              <w:rPr>
                <w:rFonts w:asciiTheme="minorHAnsi" w:hAnsiTheme="minorHAnsi" w:cstheme="minorHAnsi"/>
                <w:sz w:val="20"/>
                <w:szCs w:val="20"/>
              </w:rPr>
              <w:t>Year</w:t>
            </w:r>
          </w:p>
        </w:tc>
        <w:tc>
          <w:tcPr>
            <w:tcW w:w="997" w:type="dxa"/>
            <w:noWrap/>
          </w:tcPr>
          <w:p w14:paraId="63BD8B9A" w14:textId="77777777" w:rsidR="00DF0E0D" w:rsidRPr="0064532C" w:rsidRDefault="00DF0E0D">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2010</w:t>
            </w:r>
          </w:p>
        </w:tc>
        <w:tc>
          <w:tcPr>
            <w:tcW w:w="990" w:type="dxa"/>
            <w:noWrap/>
          </w:tcPr>
          <w:p w14:paraId="79A16DC1" w14:textId="77777777" w:rsidR="00DF0E0D" w:rsidRPr="0064532C" w:rsidRDefault="00DF0E0D">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2020</w:t>
            </w:r>
          </w:p>
        </w:tc>
        <w:tc>
          <w:tcPr>
            <w:tcW w:w="1080" w:type="dxa"/>
            <w:noWrap/>
          </w:tcPr>
          <w:p w14:paraId="40FC8B03" w14:textId="77777777" w:rsidR="00DF0E0D" w:rsidRPr="0064532C" w:rsidRDefault="00DF0E0D">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2010</w:t>
            </w:r>
          </w:p>
        </w:tc>
        <w:tc>
          <w:tcPr>
            <w:tcW w:w="990" w:type="dxa"/>
            <w:noWrap/>
          </w:tcPr>
          <w:p w14:paraId="336DBC58" w14:textId="77777777" w:rsidR="00DF0E0D" w:rsidRPr="0064532C" w:rsidRDefault="00DF0E0D">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2020</w:t>
            </w:r>
          </w:p>
        </w:tc>
        <w:tc>
          <w:tcPr>
            <w:tcW w:w="1080" w:type="dxa"/>
            <w:noWrap/>
          </w:tcPr>
          <w:p w14:paraId="13DF5609" w14:textId="77777777" w:rsidR="00DF0E0D" w:rsidRPr="0064532C" w:rsidRDefault="00DF0E0D">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2010</w:t>
            </w:r>
          </w:p>
        </w:tc>
        <w:tc>
          <w:tcPr>
            <w:tcW w:w="990" w:type="dxa"/>
            <w:noWrap/>
          </w:tcPr>
          <w:p w14:paraId="79F4577B" w14:textId="77777777" w:rsidR="00DF0E0D" w:rsidRPr="0064532C" w:rsidRDefault="00DF0E0D">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2020</w:t>
            </w:r>
          </w:p>
        </w:tc>
        <w:tc>
          <w:tcPr>
            <w:tcW w:w="990" w:type="dxa"/>
            <w:noWrap/>
          </w:tcPr>
          <w:p w14:paraId="2DCCFD13" w14:textId="77777777" w:rsidR="00DF0E0D" w:rsidRPr="0064532C" w:rsidRDefault="00DF0E0D">
            <w:pPr>
              <w:spacing w:line="240" w:lineRule="auto"/>
              <w:jc w:val="center"/>
              <w:rPr>
                <w:rFonts w:asciiTheme="minorHAnsi" w:hAnsiTheme="minorHAnsi" w:cstheme="minorHAnsi"/>
                <w:sz w:val="20"/>
                <w:szCs w:val="20"/>
              </w:rPr>
            </w:pPr>
            <w:r w:rsidRPr="0064532C">
              <w:rPr>
                <w:rFonts w:asciiTheme="minorHAnsi" w:hAnsiTheme="minorHAnsi" w:cstheme="minorHAnsi"/>
                <w:sz w:val="20"/>
                <w:szCs w:val="20"/>
              </w:rPr>
              <w:t>2020</w:t>
            </w:r>
            <w:r w:rsidRPr="0064532C">
              <w:rPr>
                <w:rStyle w:val="FootnoteReference"/>
                <w:rFonts w:asciiTheme="minorHAnsi" w:hAnsiTheme="minorHAnsi" w:cstheme="minorHAnsi"/>
                <w:sz w:val="20"/>
                <w:szCs w:val="20"/>
              </w:rPr>
              <w:footnoteReference w:id="34"/>
            </w:r>
          </w:p>
        </w:tc>
      </w:tr>
      <w:tr w:rsidR="0064532C" w:rsidRPr="0064532C" w14:paraId="726558EE" w14:textId="77777777" w:rsidTr="0015632F">
        <w:trPr>
          <w:trHeight w:hRule="exact" w:val="285"/>
        </w:trPr>
        <w:tc>
          <w:tcPr>
            <w:tcW w:w="1428" w:type="dxa"/>
            <w:noWrap/>
            <w:hideMark/>
          </w:tcPr>
          <w:p w14:paraId="52722BCD" w14:textId="77777777" w:rsidR="00DF0E0D" w:rsidRPr="0064532C" w:rsidRDefault="00DF0E0D">
            <w:pPr>
              <w:spacing w:line="240" w:lineRule="auto"/>
              <w:rPr>
                <w:rFonts w:asciiTheme="minorHAnsi" w:hAnsiTheme="minorHAnsi" w:cstheme="minorHAnsi"/>
                <w:sz w:val="20"/>
                <w:szCs w:val="20"/>
              </w:rPr>
            </w:pPr>
            <w:r w:rsidRPr="0064532C">
              <w:rPr>
                <w:rFonts w:asciiTheme="minorHAnsi" w:hAnsiTheme="minorHAnsi" w:cstheme="minorHAnsi"/>
                <w:sz w:val="20"/>
                <w:szCs w:val="20"/>
              </w:rPr>
              <w:t>Total Pop</w:t>
            </w:r>
          </w:p>
        </w:tc>
        <w:tc>
          <w:tcPr>
            <w:tcW w:w="997" w:type="dxa"/>
            <w:noWrap/>
            <w:hideMark/>
          </w:tcPr>
          <w:p w14:paraId="0107325D"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1,321</w:t>
            </w:r>
          </w:p>
        </w:tc>
        <w:tc>
          <w:tcPr>
            <w:tcW w:w="990" w:type="dxa"/>
            <w:noWrap/>
            <w:hideMark/>
          </w:tcPr>
          <w:p w14:paraId="0C23D9ED"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579</w:t>
            </w:r>
          </w:p>
        </w:tc>
        <w:tc>
          <w:tcPr>
            <w:tcW w:w="1080" w:type="dxa"/>
            <w:noWrap/>
            <w:hideMark/>
          </w:tcPr>
          <w:p w14:paraId="566C1F28"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5,237</w:t>
            </w:r>
          </w:p>
        </w:tc>
        <w:tc>
          <w:tcPr>
            <w:tcW w:w="990" w:type="dxa"/>
            <w:noWrap/>
            <w:hideMark/>
          </w:tcPr>
          <w:p w14:paraId="0CF42082"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4,808</w:t>
            </w:r>
          </w:p>
        </w:tc>
        <w:tc>
          <w:tcPr>
            <w:tcW w:w="1080" w:type="dxa"/>
            <w:noWrap/>
            <w:hideMark/>
          </w:tcPr>
          <w:p w14:paraId="0C8FC44A"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3,730</w:t>
            </w:r>
          </w:p>
        </w:tc>
        <w:tc>
          <w:tcPr>
            <w:tcW w:w="990" w:type="dxa"/>
            <w:noWrap/>
            <w:hideMark/>
          </w:tcPr>
          <w:p w14:paraId="026A130B"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3,600</w:t>
            </w:r>
          </w:p>
        </w:tc>
        <w:tc>
          <w:tcPr>
            <w:tcW w:w="990" w:type="dxa"/>
            <w:noWrap/>
            <w:hideMark/>
          </w:tcPr>
          <w:p w14:paraId="3A693D67"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3,600</w:t>
            </w:r>
          </w:p>
        </w:tc>
      </w:tr>
      <w:tr w:rsidR="0064532C" w:rsidRPr="0064532C" w14:paraId="3F79FD44" w14:textId="77777777" w:rsidTr="0015632F">
        <w:trPr>
          <w:trHeight w:hRule="exact" w:val="285"/>
        </w:trPr>
        <w:tc>
          <w:tcPr>
            <w:tcW w:w="1428" w:type="dxa"/>
            <w:noWrap/>
            <w:hideMark/>
          </w:tcPr>
          <w:p w14:paraId="3511A25D" w14:textId="77777777" w:rsidR="00DF0E0D" w:rsidRPr="0064532C" w:rsidRDefault="00DF0E0D">
            <w:pPr>
              <w:spacing w:line="240" w:lineRule="auto"/>
              <w:rPr>
                <w:rFonts w:asciiTheme="minorHAnsi" w:hAnsiTheme="minorHAnsi" w:cstheme="minorHAnsi"/>
                <w:sz w:val="20"/>
                <w:szCs w:val="20"/>
              </w:rPr>
            </w:pPr>
            <w:r w:rsidRPr="0064532C">
              <w:rPr>
                <w:rFonts w:asciiTheme="minorHAnsi" w:hAnsiTheme="minorHAnsi" w:cstheme="minorHAnsi"/>
                <w:sz w:val="20"/>
                <w:szCs w:val="20"/>
              </w:rPr>
              <w:t>GQ 5 pop</w:t>
            </w:r>
          </w:p>
        </w:tc>
        <w:tc>
          <w:tcPr>
            <w:tcW w:w="997" w:type="dxa"/>
            <w:noWrap/>
            <w:hideMark/>
          </w:tcPr>
          <w:p w14:paraId="008EA607"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1,157</w:t>
            </w:r>
          </w:p>
        </w:tc>
        <w:tc>
          <w:tcPr>
            <w:tcW w:w="990" w:type="dxa"/>
            <w:noWrap/>
            <w:hideMark/>
          </w:tcPr>
          <w:p w14:paraId="7B83FEA8"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579</w:t>
            </w:r>
          </w:p>
        </w:tc>
        <w:tc>
          <w:tcPr>
            <w:tcW w:w="1080" w:type="dxa"/>
            <w:noWrap/>
            <w:hideMark/>
          </w:tcPr>
          <w:p w14:paraId="11CD6201"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868</w:t>
            </w:r>
          </w:p>
        </w:tc>
        <w:tc>
          <w:tcPr>
            <w:tcW w:w="990" w:type="dxa"/>
            <w:noWrap/>
            <w:hideMark/>
          </w:tcPr>
          <w:p w14:paraId="0F357FD5"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54</w:t>
            </w:r>
          </w:p>
        </w:tc>
        <w:tc>
          <w:tcPr>
            <w:tcW w:w="1080" w:type="dxa"/>
            <w:noWrap/>
            <w:hideMark/>
          </w:tcPr>
          <w:p w14:paraId="1275BC17"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w:t>
            </w:r>
          </w:p>
        </w:tc>
        <w:tc>
          <w:tcPr>
            <w:tcW w:w="990" w:type="dxa"/>
            <w:noWrap/>
            <w:hideMark/>
          </w:tcPr>
          <w:p w14:paraId="49BD6A30"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w:t>
            </w:r>
          </w:p>
        </w:tc>
        <w:tc>
          <w:tcPr>
            <w:tcW w:w="990" w:type="dxa"/>
            <w:noWrap/>
            <w:hideMark/>
          </w:tcPr>
          <w:p w14:paraId="029F973F"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1,077</w:t>
            </w:r>
          </w:p>
        </w:tc>
      </w:tr>
      <w:tr w:rsidR="0064532C" w:rsidRPr="0064532C" w14:paraId="67D03F2A" w14:textId="77777777" w:rsidTr="0015632F">
        <w:trPr>
          <w:trHeight w:hRule="exact" w:val="285"/>
        </w:trPr>
        <w:tc>
          <w:tcPr>
            <w:tcW w:w="1428" w:type="dxa"/>
            <w:noWrap/>
            <w:hideMark/>
          </w:tcPr>
          <w:p w14:paraId="45F5E815" w14:textId="77777777" w:rsidR="00DF0E0D" w:rsidRPr="0064532C" w:rsidRDefault="00DF0E0D">
            <w:pPr>
              <w:spacing w:line="240" w:lineRule="auto"/>
              <w:rPr>
                <w:rFonts w:asciiTheme="minorHAnsi" w:hAnsiTheme="minorHAnsi" w:cstheme="minorHAnsi"/>
                <w:sz w:val="20"/>
                <w:szCs w:val="20"/>
              </w:rPr>
            </w:pPr>
            <w:r w:rsidRPr="0064532C">
              <w:rPr>
                <w:rFonts w:asciiTheme="minorHAnsi" w:hAnsiTheme="minorHAnsi" w:cstheme="minorHAnsi"/>
                <w:sz w:val="20"/>
                <w:szCs w:val="20"/>
              </w:rPr>
              <w:t>GQ5 % of total</w:t>
            </w:r>
          </w:p>
        </w:tc>
        <w:tc>
          <w:tcPr>
            <w:tcW w:w="997" w:type="dxa"/>
            <w:noWrap/>
            <w:hideMark/>
          </w:tcPr>
          <w:p w14:paraId="05D537F6"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87.6%</w:t>
            </w:r>
          </w:p>
        </w:tc>
        <w:tc>
          <w:tcPr>
            <w:tcW w:w="990" w:type="dxa"/>
            <w:noWrap/>
            <w:hideMark/>
          </w:tcPr>
          <w:p w14:paraId="5FD09309"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100.0%</w:t>
            </w:r>
          </w:p>
        </w:tc>
        <w:tc>
          <w:tcPr>
            <w:tcW w:w="1080" w:type="dxa"/>
            <w:noWrap/>
            <w:hideMark/>
          </w:tcPr>
          <w:p w14:paraId="5FA5A2B9"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16.6%</w:t>
            </w:r>
          </w:p>
        </w:tc>
        <w:tc>
          <w:tcPr>
            <w:tcW w:w="990" w:type="dxa"/>
            <w:noWrap/>
            <w:hideMark/>
          </w:tcPr>
          <w:p w14:paraId="706086F8"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1.1%</w:t>
            </w:r>
          </w:p>
        </w:tc>
        <w:tc>
          <w:tcPr>
            <w:tcW w:w="1080" w:type="dxa"/>
            <w:noWrap/>
            <w:hideMark/>
          </w:tcPr>
          <w:p w14:paraId="4226CA49"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0.0%</w:t>
            </w:r>
          </w:p>
        </w:tc>
        <w:tc>
          <w:tcPr>
            <w:tcW w:w="990" w:type="dxa"/>
            <w:noWrap/>
            <w:hideMark/>
          </w:tcPr>
          <w:p w14:paraId="652B2577"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0.0%</w:t>
            </w:r>
          </w:p>
        </w:tc>
        <w:tc>
          <w:tcPr>
            <w:tcW w:w="990" w:type="dxa"/>
            <w:noWrap/>
            <w:hideMark/>
          </w:tcPr>
          <w:p w14:paraId="434922FE" w14:textId="77777777" w:rsidR="00DF0E0D" w:rsidRPr="0064532C" w:rsidRDefault="00DF0E0D">
            <w:pPr>
              <w:spacing w:line="240" w:lineRule="auto"/>
              <w:jc w:val="right"/>
              <w:rPr>
                <w:rFonts w:asciiTheme="minorHAnsi" w:hAnsiTheme="minorHAnsi" w:cstheme="minorHAnsi"/>
                <w:sz w:val="20"/>
                <w:szCs w:val="20"/>
              </w:rPr>
            </w:pPr>
            <w:r w:rsidRPr="0064532C">
              <w:rPr>
                <w:rFonts w:asciiTheme="minorHAnsi" w:hAnsiTheme="minorHAnsi" w:cstheme="minorHAnsi"/>
                <w:sz w:val="20"/>
                <w:szCs w:val="20"/>
              </w:rPr>
              <w:t>29.9%</w:t>
            </w:r>
          </w:p>
        </w:tc>
      </w:tr>
    </w:tbl>
    <w:p w14:paraId="3A15C5B4" w14:textId="77777777" w:rsidR="003B799A" w:rsidRDefault="003B799A" w:rsidP="003B799A">
      <w:pPr>
        <w:pStyle w:val="Heading2"/>
        <w:rPr>
          <w:color w:val="auto"/>
        </w:rPr>
      </w:pPr>
    </w:p>
    <w:p w14:paraId="260BE978" w14:textId="0063866C" w:rsidR="00A06D25" w:rsidRPr="00201848" w:rsidRDefault="003B799A" w:rsidP="009F2C1B">
      <w:pPr>
        <w:pStyle w:val="Heading2"/>
        <w:rPr>
          <w:color w:val="595959" w:themeColor="text1" w:themeTint="A6"/>
        </w:rPr>
      </w:pPr>
      <w:bookmarkStart w:id="24" w:name="_Toc197520527"/>
      <w:r w:rsidRPr="00201848">
        <w:rPr>
          <w:color w:val="595959" w:themeColor="text1" w:themeTint="A6"/>
        </w:rPr>
        <w:t>5)</w:t>
      </w:r>
      <w:r w:rsidR="00A06D25" w:rsidRPr="00201848" w:rsidDel="009F2C1B">
        <w:rPr>
          <w:color w:val="595959" w:themeColor="text1" w:themeTint="A6"/>
        </w:rPr>
        <w:t xml:space="preserve"> </w:t>
      </w:r>
      <w:r w:rsidR="00A06D25" w:rsidRPr="00201848">
        <w:rPr>
          <w:color w:val="595959" w:themeColor="text1" w:themeTint="A6"/>
        </w:rPr>
        <w:t>Control</w:t>
      </w:r>
      <w:r w:rsidR="00C457CF" w:rsidRPr="00201848">
        <w:rPr>
          <w:color w:val="595959" w:themeColor="text1" w:themeTint="A6"/>
        </w:rPr>
        <w:t xml:space="preserve"> race/ethnicity/age/sex</w:t>
      </w:r>
      <w:r w:rsidR="00A52D3D" w:rsidRPr="00201848">
        <w:rPr>
          <w:color w:val="595959" w:themeColor="text1" w:themeTint="A6"/>
        </w:rPr>
        <w:t xml:space="preserve"> launch</w:t>
      </w:r>
      <w:r w:rsidR="00A06D25" w:rsidRPr="00201848">
        <w:rPr>
          <w:color w:val="595959" w:themeColor="text1" w:themeTint="A6"/>
        </w:rPr>
        <w:t xml:space="preserve"> to </w:t>
      </w:r>
      <w:r w:rsidR="0003750E" w:rsidRPr="00201848">
        <w:rPr>
          <w:color w:val="595959" w:themeColor="text1" w:themeTint="A6"/>
        </w:rPr>
        <w:t xml:space="preserve">age/sex </w:t>
      </w:r>
      <w:r w:rsidR="00D33341" w:rsidRPr="00201848">
        <w:rPr>
          <w:color w:val="595959" w:themeColor="text1" w:themeTint="A6"/>
        </w:rPr>
        <w:t>launch</w:t>
      </w:r>
      <w:bookmarkEnd w:id="24"/>
    </w:p>
    <w:p w14:paraId="5C97CDD8" w14:textId="5B8C2363" w:rsidR="00570FFF" w:rsidRDefault="00D21363" w:rsidP="00212C3E">
      <w:pPr>
        <w:spacing w:after="0" w:line="240" w:lineRule="auto"/>
        <w:textAlignment w:val="baseline"/>
        <w:rPr>
          <w:rFonts w:cstheme="minorHAnsi"/>
        </w:rPr>
      </w:pPr>
      <w:r>
        <w:rPr>
          <w:rFonts w:cstheme="minorHAnsi"/>
        </w:rPr>
        <w:t>A</w:t>
      </w:r>
      <w:r w:rsidRPr="00B3179E">
        <w:rPr>
          <w:rFonts w:cstheme="minorHAnsi"/>
        </w:rPr>
        <w:t>fter the "Some other race" category has been redistributed and populations have been assigned to 2020 geographies</w:t>
      </w:r>
      <w:r>
        <w:rPr>
          <w:rFonts w:cstheme="minorHAnsi"/>
        </w:rPr>
        <w:t>, t</w:t>
      </w:r>
      <w:r w:rsidR="00664E9E">
        <w:rPr>
          <w:rFonts w:cstheme="minorHAnsi"/>
        </w:rPr>
        <w:t>he age/sex/race/ethnicity launch populations in 2010 and 2020 require a</w:t>
      </w:r>
      <w:r w:rsidR="00CB256C">
        <w:rPr>
          <w:rFonts w:cstheme="minorHAnsi"/>
        </w:rPr>
        <w:t>n</w:t>
      </w:r>
      <w:r w:rsidR="00B3179E" w:rsidRPr="00B3179E">
        <w:rPr>
          <w:rFonts w:cstheme="minorHAnsi"/>
        </w:rPr>
        <w:t xml:space="preserve"> </w:t>
      </w:r>
      <w:r w:rsidR="00CB256C">
        <w:rPr>
          <w:rFonts w:cstheme="minorHAnsi"/>
        </w:rPr>
        <w:t>additional</w:t>
      </w:r>
      <w:r w:rsidR="00B3179E" w:rsidRPr="00B3179E">
        <w:rPr>
          <w:rFonts w:cstheme="minorHAnsi"/>
        </w:rPr>
        <w:t xml:space="preserve"> control </w:t>
      </w:r>
      <w:r w:rsidR="00D533C1">
        <w:rPr>
          <w:rFonts w:cstheme="minorHAnsi"/>
        </w:rPr>
        <w:t xml:space="preserve">to the age/sex launch populations in order </w:t>
      </w:r>
      <w:r w:rsidR="00974D5A">
        <w:rPr>
          <w:rFonts w:cstheme="minorHAnsi"/>
        </w:rPr>
        <w:t>to incorporate</w:t>
      </w:r>
      <w:r w:rsidR="007E72B4">
        <w:rPr>
          <w:rFonts w:cstheme="minorHAnsi"/>
        </w:rPr>
        <w:t xml:space="preserve"> </w:t>
      </w:r>
      <w:r w:rsidR="00094123">
        <w:rPr>
          <w:rFonts w:cstheme="minorHAnsi"/>
        </w:rPr>
        <w:t>the population adjustments</w:t>
      </w:r>
      <w:r w:rsidR="00D533C1">
        <w:rPr>
          <w:rFonts w:cstheme="minorHAnsi"/>
        </w:rPr>
        <w:t xml:space="preserve"> described above</w:t>
      </w:r>
      <w:r w:rsidR="00B3179E" w:rsidRPr="00B3179E">
        <w:rPr>
          <w:rFonts w:cstheme="minorHAnsi"/>
        </w:rPr>
        <w:t>.</w:t>
      </w:r>
      <w:r w:rsidR="00880715">
        <w:rPr>
          <w:rFonts w:cstheme="minorHAnsi"/>
        </w:rPr>
        <w:t xml:space="preserve"> </w:t>
      </w:r>
      <w:r w:rsidR="00736CA6">
        <w:rPr>
          <w:rFonts w:cstheme="minorHAnsi"/>
        </w:rPr>
        <w:t xml:space="preserve">In doing this, we assume that the distributions of race and ethnicity within </w:t>
      </w:r>
      <w:r w:rsidR="003857A7">
        <w:rPr>
          <w:rFonts w:cstheme="minorHAnsi"/>
        </w:rPr>
        <w:t xml:space="preserve">each </w:t>
      </w:r>
      <w:r w:rsidR="00694260">
        <w:rPr>
          <w:rFonts w:cstheme="minorHAnsi"/>
        </w:rPr>
        <w:t>age/sex</w:t>
      </w:r>
      <w:r w:rsidR="00D230CE">
        <w:rPr>
          <w:rFonts w:cstheme="minorHAnsi"/>
        </w:rPr>
        <w:t>/</w:t>
      </w:r>
      <w:r w:rsidR="00DF789D">
        <w:rPr>
          <w:rFonts w:cstheme="minorHAnsi"/>
        </w:rPr>
        <w:t>geography</w:t>
      </w:r>
      <w:r w:rsidR="00694260">
        <w:rPr>
          <w:rFonts w:cstheme="minorHAnsi"/>
        </w:rPr>
        <w:t xml:space="preserve"> </w:t>
      </w:r>
      <w:r w:rsidR="003857A7">
        <w:rPr>
          <w:rFonts w:cstheme="minorHAnsi"/>
        </w:rPr>
        <w:t xml:space="preserve">cohort remain the same after </w:t>
      </w:r>
      <w:r w:rsidR="000E5078">
        <w:rPr>
          <w:rFonts w:cstheme="minorHAnsi"/>
        </w:rPr>
        <w:t>adjustments</w:t>
      </w:r>
      <w:r w:rsidR="003857A7">
        <w:rPr>
          <w:rFonts w:cstheme="minorHAnsi"/>
        </w:rPr>
        <w:t xml:space="preserve"> to the </w:t>
      </w:r>
      <w:r w:rsidR="00CA552F">
        <w:rPr>
          <w:rFonts w:cstheme="minorHAnsi"/>
        </w:rPr>
        <w:t xml:space="preserve">total </w:t>
      </w:r>
      <w:r w:rsidR="00694260">
        <w:rPr>
          <w:rFonts w:cstheme="minorHAnsi"/>
        </w:rPr>
        <w:t>populatio</w:t>
      </w:r>
      <w:r w:rsidR="00D230CE">
        <w:rPr>
          <w:rFonts w:cstheme="minorHAnsi"/>
        </w:rPr>
        <w:t>n</w:t>
      </w:r>
      <w:r w:rsidR="003857A7">
        <w:rPr>
          <w:rFonts w:cstheme="minorHAnsi"/>
        </w:rPr>
        <w:t>.</w:t>
      </w:r>
      <w:r w:rsidR="00A96880" w:rsidRPr="00D11B51">
        <w:rPr>
          <w:rFonts w:cstheme="minorHAnsi"/>
        </w:rPr>
        <w:t xml:space="preserve"> While this step is taken to ensure relative</w:t>
      </w:r>
      <w:r w:rsidR="007D4995" w:rsidRPr="00D11B51">
        <w:rPr>
          <w:rFonts w:cstheme="minorHAnsi"/>
        </w:rPr>
        <w:t xml:space="preserve"> consistency between the age/sex and age/sex/ethnicity/race projections</w:t>
      </w:r>
      <w:r w:rsidR="003B5B16" w:rsidRPr="00D11B51">
        <w:rPr>
          <w:rFonts w:cstheme="minorHAnsi"/>
        </w:rPr>
        <w:t>, due to rounding</w:t>
      </w:r>
      <w:r w:rsidR="00611878" w:rsidRPr="00D11B51">
        <w:rPr>
          <w:rFonts w:cstheme="minorHAnsi"/>
        </w:rPr>
        <w:t xml:space="preserve"> at the end of this </w:t>
      </w:r>
      <w:r w:rsidR="00E23DEA" w:rsidRPr="00D11B51">
        <w:rPr>
          <w:rFonts w:cstheme="minorHAnsi"/>
        </w:rPr>
        <w:t xml:space="preserve">distribution </w:t>
      </w:r>
      <w:r w:rsidR="00611878" w:rsidRPr="00D11B51">
        <w:rPr>
          <w:rFonts w:cstheme="minorHAnsi"/>
        </w:rPr>
        <w:t>process</w:t>
      </w:r>
      <w:r w:rsidR="0096690B" w:rsidRPr="00D11B51">
        <w:rPr>
          <w:rFonts w:cstheme="minorHAnsi"/>
        </w:rPr>
        <w:t>, summing to age/sex cohorts</w:t>
      </w:r>
      <w:r w:rsidR="00A6693C">
        <w:rPr>
          <w:rFonts w:cstheme="minorHAnsi"/>
        </w:rPr>
        <w:t xml:space="preserve"> from age/sex/ethnicity/race cohorts</w:t>
      </w:r>
      <w:r w:rsidR="0096690B" w:rsidRPr="00D11B51">
        <w:rPr>
          <w:rFonts w:cstheme="minorHAnsi"/>
        </w:rPr>
        <w:t xml:space="preserve"> may</w:t>
      </w:r>
      <w:r w:rsidR="000F0C3F" w:rsidRPr="00D11B51">
        <w:rPr>
          <w:rFonts w:cstheme="minorHAnsi"/>
        </w:rPr>
        <w:t xml:space="preserve"> include differences of</w:t>
      </w:r>
      <w:r w:rsidR="003B5B16" w:rsidRPr="00D11B51">
        <w:rPr>
          <w:rFonts w:cstheme="minorHAnsi"/>
        </w:rPr>
        <w:t xml:space="preserve"> </w:t>
      </w:r>
      <w:r w:rsidR="0067609A" w:rsidRPr="00D11B51">
        <w:rPr>
          <w:rFonts w:cstheme="minorHAnsi"/>
        </w:rPr>
        <w:t>+/- 2</w:t>
      </w:r>
      <w:r w:rsidR="00E2108F" w:rsidRPr="00D11B51">
        <w:rPr>
          <w:rFonts w:cstheme="minorHAnsi"/>
        </w:rPr>
        <w:t xml:space="preserve"> people</w:t>
      </w:r>
      <w:r w:rsidR="00AA2034" w:rsidRPr="00D11B51">
        <w:rPr>
          <w:rFonts w:cstheme="minorHAnsi"/>
        </w:rPr>
        <w:t xml:space="preserve"> </w:t>
      </w:r>
      <w:r w:rsidR="00886A5E">
        <w:rPr>
          <w:rFonts w:cstheme="minorHAnsi"/>
        </w:rPr>
        <w:t>when compared to</w:t>
      </w:r>
      <w:r w:rsidR="00AA2034" w:rsidRPr="00D11B51">
        <w:rPr>
          <w:rFonts w:cstheme="minorHAnsi"/>
        </w:rPr>
        <w:t xml:space="preserve"> the age/sex </w:t>
      </w:r>
      <w:r w:rsidR="00F019C5">
        <w:rPr>
          <w:rFonts w:cstheme="minorHAnsi"/>
        </w:rPr>
        <w:t>launches</w:t>
      </w:r>
      <w:r w:rsidR="00AA2034" w:rsidRPr="00D11B51">
        <w:rPr>
          <w:rFonts w:cstheme="minorHAnsi"/>
        </w:rPr>
        <w:t>.</w:t>
      </w:r>
      <w:r w:rsidR="003B5B16" w:rsidRPr="00EA29AB">
        <w:rPr>
          <w:rFonts w:cstheme="minorHAnsi"/>
        </w:rPr>
        <w:t xml:space="preserve"> </w:t>
      </w:r>
    </w:p>
    <w:p w14:paraId="040ED14A" w14:textId="77777777" w:rsidR="004D14ED" w:rsidRPr="00EA29AB" w:rsidRDefault="004D14ED" w:rsidP="00212C3E">
      <w:pPr>
        <w:spacing w:after="0" w:line="240" w:lineRule="auto"/>
        <w:textAlignment w:val="baseline"/>
        <w:rPr>
          <w:rFonts w:cstheme="minorHAnsi"/>
        </w:rPr>
      </w:pPr>
    </w:p>
    <w:p w14:paraId="32B194EB" w14:textId="20236AEA" w:rsidR="00570FFF" w:rsidRPr="00201848" w:rsidRDefault="009F2C1B" w:rsidP="009F2C1B">
      <w:pPr>
        <w:pStyle w:val="Heading2"/>
        <w:rPr>
          <w:color w:val="595959" w:themeColor="text1" w:themeTint="A6"/>
        </w:rPr>
      </w:pPr>
      <w:bookmarkStart w:id="25" w:name="_Toc197520528"/>
      <w:r w:rsidRPr="00201848">
        <w:rPr>
          <w:color w:val="595959" w:themeColor="text1" w:themeTint="A6"/>
        </w:rPr>
        <w:t xml:space="preserve">6) </w:t>
      </w:r>
      <w:r w:rsidR="00212C3E" w:rsidRPr="00201848">
        <w:rPr>
          <w:color w:val="595959" w:themeColor="text1" w:themeTint="A6"/>
        </w:rPr>
        <w:t>Calculating cohort-change ratios and child-to-woman ratios</w:t>
      </w:r>
      <w:bookmarkEnd w:id="25"/>
    </w:p>
    <w:p w14:paraId="037EC414" w14:textId="34263969" w:rsidR="005335F4" w:rsidRDefault="00AC0443" w:rsidP="00A914FB">
      <w:pPr>
        <w:pStyle w:val="Heading3"/>
      </w:pPr>
      <w:bookmarkStart w:id="26" w:name="_Toc197520529"/>
      <w:r>
        <w:t>Calculating Ratios</w:t>
      </w:r>
      <w:bookmarkEnd w:id="26"/>
    </w:p>
    <w:p w14:paraId="0328EA66" w14:textId="4EB7F6E0" w:rsidR="00147E13" w:rsidRDefault="001E39DC" w:rsidP="00A914FB">
      <w:r>
        <w:t>Once the</w:t>
      </w:r>
      <w:r w:rsidR="00F31680">
        <w:t xml:space="preserve"> </w:t>
      </w:r>
      <w:r w:rsidR="00D2506A">
        <w:t>decennial</w:t>
      </w:r>
      <w:r w:rsidR="00F31680">
        <w:t xml:space="preserve"> </w:t>
      </w:r>
      <w:r>
        <w:t xml:space="preserve">launch populations have been </w:t>
      </w:r>
      <w:r w:rsidR="00907698">
        <w:t xml:space="preserve">established, </w:t>
      </w:r>
      <w:r w:rsidR="000F5B70">
        <w:t xml:space="preserve">the next </w:t>
      </w:r>
      <w:r w:rsidR="001F4B6D">
        <w:t xml:space="preserve">steps are to </w:t>
      </w:r>
      <w:r w:rsidR="00570FFF" w:rsidRPr="005C4C7E">
        <w:t xml:space="preserve"> calculate</w:t>
      </w:r>
      <w:r w:rsidR="00570FFF" w:rsidDel="00E152C2">
        <w:rPr>
          <w:rStyle w:val="CommentReference"/>
        </w:rPr>
        <w:t xml:space="preserve"> </w:t>
      </w:r>
      <w:r w:rsidR="00570FFF" w:rsidRPr="005C4C7E">
        <w:t xml:space="preserve">the 2010 to 2020 CCRs for population age 10 and over and child-to-woman ratios (CTWs) for the population aged 0-9. The CCR method accounts for the aging of each individual cohort from one census to the next and creates a ratio between a specific cohort population (by age, sex, </w:t>
      </w:r>
      <w:r w:rsidR="00FE22F3" w:rsidRPr="005C4C7E">
        <w:t>geography,</w:t>
      </w:r>
      <w:r w:rsidR="00570FFF" w:rsidRPr="005C4C7E">
        <w:t xml:space="preserve"> and sometimes additional variations such as race) age </w:t>
      </w:r>
      <w:r w:rsidR="00570FFF" w:rsidRPr="005C4C7E">
        <w:rPr>
          <w:i/>
          <w:sz w:val="17"/>
          <w:szCs w:val="17"/>
          <w:vertAlign w:val="subscript"/>
        </w:rPr>
        <w:t>a</w:t>
      </w:r>
      <w:r w:rsidR="00570FFF" w:rsidRPr="005C4C7E">
        <w:t xml:space="preserve"> in year </w:t>
      </w:r>
      <w:r w:rsidR="00570FFF" w:rsidRPr="005C4C7E">
        <w:rPr>
          <w:i/>
          <w:sz w:val="17"/>
          <w:szCs w:val="17"/>
          <w:vertAlign w:val="subscript"/>
        </w:rPr>
        <w:t>y</w:t>
      </w:r>
      <w:r w:rsidR="00570FFF" w:rsidRPr="005C4C7E">
        <w:rPr>
          <w:sz w:val="17"/>
          <w:szCs w:val="17"/>
          <w:vertAlign w:val="subscript"/>
        </w:rPr>
        <w:t xml:space="preserve"> </w:t>
      </w:r>
      <w:r w:rsidR="00570FFF" w:rsidRPr="005C4C7E">
        <w:t xml:space="preserve">to its corresponding cohort aged </w:t>
      </w:r>
      <w:r w:rsidR="00570FFF" w:rsidRPr="005C4C7E">
        <w:rPr>
          <w:i/>
          <w:sz w:val="17"/>
          <w:szCs w:val="17"/>
          <w:vertAlign w:val="subscript"/>
        </w:rPr>
        <w:t>a-10</w:t>
      </w:r>
      <w:r w:rsidR="00570FFF" w:rsidRPr="005C4C7E">
        <w:t xml:space="preserve"> in year </w:t>
      </w:r>
      <w:r w:rsidR="00570FFF" w:rsidRPr="005C4C7E">
        <w:rPr>
          <w:i/>
          <w:sz w:val="17"/>
          <w:szCs w:val="17"/>
          <w:vertAlign w:val="subscript"/>
        </w:rPr>
        <w:t>y-10</w:t>
      </w:r>
      <w:r w:rsidR="00570FFF" w:rsidRPr="005C4C7E">
        <w:t>. For 2010 to 2020 CCRs, this is expressed as:   </w:t>
      </w:r>
    </w:p>
    <w:p w14:paraId="46C0AF70" w14:textId="12DEA9E8" w:rsidR="00570FFF" w:rsidRPr="005C4C7E" w:rsidRDefault="00FB05CE" w:rsidP="00570FFF">
      <w:pPr>
        <w:spacing w:after="0" w:line="240" w:lineRule="auto"/>
        <w:textAlignment w:val="baseline"/>
        <w:rPr>
          <w:rFonts w:ascii="Segoe UI" w:eastAsia="Times New Roman" w:hAnsi="Segoe UI" w:cs="Segoe UI"/>
          <w:sz w:val="18"/>
          <w:szCs w:val="18"/>
        </w:rPr>
      </w:pPr>
      <w:r w:rsidRPr="005C4C7E">
        <w:rPr>
          <w:rFonts w:ascii="Cambria Math" w:eastAsia="Calibri" w:hAnsi="Cambria Math"/>
          <w:i/>
          <w:sz w:val="24"/>
        </w:rPr>
        <w:br/>
      </w:r>
      <m:oMathPara>
        <m:oMath>
          <m:sSub>
            <m:sSubPr>
              <m:ctrlPr>
                <w:rPr>
                  <w:rFonts w:ascii="Cambria Math" w:eastAsia="Calibri" w:hAnsi="Cambria Math"/>
                  <w:i/>
                  <w:sz w:val="24"/>
                </w:rPr>
              </m:ctrlPr>
            </m:sSubPr>
            <m:e>
              <m:r>
                <w:rPr>
                  <w:rFonts w:ascii="Cambria Math" w:eastAsia="Calibri" w:hAnsi="Cambria Math"/>
                  <w:sz w:val="24"/>
                </w:rPr>
                <m:t>CCR</m:t>
              </m:r>
            </m:e>
            <m:sub>
              <m:r>
                <w:rPr>
                  <w:rFonts w:ascii="Cambria Math" w:eastAsia="Calibri" w:hAnsi="Cambria Math"/>
                  <w:sz w:val="24"/>
                </w:rPr>
                <m:t>age a</m:t>
              </m:r>
            </m:sub>
          </m:sSub>
          <m:r>
            <w:rPr>
              <w:rFonts w:ascii="Cambria Math" w:eastAsia="Calibri" w:hAnsi="Cambria Math"/>
              <w:sz w:val="24"/>
            </w:rPr>
            <m:t>=</m:t>
          </m:r>
          <m:f>
            <m:fPr>
              <m:ctrlPr>
                <w:rPr>
                  <w:rFonts w:ascii="Cambria Math" w:eastAsia="Calibri" w:hAnsi="Cambria Math" w:cs="Cambria Math"/>
                  <w:i/>
                  <w:sz w:val="24"/>
                </w:rPr>
              </m:ctrlPr>
            </m:fPr>
            <m:num>
              <m:sSub>
                <m:sSubPr>
                  <m:ctrlPr>
                    <w:rPr>
                      <w:rFonts w:ascii="Cambria Math" w:eastAsia="Calibri" w:hAnsi="Cambria Math" w:cs="Cambria Math"/>
                      <w:i/>
                      <w:sz w:val="24"/>
                    </w:rPr>
                  </m:ctrlPr>
                </m:sSubPr>
                <m:e>
                  <m:r>
                    <w:rPr>
                      <w:rFonts w:ascii="Cambria Math" w:eastAsia="Calibri" w:hAnsi="Cambria Math" w:cs="Cambria Math"/>
                      <w:sz w:val="24"/>
                    </w:rPr>
                    <m:t>Population 2020</m:t>
                  </m:r>
                </m:e>
                <m:sub>
                  <m:r>
                    <w:rPr>
                      <w:rFonts w:ascii="Cambria Math" w:eastAsia="Calibri" w:hAnsi="Cambria Math" w:cs="Cambria Math"/>
                      <w:sz w:val="24"/>
                    </w:rPr>
                    <m:t>age a</m:t>
                  </m:r>
                </m:sub>
              </m:sSub>
            </m:num>
            <m:den>
              <m:sSub>
                <m:sSubPr>
                  <m:ctrlPr>
                    <w:rPr>
                      <w:rFonts w:ascii="Cambria Math" w:eastAsia="Calibri" w:hAnsi="Cambria Math" w:cs="Cambria Math"/>
                      <w:i/>
                      <w:sz w:val="24"/>
                    </w:rPr>
                  </m:ctrlPr>
                </m:sSubPr>
                <m:e>
                  <m:r>
                    <w:rPr>
                      <w:rFonts w:ascii="Cambria Math" w:eastAsia="Calibri" w:hAnsi="Cambria Math" w:cs="Cambria Math"/>
                      <w:sz w:val="24"/>
                    </w:rPr>
                    <m:t>Population 2010</m:t>
                  </m:r>
                </m:e>
                <m:sub>
                  <m:r>
                    <w:rPr>
                      <w:rFonts w:ascii="Cambria Math" w:eastAsia="Calibri" w:hAnsi="Cambria Math" w:cs="Cambria Math"/>
                      <w:sz w:val="24"/>
                    </w:rPr>
                    <m:t>age a-10</m:t>
                  </m:r>
                </m:sub>
              </m:sSub>
            </m:den>
          </m:f>
        </m:oMath>
      </m:oMathPara>
    </w:p>
    <w:p w14:paraId="691726FD" w14:textId="77777777" w:rsidR="00570FFF" w:rsidRPr="005C4C7E" w:rsidRDefault="00570FFF" w:rsidP="00570FFF">
      <w:pPr>
        <w:spacing w:after="0" w:line="240" w:lineRule="auto"/>
        <w:textAlignment w:val="baseline"/>
        <w:rPr>
          <w:rFonts w:ascii="Segoe UI" w:eastAsia="Times New Roman" w:hAnsi="Segoe UI" w:cs="Segoe UI"/>
          <w:sz w:val="18"/>
          <w:szCs w:val="18"/>
        </w:rPr>
      </w:pPr>
      <w:r w:rsidRPr="005C4C7E">
        <w:rPr>
          <w:rFonts w:ascii="Calibri" w:eastAsia="Times New Roman" w:hAnsi="Calibri" w:cs="Calibri"/>
        </w:rPr>
        <w:t> </w:t>
      </w:r>
    </w:p>
    <w:p w14:paraId="5B07E51A" w14:textId="77777777" w:rsidR="005B04BF" w:rsidRPr="005C4C7E" w:rsidRDefault="00570FFF" w:rsidP="005B04BF">
      <w:pPr>
        <w:spacing w:after="0" w:line="240" w:lineRule="auto"/>
        <w:textAlignment w:val="baseline"/>
        <w:rPr>
          <w:rFonts w:ascii="Segoe UI" w:eastAsia="Times New Roman" w:hAnsi="Segoe UI" w:cs="Segoe UI"/>
          <w:sz w:val="18"/>
          <w:szCs w:val="18"/>
        </w:rPr>
      </w:pPr>
      <w:r w:rsidRPr="005C4C7E">
        <w:rPr>
          <w:rFonts w:ascii="Calibri" w:eastAsia="Times New Roman" w:hAnsi="Calibri" w:cs="Calibri"/>
        </w:rPr>
        <w:t>For example, the CCR for a 25-29-year-old cohort would be calculated as:  </w:t>
      </w:r>
    </w:p>
    <w:p w14:paraId="17DA39D9" w14:textId="38777D1F" w:rsidR="00570FFF" w:rsidRPr="005C4C7E" w:rsidRDefault="00570FFF" w:rsidP="005B04BF">
      <w:pPr>
        <w:spacing w:after="0" w:line="240" w:lineRule="auto"/>
        <w:textAlignment w:val="baseline"/>
        <w:rPr>
          <w:rFonts w:ascii="Segoe UI" w:eastAsia="Times New Roman" w:hAnsi="Segoe UI" w:cs="Segoe UI"/>
          <w:sz w:val="18"/>
          <w:szCs w:val="18"/>
        </w:rPr>
      </w:pPr>
      <w:r w:rsidRPr="005C4C7E">
        <w:rPr>
          <w:rFonts w:ascii="Calibri" w:eastAsia="Times New Roman" w:hAnsi="Calibri" w:cs="Calibri"/>
        </w:rPr>
        <w:t> </w:t>
      </w:r>
    </w:p>
    <w:p w14:paraId="29E9F03B" w14:textId="25479572" w:rsidR="00570FFF" w:rsidRPr="005C4C7E" w:rsidRDefault="00A8011B" w:rsidP="00570FFF">
      <w:pPr>
        <w:spacing w:after="0" w:line="240" w:lineRule="auto"/>
        <w:textAlignment w:val="baseline"/>
        <w:rPr>
          <w:rFonts w:ascii="Segoe UI" w:eastAsia="Times New Roman" w:hAnsi="Segoe UI" w:cs="Segoe UI"/>
          <w:sz w:val="18"/>
          <w:szCs w:val="18"/>
        </w:rPr>
      </w:pPr>
      <m:oMathPara>
        <m:oMath>
          <m:sSub>
            <m:sSubPr>
              <m:ctrlPr>
                <w:rPr>
                  <w:rFonts w:ascii="Cambria Math" w:eastAsia="Calibri" w:hAnsi="Cambria Math"/>
                  <w:i/>
                  <w:sz w:val="24"/>
                </w:rPr>
              </m:ctrlPr>
            </m:sSubPr>
            <m:e>
              <m:r>
                <w:rPr>
                  <w:rFonts w:ascii="Cambria Math" w:eastAsia="Calibri" w:hAnsi="Cambria Math"/>
                  <w:sz w:val="24"/>
                </w:rPr>
                <m:t xml:space="preserve">CCR </m:t>
              </m:r>
            </m:e>
            <m:sub>
              <m:r>
                <w:rPr>
                  <w:rFonts w:ascii="Cambria Math" w:eastAsia="Calibri" w:hAnsi="Cambria Math"/>
                  <w:sz w:val="24"/>
                </w:rPr>
                <m:t>age25-29</m:t>
              </m:r>
            </m:sub>
          </m:sSub>
          <m:r>
            <w:rPr>
              <w:rFonts w:ascii="Cambria Math" w:eastAsia="Calibri" w:hAnsi="Cambria Math"/>
              <w:sz w:val="24"/>
            </w:rPr>
            <m:t>=</m:t>
          </m:r>
          <m:f>
            <m:fPr>
              <m:ctrlPr>
                <w:rPr>
                  <w:rFonts w:ascii="Cambria Math" w:eastAsia="Calibri" w:hAnsi="Cambria Math" w:cs="Cambria Math"/>
                  <w:i/>
                  <w:sz w:val="24"/>
                </w:rPr>
              </m:ctrlPr>
            </m:fPr>
            <m:num>
              <m:sSub>
                <m:sSubPr>
                  <m:ctrlPr>
                    <w:rPr>
                      <w:rFonts w:ascii="Cambria Math" w:eastAsia="Calibri" w:hAnsi="Cambria Math" w:cs="Cambria Math"/>
                      <w:i/>
                      <w:sz w:val="24"/>
                    </w:rPr>
                  </m:ctrlPr>
                </m:sSubPr>
                <m:e>
                  <m:r>
                    <w:rPr>
                      <w:rFonts w:ascii="Cambria Math" w:eastAsia="Calibri" w:hAnsi="Cambria Math" w:cs="Cambria Math"/>
                      <w:sz w:val="24"/>
                    </w:rPr>
                    <m:t>Population 2020</m:t>
                  </m:r>
                </m:e>
                <m:sub>
                  <m:r>
                    <w:rPr>
                      <w:rFonts w:ascii="Cambria Math" w:eastAsia="Calibri" w:hAnsi="Cambria Math" w:cs="Cambria Math"/>
                      <w:sz w:val="24"/>
                    </w:rPr>
                    <m:t>age 25-29</m:t>
                  </m:r>
                </m:sub>
              </m:sSub>
            </m:num>
            <m:den>
              <m:sSub>
                <m:sSubPr>
                  <m:ctrlPr>
                    <w:rPr>
                      <w:rFonts w:ascii="Cambria Math" w:eastAsia="Calibri" w:hAnsi="Cambria Math" w:cs="Cambria Math"/>
                      <w:i/>
                      <w:sz w:val="24"/>
                    </w:rPr>
                  </m:ctrlPr>
                </m:sSubPr>
                <m:e>
                  <m:r>
                    <w:rPr>
                      <w:rFonts w:ascii="Cambria Math" w:eastAsia="Calibri" w:hAnsi="Cambria Math" w:cs="Cambria Math"/>
                      <w:sz w:val="24"/>
                    </w:rPr>
                    <m:t>Population 2010</m:t>
                  </m:r>
                </m:e>
                <m:sub>
                  <m:r>
                    <w:rPr>
                      <w:rFonts w:ascii="Cambria Math" w:eastAsia="Calibri" w:hAnsi="Cambria Math" w:cs="Cambria Math"/>
                      <w:sz w:val="24"/>
                    </w:rPr>
                    <m:t>age 15-19</m:t>
                  </m:r>
                </m:sub>
              </m:sSub>
            </m:den>
          </m:f>
        </m:oMath>
      </m:oMathPara>
    </w:p>
    <w:p w14:paraId="7E8819A0" w14:textId="77777777" w:rsidR="001E1DF1" w:rsidRPr="005C4C7E" w:rsidRDefault="001E1DF1" w:rsidP="005D3488">
      <w:pPr>
        <w:spacing w:after="0" w:line="240" w:lineRule="auto"/>
        <w:textAlignment w:val="baseline"/>
        <w:rPr>
          <w:rFonts w:ascii="Calibri" w:eastAsia="Times New Roman" w:hAnsi="Calibri" w:cs="Calibri"/>
        </w:rPr>
      </w:pPr>
    </w:p>
    <w:p w14:paraId="43C4A280" w14:textId="4F40A85F" w:rsidR="00570FFF" w:rsidRPr="005C4C7E" w:rsidRDefault="00570FFF" w:rsidP="005D3488">
      <w:pPr>
        <w:spacing w:after="0" w:line="240" w:lineRule="auto"/>
        <w:textAlignment w:val="baseline"/>
        <w:rPr>
          <w:rFonts w:ascii="Segoe UI" w:eastAsia="Times New Roman" w:hAnsi="Segoe UI" w:cs="Segoe UI"/>
          <w:sz w:val="18"/>
          <w:szCs w:val="18"/>
        </w:rPr>
      </w:pPr>
      <w:r w:rsidRPr="005C4C7E">
        <w:rPr>
          <w:rFonts w:ascii="Calibri" w:eastAsia="Times New Roman" w:hAnsi="Calibri" w:cs="Calibri"/>
        </w:rPr>
        <w:lastRenderedPageBreak/>
        <w:t>Note that for the 85-plus population, the CCR takes the sum of the population aged 75 and over as its denominator.</w:t>
      </w:r>
    </w:p>
    <w:p w14:paraId="503A8700" w14:textId="77777777" w:rsidR="005D3488" w:rsidRPr="005C4C7E" w:rsidRDefault="005D3488" w:rsidP="005D3488">
      <w:pPr>
        <w:spacing w:after="0" w:line="240" w:lineRule="auto"/>
        <w:textAlignment w:val="baseline"/>
        <w:rPr>
          <w:rFonts w:ascii="Segoe UI" w:eastAsia="Times New Roman" w:hAnsi="Segoe UI" w:cs="Segoe UI"/>
          <w:sz w:val="18"/>
          <w:szCs w:val="18"/>
        </w:rPr>
      </w:pPr>
    </w:p>
    <w:p w14:paraId="69F44566" w14:textId="77777777" w:rsidR="00C539A2" w:rsidRPr="005C4C7E" w:rsidRDefault="00C539A2" w:rsidP="00C539A2">
      <w:pPr>
        <w:spacing w:line="240" w:lineRule="auto"/>
        <w:rPr>
          <w:rFonts w:ascii="Calibri" w:eastAsia="Calibri" w:hAnsi="Calibri"/>
        </w:rPr>
      </w:pPr>
      <w:r w:rsidRPr="005C4C7E">
        <w:rPr>
          <w:rFonts w:ascii="Calibri" w:eastAsia="Calibri" w:hAnsi="Calibri"/>
        </w:rPr>
        <w:t>The child-to-woman ratios are calculated as follows in our model, with children aged 0-4 calculated as a ratio of the female population aged 20-44 and children aged 5-9 calculated as a ratio of the population aged 30-49:</w:t>
      </w:r>
    </w:p>
    <w:p w14:paraId="6629BAE8" w14:textId="640FA439" w:rsidR="00C539A2" w:rsidRPr="005C4C7E" w:rsidRDefault="00A8011B" w:rsidP="002230AF">
      <w:pPr>
        <w:spacing w:line="240" w:lineRule="auto"/>
        <w:rPr>
          <w:rFonts w:eastAsiaTheme="minorEastAsia"/>
          <w:sz w:val="24"/>
        </w:rPr>
      </w:pPr>
      <m:oMathPara>
        <m:oMath>
          <m:sSub>
            <m:sSubPr>
              <m:ctrlPr>
                <w:rPr>
                  <w:rFonts w:ascii="Cambria Math" w:eastAsia="Calibri" w:hAnsi="Cambria Math"/>
                  <w:i/>
                  <w:sz w:val="24"/>
                </w:rPr>
              </m:ctrlPr>
            </m:sSubPr>
            <m:e>
              <m:r>
                <w:rPr>
                  <w:rFonts w:ascii="Cambria Math" w:eastAsia="Calibri" w:hAnsi="Cambria Math"/>
                  <w:sz w:val="24"/>
                </w:rPr>
                <m:t xml:space="preserve">CTW </m:t>
              </m:r>
            </m:e>
            <m:sub>
              <m:r>
                <w:rPr>
                  <w:rFonts w:ascii="Cambria Math" w:eastAsia="Calibri" w:hAnsi="Cambria Math"/>
                  <w:sz w:val="24"/>
                </w:rPr>
                <m:t>age0-4</m:t>
              </m:r>
            </m:sub>
          </m:sSub>
          <m:r>
            <w:rPr>
              <w:rFonts w:ascii="Cambria Math" w:eastAsia="Calibri" w:hAnsi="Cambria Math"/>
              <w:sz w:val="24"/>
            </w:rPr>
            <m:t>=</m:t>
          </m:r>
          <m:f>
            <m:fPr>
              <m:ctrlPr>
                <w:rPr>
                  <w:rFonts w:ascii="Cambria Math" w:eastAsia="Calibri" w:hAnsi="Cambria Math" w:cs="Cambria Math"/>
                  <w:i/>
                  <w:sz w:val="24"/>
                </w:rPr>
              </m:ctrlPr>
            </m:fPr>
            <m:num>
              <m:sSub>
                <m:sSubPr>
                  <m:ctrlPr>
                    <w:rPr>
                      <w:rFonts w:ascii="Cambria Math" w:eastAsia="Calibri" w:hAnsi="Cambria Math" w:cs="Cambria Math"/>
                      <w:i/>
                      <w:sz w:val="24"/>
                    </w:rPr>
                  </m:ctrlPr>
                </m:sSubPr>
                <m:e>
                  <m:r>
                    <w:rPr>
                      <w:rFonts w:ascii="Cambria Math" w:eastAsia="Calibri" w:hAnsi="Cambria Math" w:cs="Cambria Math"/>
                      <w:sz w:val="24"/>
                    </w:rPr>
                    <m:t>Population 2020</m:t>
                  </m:r>
                </m:e>
                <m:sub>
                  <m:r>
                    <w:rPr>
                      <w:rFonts w:ascii="Cambria Math" w:eastAsia="Calibri" w:hAnsi="Cambria Math" w:cs="Cambria Math"/>
                      <w:sz w:val="24"/>
                    </w:rPr>
                    <m:t>age 0-4</m:t>
                  </m:r>
                </m:sub>
              </m:sSub>
            </m:num>
            <m:den>
              <m:sSub>
                <m:sSubPr>
                  <m:ctrlPr>
                    <w:rPr>
                      <w:rFonts w:ascii="Cambria Math" w:eastAsia="Calibri" w:hAnsi="Cambria Math" w:cs="Cambria Math"/>
                      <w:i/>
                      <w:sz w:val="24"/>
                    </w:rPr>
                  </m:ctrlPr>
                </m:sSubPr>
                <m:e>
                  <m:r>
                    <w:rPr>
                      <w:rFonts w:ascii="Cambria Math" w:eastAsia="Calibri" w:hAnsi="Cambria Math" w:cs="Cambria Math"/>
                      <w:sz w:val="24"/>
                    </w:rPr>
                    <m:t>Population 2020</m:t>
                  </m:r>
                </m:e>
                <m:sub>
                  <m:r>
                    <w:rPr>
                      <w:rFonts w:ascii="Cambria Math" w:eastAsia="Calibri" w:hAnsi="Cambria Math" w:cs="Cambria Math"/>
                      <w:sz w:val="24"/>
                    </w:rPr>
                    <m:t>age 20-44</m:t>
                  </m:r>
                </m:sub>
              </m:sSub>
            </m:den>
          </m:f>
        </m:oMath>
      </m:oMathPara>
    </w:p>
    <w:p w14:paraId="51D10D85" w14:textId="5C007FCE" w:rsidR="00B341F9" w:rsidRPr="005C4C7E" w:rsidRDefault="00A8011B" w:rsidP="002230AF">
      <w:pPr>
        <w:spacing w:line="240" w:lineRule="auto"/>
        <w:rPr>
          <w:rFonts w:eastAsiaTheme="minorEastAsia"/>
          <w:sz w:val="24"/>
        </w:rPr>
      </w:pPr>
      <m:oMathPara>
        <m:oMath>
          <m:sSub>
            <m:sSubPr>
              <m:ctrlPr>
                <w:rPr>
                  <w:rFonts w:ascii="Cambria Math" w:eastAsia="Calibri" w:hAnsi="Cambria Math"/>
                  <w:i/>
                  <w:sz w:val="24"/>
                </w:rPr>
              </m:ctrlPr>
            </m:sSubPr>
            <m:e>
              <m:r>
                <w:rPr>
                  <w:rFonts w:ascii="Cambria Math" w:eastAsia="Calibri" w:hAnsi="Cambria Math"/>
                  <w:sz w:val="24"/>
                </w:rPr>
                <m:t xml:space="preserve">CTW </m:t>
              </m:r>
            </m:e>
            <m:sub>
              <m:r>
                <w:rPr>
                  <w:rFonts w:ascii="Cambria Math" w:eastAsia="Calibri" w:hAnsi="Cambria Math"/>
                  <w:sz w:val="24"/>
                </w:rPr>
                <m:t>age5-9</m:t>
              </m:r>
            </m:sub>
          </m:sSub>
          <m:r>
            <w:rPr>
              <w:rFonts w:ascii="Cambria Math" w:eastAsia="Calibri" w:hAnsi="Cambria Math"/>
              <w:sz w:val="24"/>
            </w:rPr>
            <m:t>=</m:t>
          </m:r>
          <m:f>
            <m:fPr>
              <m:ctrlPr>
                <w:rPr>
                  <w:rFonts w:ascii="Cambria Math" w:eastAsia="Calibri" w:hAnsi="Cambria Math" w:cs="Cambria Math"/>
                  <w:i/>
                  <w:sz w:val="24"/>
                </w:rPr>
              </m:ctrlPr>
            </m:fPr>
            <m:num>
              <m:sSub>
                <m:sSubPr>
                  <m:ctrlPr>
                    <w:rPr>
                      <w:rFonts w:ascii="Cambria Math" w:eastAsia="Calibri" w:hAnsi="Cambria Math" w:cs="Cambria Math"/>
                      <w:i/>
                      <w:sz w:val="24"/>
                    </w:rPr>
                  </m:ctrlPr>
                </m:sSubPr>
                <m:e>
                  <m:r>
                    <w:rPr>
                      <w:rFonts w:ascii="Cambria Math" w:eastAsia="Calibri" w:hAnsi="Cambria Math" w:cs="Cambria Math"/>
                      <w:sz w:val="24"/>
                    </w:rPr>
                    <m:t>Population 2020</m:t>
                  </m:r>
                </m:e>
                <m:sub>
                  <m:r>
                    <w:rPr>
                      <w:rFonts w:ascii="Cambria Math" w:eastAsia="Calibri" w:hAnsi="Cambria Math" w:cs="Cambria Math"/>
                      <w:sz w:val="24"/>
                    </w:rPr>
                    <m:t>age 5-9</m:t>
                  </m:r>
                </m:sub>
              </m:sSub>
            </m:num>
            <m:den>
              <m:sSub>
                <m:sSubPr>
                  <m:ctrlPr>
                    <w:rPr>
                      <w:rFonts w:ascii="Cambria Math" w:eastAsia="Calibri" w:hAnsi="Cambria Math" w:cs="Cambria Math"/>
                      <w:i/>
                      <w:sz w:val="24"/>
                    </w:rPr>
                  </m:ctrlPr>
                </m:sSubPr>
                <m:e>
                  <m:r>
                    <w:rPr>
                      <w:rFonts w:ascii="Cambria Math" w:eastAsia="Calibri" w:hAnsi="Cambria Math" w:cs="Cambria Math"/>
                      <w:sz w:val="24"/>
                    </w:rPr>
                    <m:t>Population 2020</m:t>
                  </m:r>
                </m:e>
                <m:sub>
                  <m:r>
                    <w:rPr>
                      <w:rFonts w:ascii="Cambria Math" w:eastAsia="Calibri" w:hAnsi="Cambria Math" w:cs="Cambria Math"/>
                      <w:sz w:val="24"/>
                    </w:rPr>
                    <m:t>age 30-49</m:t>
                  </m:r>
                </m:sub>
              </m:sSub>
            </m:den>
          </m:f>
        </m:oMath>
      </m:oMathPara>
    </w:p>
    <w:p w14:paraId="469A570B" w14:textId="04DEE1F6" w:rsidR="00C20D02" w:rsidRPr="005C4C7E" w:rsidRDefault="00C20D02" w:rsidP="00C20D02">
      <w:pPr>
        <w:spacing w:line="240" w:lineRule="auto"/>
        <w:rPr>
          <w:rFonts w:ascii="Calibri" w:eastAsia="Calibri" w:hAnsi="Calibri"/>
        </w:rPr>
      </w:pPr>
      <w:r w:rsidRPr="005C4C7E">
        <w:rPr>
          <w:rFonts w:ascii="Calibri" w:hAnsi="Calibri"/>
        </w:rPr>
        <w:t xml:space="preserve">Using the formulas expressed above, we calculate geographically specific CCRs and CTWs for each age/sex cohort at both the town and tract geographic levels. </w:t>
      </w:r>
      <w:r w:rsidRPr="005C4C7E">
        <w:rPr>
          <w:rFonts w:ascii="Calibri" w:eastAsia="Calibri" w:hAnsi="Calibri"/>
        </w:rPr>
        <w:t xml:space="preserve">For all age groups, the resulting cohort-specific ratio is then applied to the corresponding base population (the Census 2020 population in our model) in order to estimate the population 10 years later (2030 in this case). </w:t>
      </w:r>
    </w:p>
    <w:p w14:paraId="19AC8F36" w14:textId="3FDEB1D1" w:rsidR="00AC0443" w:rsidRDefault="00AC0443" w:rsidP="00A914FB">
      <w:pPr>
        <w:pStyle w:val="Heading3"/>
      </w:pPr>
      <w:bookmarkStart w:id="27" w:name="_Toc197520530"/>
      <w:r>
        <w:t>Capping Ratios</w:t>
      </w:r>
      <w:bookmarkEnd w:id="27"/>
    </w:p>
    <w:p w14:paraId="536C260F" w14:textId="46E6A74A" w:rsidR="00004AD9" w:rsidRPr="005C4C7E" w:rsidRDefault="00C20D02" w:rsidP="00004AD9">
      <w:pPr>
        <w:spacing w:line="240" w:lineRule="auto"/>
        <w:rPr>
          <w:rFonts w:ascii="Calibri" w:eastAsia="Calibri" w:hAnsi="Calibri"/>
        </w:rPr>
      </w:pPr>
      <w:r w:rsidRPr="005C4C7E">
        <w:rPr>
          <w:rFonts w:ascii="Calibri" w:eastAsia="Calibri" w:hAnsi="Calibri"/>
        </w:rPr>
        <w:t>Before we integrate the resulting CCRs into our model, we cap them at “1” for cohort groups including fewer than 25 people and “2” for groups under 100 people</w:t>
      </w:r>
      <w:r w:rsidRPr="005C4C7E">
        <w:rPr>
          <w:rFonts w:ascii="Calibri" w:hAnsi="Calibri"/>
        </w:rPr>
        <w:t>. This “capping” process is a modification to the standard</w:t>
      </w:r>
      <w:r w:rsidR="00004AD9" w:rsidRPr="005C4C7E">
        <w:rPr>
          <w:rFonts w:ascii="Calibri" w:hAnsi="Calibri"/>
        </w:rPr>
        <w:t xml:space="preserve"> Hamilton-Perry method that we developed through performance testing on the V2016 model. The rationale behind this approach is that</w:t>
      </w:r>
      <w:r w:rsidR="00B83288" w:rsidRPr="005C4C7E">
        <w:rPr>
          <w:rFonts w:ascii="Calibri" w:hAnsi="Calibri"/>
        </w:rPr>
        <w:t>,</w:t>
      </w:r>
      <w:r w:rsidR="00004AD9" w:rsidRPr="005C4C7E">
        <w:rPr>
          <w:rFonts w:ascii="Calibri" w:hAnsi="Calibri"/>
        </w:rPr>
        <w:t xml:space="preserve"> </w:t>
      </w:r>
      <w:r w:rsidR="00B83288" w:rsidRPr="005C4C7E">
        <w:rPr>
          <w:rFonts w:ascii="Calibri" w:hAnsi="Calibri"/>
        </w:rPr>
        <w:t>i</w:t>
      </w:r>
      <w:r w:rsidR="00004AD9" w:rsidRPr="005C4C7E">
        <w:rPr>
          <w:rFonts w:ascii="Calibri" w:eastAsia="Calibri" w:hAnsi="Calibri"/>
        </w:rPr>
        <w:t xml:space="preserve">n the case of small cohorts, minor changes in population may result in large percentage increases—or large change ratios in the context of a Hamilton-Perry method. For example, a cohort population of 2 persons aging forward and increasing to 12 persons from 2010 to 2020 would yield a change ratio of 12 ÷ 2, or 6. Applying the CCR of 6 to the 2020 base population of 12 would now suggest that the future cohort population would increase to 72 by 2030. While unusual or erratic population jumps do sometimes occur—and are accounted for in our estimated error ranges—they do not necessarily need to be perpetuated forward by the model. Unreasonable increases that occur solely as the by-product of a ratio method should be limited, which can be achieved by applying caps to the ratios themselves. </w:t>
      </w:r>
    </w:p>
    <w:p w14:paraId="48D01B59" w14:textId="78F9D196" w:rsidR="00004AD9" w:rsidRPr="00906BD3" w:rsidRDefault="00004AD9" w:rsidP="00004AD9">
      <w:pPr>
        <w:spacing w:line="240" w:lineRule="auto"/>
        <w:rPr>
          <w:rFonts w:ascii="Calibri" w:eastAsia="Calibri" w:hAnsi="Calibri"/>
        </w:rPr>
      </w:pPr>
      <w:r w:rsidRPr="00906BD3">
        <w:rPr>
          <w:rFonts w:ascii="Calibri" w:eastAsia="Calibri" w:hAnsi="Calibri"/>
        </w:rPr>
        <w:t xml:space="preserve">To decide where to cap the </w:t>
      </w:r>
      <w:r w:rsidRPr="009D119E">
        <w:rPr>
          <w:rFonts w:ascii="Calibri" w:eastAsia="Calibri" w:hAnsi="Calibri"/>
        </w:rPr>
        <w:t xml:space="preserve">CCRs, </w:t>
      </w:r>
      <w:r w:rsidR="0078792A" w:rsidRPr="009D119E">
        <w:rPr>
          <w:rFonts w:ascii="Calibri" w:eastAsia="Calibri" w:hAnsi="Calibri"/>
        </w:rPr>
        <w:t xml:space="preserve">in the V2017 projections, </w:t>
      </w:r>
      <w:r w:rsidRPr="009D119E">
        <w:rPr>
          <w:rFonts w:ascii="Calibri" w:eastAsia="Calibri" w:hAnsi="Calibri"/>
        </w:rPr>
        <w:t>UMDI</w:t>
      </w:r>
      <w:r w:rsidRPr="00906BD3">
        <w:rPr>
          <w:rFonts w:ascii="Calibri" w:eastAsia="Calibri" w:hAnsi="Calibri"/>
        </w:rPr>
        <w:t xml:space="preserve"> examined the frequency of actual 2000-2010 CCR values by cohort size and noted the values at which most CCRs naturally occur and at which level they are outliers. We then conducted sensitivity testing of various CCR cap values applied to different cohort sizes to see which adjustment brought our 2010 estimates closest to the Census 2010 actuals. We determined that a reasonable cap—one that minimizes error in our projections—is the CCR value “1” for cohort groups including fewer than 25 people and “2” for groups under 100 people. In our example of 2 persons increasing to 12, the effect of a CCR cap of “1” would mean that the group of 12 ages forward to a population of 12 again, not 72. For larger groups, a cohort of 30 people that </w:t>
      </w:r>
      <w:r w:rsidR="007F76CA" w:rsidRPr="00906BD3">
        <w:rPr>
          <w:rFonts w:ascii="Calibri" w:eastAsia="Calibri" w:hAnsi="Calibri"/>
        </w:rPr>
        <w:t>aged up to</w:t>
      </w:r>
      <w:r w:rsidRPr="00906BD3">
        <w:rPr>
          <w:rFonts w:ascii="Calibri" w:eastAsia="Calibri" w:hAnsi="Calibri"/>
        </w:rPr>
        <w:t xml:space="preserve"> 90 people over ten years (indicating a CCR of “3”) would be allowed to age up to 60 people using a CCR cap of “2,” but no higher. While the larger CCR cap of “2” still allows for significant growth, both caps mitigate the possibility of “runaway” cohorts that may grow into unreasonably large groups in small places. </w:t>
      </w:r>
    </w:p>
    <w:p w14:paraId="12D50466" w14:textId="77777777" w:rsidR="003C7F14" w:rsidRDefault="00F47D1C" w:rsidP="00004AD9">
      <w:pPr>
        <w:spacing w:line="240" w:lineRule="auto"/>
        <w:rPr>
          <w:rFonts w:ascii="Calibri" w:eastAsia="Calibri" w:hAnsi="Calibri"/>
        </w:rPr>
      </w:pPr>
      <w:r w:rsidRPr="007425CE">
        <w:rPr>
          <w:rFonts w:ascii="Calibri" w:eastAsia="Calibri" w:hAnsi="Calibri"/>
        </w:rPr>
        <w:lastRenderedPageBreak/>
        <w:t xml:space="preserve">Due to the prevalence of very small </w:t>
      </w:r>
      <w:r w:rsidR="00D63152">
        <w:rPr>
          <w:rFonts w:ascii="Calibri" w:eastAsia="Calibri" w:hAnsi="Calibri"/>
        </w:rPr>
        <w:t xml:space="preserve">maternal </w:t>
      </w:r>
      <w:r w:rsidRPr="007425CE">
        <w:rPr>
          <w:rFonts w:ascii="Calibri" w:eastAsia="Calibri" w:hAnsi="Calibri"/>
        </w:rPr>
        <w:t>cohorts in the age/sex/race/ethnicity</w:t>
      </w:r>
      <w:r w:rsidR="007425CE">
        <w:rPr>
          <w:rFonts w:ascii="Calibri" w:eastAsia="Calibri" w:hAnsi="Calibri"/>
        </w:rPr>
        <w:t xml:space="preserve"> projection</w:t>
      </w:r>
      <w:r w:rsidR="00C93AA3" w:rsidRPr="007425CE">
        <w:rPr>
          <w:rFonts w:ascii="Calibri" w:eastAsia="Calibri" w:hAnsi="Calibri"/>
        </w:rPr>
        <w:t>, we adjusted the cap</w:t>
      </w:r>
      <w:r w:rsidR="00A4789B" w:rsidRPr="007425CE">
        <w:rPr>
          <w:rFonts w:ascii="Calibri" w:eastAsia="Calibri" w:hAnsi="Calibri"/>
        </w:rPr>
        <w:t xml:space="preserve"> of the child-to-woman ratios</w:t>
      </w:r>
      <w:r w:rsidR="00C15B2A" w:rsidRPr="007425CE">
        <w:rPr>
          <w:rFonts w:ascii="Calibri" w:eastAsia="Calibri" w:hAnsi="Calibri"/>
        </w:rPr>
        <w:t xml:space="preserve"> for that estimate series</w:t>
      </w:r>
      <w:r w:rsidR="006D68E6" w:rsidRPr="007425CE">
        <w:rPr>
          <w:rFonts w:ascii="Calibri" w:eastAsia="Calibri" w:hAnsi="Calibri"/>
        </w:rPr>
        <w:t xml:space="preserve">. </w:t>
      </w:r>
      <w:r w:rsidR="003D49A7">
        <w:rPr>
          <w:rFonts w:ascii="Calibri" w:eastAsia="Calibri" w:hAnsi="Calibri"/>
        </w:rPr>
        <w:t xml:space="preserve">Small maternal cohorts can sometimes </w:t>
      </w:r>
      <w:r w:rsidR="00942A14">
        <w:rPr>
          <w:rFonts w:ascii="Calibri" w:eastAsia="Calibri" w:hAnsi="Calibri"/>
        </w:rPr>
        <w:t xml:space="preserve">generate large child-to-woman ratios </w:t>
      </w:r>
      <w:r w:rsidR="00BF7E9B">
        <w:rPr>
          <w:rFonts w:ascii="Calibri" w:eastAsia="Calibri" w:hAnsi="Calibri"/>
        </w:rPr>
        <w:t>simply due to</w:t>
      </w:r>
      <w:r w:rsidR="0020504E">
        <w:rPr>
          <w:rFonts w:ascii="Calibri" w:eastAsia="Calibri" w:hAnsi="Calibri"/>
        </w:rPr>
        <w:t xml:space="preserve"> </w:t>
      </w:r>
      <w:r w:rsidR="00E316B8">
        <w:rPr>
          <w:rFonts w:ascii="Calibri" w:eastAsia="Calibri" w:hAnsi="Calibri"/>
        </w:rPr>
        <w:t xml:space="preserve">their size. For example, </w:t>
      </w:r>
      <w:r w:rsidR="002E00FF">
        <w:rPr>
          <w:rFonts w:ascii="Calibri" w:eastAsia="Calibri" w:hAnsi="Calibri"/>
        </w:rPr>
        <w:t xml:space="preserve">if </w:t>
      </w:r>
      <w:r w:rsidR="007375AA">
        <w:rPr>
          <w:rFonts w:ascii="Calibri" w:eastAsia="Calibri" w:hAnsi="Calibri"/>
        </w:rPr>
        <w:t xml:space="preserve">in 2020 </w:t>
      </w:r>
      <w:r w:rsidR="002E00FF">
        <w:rPr>
          <w:rFonts w:ascii="Calibri" w:eastAsia="Calibri" w:hAnsi="Calibri"/>
        </w:rPr>
        <w:t xml:space="preserve">a maternal cohort had </w:t>
      </w:r>
      <w:r w:rsidR="00FB3085">
        <w:rPr>
          <w:rFonts w:ascii="Calibri" w:eastAsia="Calibri" w:hAnsi="Calibri"/>
        </w:rPr>
        <w:t xml:space="preserve">6 </w:t>
      </w:r>
      <w:r w:rsidR="002E00FF">
        <w:rPr>
          <w:rFonts w:ascii="Calibri" w:eastAsia="Calibri" w:hAnsi="Calibri"/>
        </w:rPr>
        <w:t xml:space="preserve">women and the </w:t>
      </w:r>
      <w:r w:rsidR="00253AC2">
        <w:rPr>
          <w:rFonts w:ascii="Calibri" w:eastAsia="Calibri" w:hAnsi="Calibri"/>
        </w:rPr>
        <w:t>0-4</w:t>
      </w:r>
      <w:r w:rsidR="002E00FF">
        <w:rPr>
          <w:rFonts w:ascii="Calibri" w:eastAsia="Calibri" w:hAnsi="Calibri"/>
        </w:rPr>
        <w:t xml:space="preserve"> child cohort had</w:t>
      </w:r>
      <w:r w:rsidR="00FB3085">
        <w:rPr>
          <w:rFonts w:ascii="Calibri" w:eastAsia="Calibri" w:hAnsi="Calibri"/>
        </w:rPr>
        <w:t xml:space="preserve"> </w:t>
      </w:r>
      <w:r w:rsidR="00715975">
        <w:rPr>
          <w:rFonts w:ascii="Calibri" w:eastAsia="Calibri" w:hAnsi="Calibri"/>
        </w:rPr>
        <w:t>8</w:t>
      </w:r>
      <w:r w:rsidR="00FB3085">
        <w:rPr>
          <w:rFonts w:ascii="Calibri" w:eastAsia="Calibri" w:hAnsi="Calibri"/>
        </w:rPr>
        <w:t xml:space="preserve"> children</w:t>
      </w:r>
      <w:r w:rsidR="007375AA">
        <w:rPr>
          <w:rFonts w:ascii="Calibri" w:eastAsia="Calibri" w:hAnsi="Calibri"/>
        </w:rPr>
        <w:t>, the child-to-woman ratio would be 1.</w:t>
      </w:r>
      <w:r w:rsidR="00856DC2">
        <w:rPr>
          <w:rFonts w:ascii="Calibri" w:eastAsia="Calibri" w:hAnsi="Calibri"/>
        </w:rPr>
        <w:t>33</w:t>
      </w:r>
      <w:r w:rsidR="00715975">
        <w:rPr>
          <w:rFonts w:ascii="Calibri" w:eastAsia="Calibri" w:hAnsi="Calibri"/>
        </w:rPr>
        <w:t>.</w:t>
      </w:r>
      <w:r w:rsidR="00D460FB">
        <w:rPr>
          <w:rFonts w:ascii="Calibri" w:eastAsia="Calibri" w:hAnsi="Calibri"/>
        </w:rPr>
        <w:t xml:space="preserve"> It </w:t>
      </w:r>
      <w:r w:rsidR="003210F8">
        <w:rPr>
          <w:rFonts w:ascii="Calibri" w:eastAsia="Calibri" w:hAnsi="Calibri"/>
        </w:rPr>
        <w:t xml:space="preserve">is plausible that in this “snapshot” that several women would have had multiple children </w:t>
      </w:r>
      <w:r w:rsidR="00D013D2">
        <w:rPr>
          <w:rFonts w:ascii="Calibri" w:eastAsia="Calibri" w:hAnsi="Calibri"/>
        </w:rPr>
        <w:t>over the course of 5 years (</w:t>
      </w:r>
      <w:r w:rsidR="0029259E">
        <w:rPr>
          <w:rFonts w:ascii="Calibri" w:eastAsia="Calibri" w:hAnsi="Calibri"/>
        </w:rPr>
        <w:t>the time span in which 0-4 year olds would be born</w:t>
      </w:r>
      <w:r w:rsidR="00253AC2">
        <w:rPr>
          <w:rFonts w:ascii="Calibri" w:eastAsia="Calibri" w:hAnsi="Calibri"/>
        </w:rPr>
        <w:t xml:space="preserve">) or that </w:t>
      </w:r>
      <w:r w:rsidR="0029259E">
        <w:rPr>
          <w:rFonts w:ascii="Calibri" w:eastAsia="Calibri" w:hAnsi="Calibri"/>
        </w:rPr>
        <w:t xml:space="preserve">families may have moved in with children, but we </w:t>
      </w:r>
      <w:r w:rsidR="00F419D4">
        <w:rPr>
          <w:rFonts w:ascii="Calibri" w:eastAsia="Calibri" w:hAnsi="Calibri"/>
        </w:rPr>
        <w:t>could not necessarily expect this trend to continue a</w:t>
      </w:r>
      <w:r w:rsidR="004E1642">
        <w:rPr>
          <w:rFonts w:ascii="Calibri" w:eastAsia="Calibri" w:hAnsi="Calibri"/>
        </w:rPr>
        <w:t>t this rate into the future.</w:t>
      </w:r>
      <w:r w:rsidR="002E00FF">
        <w:rPr>
          <w:rFonts w:ascii="Calibri" w:eastAsia="Calibri" w:hAnsi="Calibri"/>
        </w:rPr>
        <w:t xml:space="preserve"> </w:t>
      </w:r>
      <w:r w:rsidR="009D1079" w:rsidRPr="007425CE">
        <w:rPr>
          <w:rFonts w:ascii="Calibri" w:eastAsia="Calibri" w:hAnsi="Calibri"/>
        </w:rPr>
        <w:t xml:space="preserve">For this reason, </w:t>
      </w:r>
      <w:r w:rsidR="003103F0" w:rsidRPr="007425CE">
        <w:rPr>
          <w:rFonts w:ascii="Calibri" w:eastAsia="Calibri" w:hAnsi="Calibri"/>
        </w:rPr>
        <w:t>if</w:t>
      </w:r>
      <w:r w:rsidR="00FB4D49" w:rsidRPr="007425CE">
        <w:rPr>
          <w:rFonts w:ascii="Calibri" w:eastAsia="Calibri" w:hAnsi="Calibri"/>
        </w:rPr>
        <w:t xml:space="preserve"> </w:t>
      </w:r>
      <w:r w:rsidR="000A7048" w:rsidRPr="007425CE">
        <w:rPr>
          <w:rFonts w:ascii="Calibri" w:eastAsia="Calibri" w:hAnsi="Calibri"/>
        </w:rPr>
        <w:t>the sum of the females used to calculate the child</w:t>
      </w:r>
      <w:r w:rsidR="00682A91" w:rsidRPr="007425CE">
        <w:rPr>
          <w:rFonts w:ascii="Calibri" w:eastAsia="Calibri" w:hAnsi="Calibri"/>
        </w:rPr>
        <w:t xml:space="preserve"> cohort is less than 100, we</w:t>
      </w:r>
      <w:r w:rsidR="00682A91">
        <w:rPr>
          <w:rFonts w:ascii="Calibri" w:eastAsia="Calibri" w:hAnsi="Calibri"/>
        </w:rPr>
        <w:t xml:space="preserve"> use </w:t>
      </w:r>
      <w:r w:rsidR="00682A91" w:rsidRPr="00603C3E">
        <w:rPr>
          <w:rFonts w:ascii="Calibri" w:eastAsia="Calibri" w:hAnsi="Calibri"/>
        </w:rPr>
        <w:t xml:space="preserve">a cap of 0.64. </w:t>
      </w:r>
      <w:r w:rsidR="00914BFA" w:rsidRPr="00603C3E">
        <w:rPr>
          <w:rFonts w:ascii="Calibri" w:eastAsia="Calibri" w:hAnsi="Calibri"/>
        </w:rPr>
        <w:t xml:space="preserve"> </w:t>
      </w:r>
    </w:p>
    <w:p w14:paraId="13EABD6D" w14:textId="6306A792" w:rsidR="0038482A" w:rsidRPr="00101D45" w:rsidRDefault="00321C6C" w:rsidP="00004AD9">
      <w:pPr>
        <w:spacing w:line="240" w:lineRule="auto"/>
        <w:rPr>
          <w:rFonts w:ascii="Calibri" w:eastAsia="Calibri" w:hAnsi="Calibri"/>
        </w:rPr>
      </w:pPr>
      <w:r>
        <w:rPr>
          <w:rFonts w:ascii="Calibri" w:eastAsia="Calibri" w:hAnsi="Calibri"/>
        </w:rPr>
        <w:t xml:space="preserve">This cap level was selected based on an analysis of </w:t>
      </w:r>
      <w:r w:rsidR="00916EE4">
        <w:rPr>
          <w:rFonts w:ascii="Calibri" w:eastAsia="Calibri" w:hAnsi="Calibri"/>
        </w:rPr>
        <w:t xml:space="preserve">the </w:t>
      </w:r>
      <w:r w:rsidR="00613709">
        <w:rPr>
          <w:rFonts w:ascii="Calibri" w:eastAsia="Calibri" w:hAnsi="Calibri"/>
        </w:rPr>
        <w:t xml:space="preserve">child-to-women (CTW) ratios observed in the </w:t>
      </w:r>
      <w:r w:rsidR="00AB564E">
        <w:rPr>
          <w:rFonts w:ascii="Calibri" w:eastAsia="Calibri" w:hAnsi="Calibri"/>
        </w:rPr>
        <w:t>Census 2020 data</w:t>
      </w:r>
      <w:r w:rsidR="000F654C">
        <w:rPr>
          <w:rFonts w:ascii="Calibri" w:eastAsia="Calibri" w:hAnsi="Calibri"/>
        </w:rPr>
        <w:t xml:space="preserve"> for Massachusetts MCDs</w:t>
      </w:r>
      <w:r w:rsidR="005C4778">
        <w:rPr>
          <w:rFonts w:ascii="Calibri" w:eastAsia="Calibri" w:hAnsi="Calibri"/>
        </w:rPr>
        <w:t xml:space="preserve">. </w:t>
      </w:r>
      <w:r w:rsidR="00160060">
        <w:rPr>
          <w:rFonts w:ascii="Calibri" w:eastAsia="Calibri" w:hAnsi="Calibri"/>
        </w:rPr>
        <w:t xml:space="preserve">Out of </w:t>
      </w:r>
      <w:r w:rsidR="002E4C63">
        <w:rPr>
          <w:rFonts w:ascii="Calibri" w:eastAsia="Calibri" w:hAnsi="Calibri"/>
        </w:rPr>
        <w:t>16,</w:t>
      </w:r>
      <w:r w:rsidR="00947258">
        <w:rPr>
          <w:rFonts w:ascii="Calibri" w:eastAsia="Calibri" w:hAnsi="Calibri"/>
        </w:rPr>
        <w:t xml:space="preserve">849 </w:t>
      </w:r>
      <w:r w:rsidR="00226749">
        <w:rPr>
          <w:rFonts w:ascii="Calibri" w:eastAsia="Calibri" w:hAnsi="Calibri"/>
        </w:rPr>
        <w:t xml:space="preserve">observed </w:t>
      </w:r>
      <w:r w:rsidR="00947258">
        <w:rPr>
          <w:rFonts w:ascii="Calibri" w:eastAsia="Calibri" w:hAnsi="Calibri"/>
        </w:rPr>
        <w:t xml:space="preserve">CTWs by </w:t>
      </w:r>
      <w:r w:rsidR="00D14F5D">
        <w:rPr>
          <w:rFonts w:ascii="Calibri" w:eastAsia="Calibri" w:hAnsi="Calibri"/>
        </w:rPr>
        <w:t>age (0-4 and 5-9)</w:t>
      </w:r>
      <w:r w:rsidR="0078333D">
        <w:rPr>
          <w:rFonts w:ascii="Calibri" w:eastAsia="Calibri" w:hAnsi="Calibri"/>
        </w:rPr>
        <w:t xml:space="preserve">, </w:t>
      </w:r>
      <w:r w:rsidR="00D14F5D">
        <w:rPr>
          <w:rFonts w:ascii="Calibri" w:eastAsia="Calibri" w:hAnsi="Calibri"/>
        </w:rPr>
        <w:t xml:space="preserve">sex, </w:t>
      </w:r>
      <w:r w:rsidR="0078333D">
        <w:rPr>
          <w:rFonts w:ascii="Calibri" w:eastAsia="Calibri" w:hAnsi="Calibri"/>
        </w:rPr>
        <w:t xml:space="preserve">race, ethnicity, and MCD, we first filtered </w:t>
      </w:r>
      <w:r w:rsidR="00226749">
        <w:rPr>
          <w:rFonts w:ascii="Calibri" w:eastAsia="Calibri" w:hAnsi="Calibri"/>
        </w:rPr>
        <w:t xml:space="preserve">out observations for which the corresponding maternal cohorts summed to fewer than 25 people, leaving </w:t>
      </w:r>
      <w:r w:rsidR="008D5CA4">
        <w:rPr>
          <w:rFonts w:ascii="Calibri" w:eastAsia="Calibri" w:hAnsi="Calibri"/>
        </w:rPr>
        <w:t>5,366</w:t>
      </w:r>
      <w:r w:rsidR="00DD3B33">
        <w:rPr>
          <w:rFonts w:ascii="Calibri" w:eastAsia="Calibri" w:hAnsi="Calibri"/>
        </w:rPr>
        <w:t xml:space="preserve"> observations</w:t>
      </w:r>
      <w:r w:rsidR="0070636F">
        <w:rPr>
          <w:rFonts w:ascii="Calibri" w:eastAsia="Calibri" w:hAnsi="Calibri"/>
        </w:rPr>
        <w:t xml:space="preserve">. </w:t>
      </w:r>
      <w:r w:rsidR="00474028">
        <w:rPr>
          <w:rFonts w:ascii="Calibri" w:eastAsia="Calibri" w:hAnsi="Calibri"/>
        </w:rPr>
        <w:t xml:space="preserve">This filtering was applied to overcome the challenges of small populations resulting in </w:t>
      </w:r>
      <w:r w:rsidR="0079307F">
        <w:rPr>
          <w:rFonts w:ascii="Calibri" w:eastAsia="Calibri" w:hAnsi="Calibri"/>
        </w:rPr>
        <w:t>implausible</w:t>
      </w:r>
      <w:r w:rsidR="00474028">
        <w:rPr>
          <w:rFonts w:ascii="Calibri" w:eastAsia="Calibri" w:hAnsi="Calibri"/>
        </w:rPr>
        <w:t xml:space="preserve"> ratios. </w:t>
      </w:r>
      <w:r w:rsidR="003B4F48">
        <w:rPr>
          <w:rFonts w:ascii="Calibri" w:eastAsia="Calibri" w:hAnsi="Calibri"/>
        </w:rPr>
        <w:t xml:space="preserve">Next, </w:t>
      </w:r>
      <w:r w:rsidR="00C83D65">
        <w:rPr>
          <w:rFonts w:ascii="Calibri" w:eastAsia="Calibri" w:hAnsi="Calibri"/>
        </w:rPr>
        <w:t>we analyzed</w:t>
      </w:r>
      <w:r w:rsidR="00C52DE7">
        <w:rPr>
          <w:rFonts w:ascii="Calibri" w:eastAsia="Calibri" w:hAnsi="Calibri"/>
        </w:rPr>
        <w:t xml:space="preserve"> </w:t>
      </w:r>
      <w:r w:rsidR="001D2412">
        <w:rPr>
          <w:rFonts w:ascii="Calibri" w:eastAsia="Calibri" w:hAnsi="Calibri"/>
        </w:rPr>
        <w:t xml:space="preserve">the 90% and 95% </w:t>
      </w:r>
      <w:r w:rsidR="004A1E58">
        <w:rPr>
          <w:rFonts w:ascii="Calibri" w:eastAsia="Calibri" w:hAnsi="Calibri"/>
        </w:rPr>
        <w:t xml:space="preserve">CTWs by race. </w:t>
      </w:r>
      <w:r w:rsidR="00B32204">
        <w:rPr>
          <w:rFonts w:ascii="Calibri" w:eastAsia="Calibri" w:hAnsi="Calibri"/>
        </w:rPr>
        <w:t xml:space="preserve">The 90% </w:t>
      </w:r>
      <w:r w:rsidR="00C379BC">
        <w:rPr>
          <w:rFonts w:ascii="Calibri" w:eastAsia="Calibri" w:hAnsi="Calibri"/>
        </w:rPr>
        <w:t>CTWs</w:t>
      </w:r>
      <w:r w:rsidR="00B32204">
        <w:rPr>
          <w:rFonts w:ascii="Calibri" w:eastAsia="Calibri" w:hAnsi="Calibri"/>
        </w:rPr>
        <w:t xml:space="preserve">, or the CTW </w:t>
      </w:r>
      <w:r w:rsidR="002E1564">
        <w:rPr>
          <w:rFonts w:ascii="Calibri" w:eastAsia="Calibri" w:hAnsi="Calibri"/>
        </w:rPr>
        <w:t>ratio</w:t>
      </w:r>
      <w:r w:rsidR="00322385">
        <w:rPr>
          <w:rFonts w:ascii="Calibri" w:eastAsia="Calibri" w:hAnsi="Calibri"/>
        </w:rPr>
        <w:t>s</w:t>
      </w:r>
      <w:r w:rsidR="002E1564">
        <w:rPr>
          <w:rFonts w:ascii="Calibri" w:eastAsia="Calibri" w:hAnsi="Calibri"/>
        </w:rPr>
        <w:t xml:space="preserve"> </w:t>
      </w:r>
      <w:r w:rsidR="00B32204">
        <w:rPr>
          <w:rFonts w:ascii="Calibri" w:eastAsia="Calibri" w:hAnsi="Calibri"/>
        </w:rPr>
        <w:t xml:space="preserve">under which </w:t>
      </w:r>
      <w:r w:rsidR="001A6D04">
        <w:rPr>
          <w:rFonts w:ascii="Calibri" w:eastAsia="Calibri" w:hAnsi="Calibri"/>
        </w:rPr>
        <w:t>90% of all observations</w:t>
      </w:r>
      <w:r w:rsidR="006C60D3">
        <w:rPr>
          <w:rFonts w:ascii="Calibri" w:eastAsia="Calibri" w:hAnsi="Calibri"/>
        </w:rPr>
        <w:t xml:space="preserve"> </w:t>
      </w:r>
      <w:r w:rsidR="0034200D">
        <w:rPr>
          <w:rFonts w:ascii="Calibri" w:eastAsia="Calibri" w:hAnsi="Calibri"/>
        </w:rPr>
        <w:t xml:space="preserve">fell, </w:t>
      </w:r>
      <w:r w:rsidR="007D06DE">
        <w:rPr>
          <w:rFonts w:ascii="Calibri" w:eastAsia="Calibri" w:hAnsi="Calibri"/>
        </w:rPr>
        <w:t>by race</w:t>
      </w:r>
      <w:r w:rsidR="00005CB2">
        <w:rPr>
          <w:rFonts w:ascii="Calibri" w:eastAsia="Calibri" w:hAnsi="Calibri"/>
        </w:rPr>
        <w:t>,</w:t>
      </w:r>
      <w:r w:rsidR="007D06DE">
        <w:rPr>
          <w:rFonts w:ascii="Calibri" w:eastAsia="Calibri" w:hAnsi="Calibri"/>
        </w:rPr>
        <w:t xml:space="preserve"> </w:t>
      </w:r>
      <w:r w:rsidR="00C379BC">
        <w:rPr>
          <w:rFonts w:ascii="Calibri" w:eastAsia="Calibri" w:hAnsi="Calibri"/>
        </w:rPr>
        <w:t>included</w:t>
      </w:r>
      <w:r w:rsidR="007D06DE">
        <w:rPr>
          <w:rFonts w:ascii="Calibri" w:eastAsia="Calibri" w:hAnsi="Calibri"/>
        </w:rPr>
        <w:t xml:space="preserve">: </w:t>
      </w:r>
      <w:r w:rsidR="00F7510A">
        <w:rPr>
          <w:rFonts w:ascii="Calibri" w:eastAsia="Calibri" w:hAnsi="Calibri"/>
        </w:rPr>
        <w:t xml:space="preserve">Asian </w:t>
      </w:r>
      <w:r w:rsidR="004D442B">
        <w:rPr>
          <w:rFonts w:ascii="Calibri" w:eastAsia="Calibri" w:hAnsi="Calibri"/>
        </w:rPr>
        <w:t xml:space="preserve">0.22, </w:t>
      </w:r>
      <w:r w:rsidR="005837E5">
        <w:rPr>
          <w:rFonts w:ascii="Calibri" w:eastAsia="Calibri" w:hAnsi="Calibri"/>
        </w:rPr>
        <w:t xml:space="preserve">AIAN </w:t>
      </w:r>
      <w:r w:rsidR="00753D81">
        <w:rPr>
          <w:rFonts w:ascii="Calibri" w:eastAsia="Calibri" w:hAnsi="Calibri"/>
        </w:rPr>
        <w:t>0.</w:t>
      </w:r>
      <w:r w:rsidR="006A671A">
        <w:rPr>
          <w:rFonts w:ascii="Calibri" w:eastAsia="Calibri" w:hAnsi="Calibri"/>
        </w:rPr>
        <w:t>34</w:t>
      </w:r>
      <w:r w:rsidR="000A5915">
        <w:rPr>
          <w:rFonts w:ascii="Calibri" w:eastAsia="Calibri" w:hAnsi="Calibri"/>
        </w:rPr>
        <w:t xml:space="preserve">, </w:t>
      </w:r>
      <w:r w:rsidR="00B76368">
        <w:rPr>
          <w:rFonts w:ascii="Calibri" w:eastAsia="Calibri" w:hAnsi="Calibri"/>
        </w:rPr>
        <w:t>Black</w:t>
      </w:r>
      <w:r w:rsidR="00D14F5D">
        <w:rPr>
          <w:rFonts w:ascii="Calibri" w:eastAsia="Calibri" w:hAnsi="Calibri"/>
        </w:rPr>
        <w:t xml:space="preserve"> </w:t>
      </w:r>
      <w:r w:rsidR="00990E89">
        <w:rPr>
          <w:rFonts w:ascii="Calibri" w:eastAsia="Calibri" w:hAnsi="Calibri"/>
        </w:rPr>
        <w:t xml:space="preserve">0.35, </w:t>
      </w:r>
      <w:r w:rsidR="00214363">
        <w:rPr>
          <w:rFonts w:ascii="Calibri" w:eastAsia="Calibri" w:hAnsi="Calibri"/>
        </w:rPr>
        <w:t xml:space="preserve">NHPI </w:t>
      </w:r>
      <w:r w:rsidR="00AE4B80">
        <w:rPr>
          <w:rFonts w:ascii="Calibri" w:eastAsia="Calibri" w:hAnsi="Calibri"/>
        </w:rPr>
        <w:t xml:space="preserve">0.47, Two or More </w:t>
      </w:r>
      <w:r w:rsidR="00C61317">
        <w:rPr>
          <w:rFonts w:ascii="Calibri" w:eastAsia="Calibri" w:hAnsi="Calibri"/>
        </w:rPr>
        <w:t>Races</w:t>
      </w:r>
      <w:r w:rsidR="00AE4B80">
        <w:rPr>
          <w:rFonts w:ascii="Calibri" w:eastAsia="Calibri" w:hAnsi="Calibri"/>
        </w:rPr>
        <w:t xml:space="preserve"> </w:t>
      </w:r>
      <w:r w:rsidR="00E95689">
        <w:rPr>
          <w:rFonts w:ascii="Calibri" w:eastAsia="Calibri" w:hAnsi="Calibri"/>
        </w:rPr>
        <w:t>0.64</w:t>
      </w:r>
      <w:r w:rsidR="008A1B5C">
        <w:rPr>
          <w:rFonts w:ascii="Calibri" w:eastAsia="Calibri" w:hAnsi="Calibri"/>
        </w:rPr>
        <w:t>, and White</w:t>
      </w:r>
      <w:r w:rsidR="00D14F5D">
        <w:rPr>
          <w:rFonts w:ascii="Calibri" w:eastAsia="Calibri" w:hAnsi="Calibri"/>
        </w:rPr>
        <w:t xml:space="preserve"> </w:t>
      </w:r>
      <w:r w:rsidR="005664A1">
        <w:rPr>
          <w:rFonts w:ascii="Calibri" w:eastAsia="Calibri" w:hAnsi="Calibri"/>
        </w:rPr>
        <w:t xml:space="preserve">0.34. </w:t>
      </w:r>
      <w:r w:rsidR="000402B1">
        <w:rPr>
          <w:rFonts w:ascii="Calibri" w:eastAsia="Calibri" w:hAnsi="Calibri"/>
        </w:rPr>
        <w:t>Because the</w:t>
      </w:r>
      <w:r w:rsidR="006444A3">
        <w:rPr>
          <w:rFonts w:ascii="Calibri" w:eastAsia="Calibri" w:hAnsi="Calibri"/>
        </w:rPr>
        <w:t xml:space="preserve"> Two or More races 90% </w:t>
      </w:r>
      <w:r w:rsidR="00A451BA">
        <w:rPr>
          <w:rFonts w:ascii="Calibri" w:eastAsia="Calibri" w:hAnsi="Calibri"/>
        </w:rPr>
        <w:t>maximum</w:t>
      </w:r>
      <w:r w:rsidR="00BA32EE">
        <w:rPr>
          <w:rFonts w:ascii="Calibri" w:eastAsia="Calibri" w:hAnsi="Calibri"/>
        </w:rPr>
        <w:t xml:space="preserve"> showed the highest fertility</w:t>
      </w:r>
      <w:r w:rsidR="007F5AD1">
        <w:rPr>
          <w:rFonts w:ascii="Calibri" w:eastAsia="Calibri" w:hAnsi="Calibri"/>
        </w:rPr>
        <w:t xml:space="preserve"> o</w:t>
      </w:r>
      <w:r w:rsidR="00C025EC">
        <w:rPr>
          <w:rFonts w:ascii="Calibri" w:eastAsia="Calibri" w:hAnsi="Calibri"/>
        </w:rPr>
        <w:t>f</w:t>
      </w:r>
      <w:r w:rsidR="007F5AD1">
        <w:rPr>
          <w:rFonts w:ascii="Calibri" w:eastAsia="Calibri" w:hAnsi="Calibri"/>
        </w:rPr>
        <w:t xml:space="preserve"> all races in our </w:t>
      </w:r>
      <w:r w:rsidR="00C025EC">
        <w:rPr>
          <w:rFonts w:ascii="Calibri" w:eastAsia="Calibri" w:hAnsi="Calibri"/>
        </w:rPr>
        <w:t>dataset</w:t>
      </w:r>
      <w:r w:rsidR="007F5AD1">
        <w:rPr>
          <w:rFonts w:ascii="Calibri" w:eastAsia="Calibri" w:hAnsi="Calibri"/>
        </w:rPr>
        <w:t>,</w:t>
      </w:r>
      <w:r w:rsidR="00BA32EE">
        <w:rPr>
          <w:rFonts w:ascii="Calibri" w:eastAsia="Calibri" w:hAnsi="Calibri"/>
        </w:rPr>
        <w:t xml:space="preserve"> we selected</w:t>
      </w:r>
      <w:r w:rsidR="00A451BA">
        <w:rPr>
          <w:rFonts w:ascii="Calibri" w:eastAsia="Calibri" w:hAnsi="Calibri"/>
        </w:rPr>
        <w:t xml:space="preserve"> </w:t>
      </w:r>
      <w:r w:rsidR="00A02791">
        <w:rPr>
          <w:rFonts w:ascii="Calibri" w:eastAsia="Calibri" w:hAnsi="Calibri"/>
        </w:rPr>
        <w:t>its value as the cap</w:t>
      </w:r>
      <w:r w:rsidR="007F5AD1">
        <w:rPr>
          <w:rFonts w:ascii="Calibri" w:eastAsia="Calibri" w:hAnsi="Calibri"/>
        </w:rPr>
        <w:t>.</w:t>
      </w:r>
      <w:r w:rsidR="001F4E7B">
        <w:rPr>
          <w:rFonts w:ascii="Calibri" w:eastAsia="Calibri" w:hAnsi="Calibri"/>
        </w:rPr>
        <w:t xml:space="preserve"> The </w:t>
      </w:r>
      <w:r w:rsidR="00816B99">
        <w:rPr>
          <w:rFonts w:ascii="Calibri" w:eastAsia="Calibri" w:hAnsi="Calibri"/>
        </w:rPr>
        <w:t xml:space="preserve">cap selected </w:t>
      </w:r>
      <w:r w:rsidR="00617C31">
        <w:rPr>
          <w:rFonts w:ascii="Calibri" w:eastAsia="Calibri" w:hAnsi="Calibri"/>
        </w:rPr>
        <w:t xml:space="preserve">was </w:t>
      </w:r>
      <w:r w:rsidR="00C758C3">
        <w:rPr>
          <w:rFonts w:ascii="Calibri" w:eastAsia="Calibri" w:hAnsi="Calibri"/>
        </w:rPr>
        <w:t>also</w:t>
      </w:r>
      <w:r w:rsidR="00617C31">
        <w:rPr>
          <w:rFonts w:ascii="Calibri" w:eastAsia="Calibri" w:hAnsi="Calibri"/>
        </w:rPr>
        <w:t xml:space="preserve"> determined to </w:t>
      </w:r>
      <w:r w:rsidR="00DA091F">
        <w:rPr>
          <w:rFonts w:ascii="Calibri" w:eastAsia="Calibri" w:hAnsi="Calibri"/>
        </w:rPr>
        <w:t>closely approximate</w:t>
      </w:r>
      <w:r w:rsidR="00617C31">
        <w:rPr>
          <w:rFonts w:ascii="Calibri" w:eastAsia="Calibri" w:hAnsi="Calibri"/>
        </w:rPr>
        <w:t xml:space="preserve"> the</w:t>
      </w:r>
      <w:r w:rsidR="00DA091F">
        <w:rPr>
          <w:rFonts w:ascii="Calibri" w:eastAsia="Calibri" w:hAnsi="Calibri"/>
        </w:rPr>
        <w:t xml:space="preserve"> </w:t>
      </w:r>
      <w:r w:rsidR="00C20CC4">
        <w:rPr>
          <w:rFonts w:ascii="Calibri" w:eastAsia="Calibri" w:hAnsi="Calibri"/>
        </w:rPr>
        <w:t xml:space="preserve">overall </w:t>
      </w:r>
      <w:r w:rsidR="00CA7A7B">
        <w:rPr>
          <w:rFonts w:ascii="Calibri" w:eastAsia="Calibri" w:hAnsi="Calibri"/>
        </w:rPr>
        <w:t>2023</w:t>
      </w:r>
      <w:r w:rsidR="001F4E7B">
        <w:rPr>
          <w:rFonts w:ascii="Calibri" w:eastAsia="Calibri" w:hAnsi="Calibri"/>
        </w:rPr>
        <w:t xml:space="preserve"> </w:t>
      </w:r>
      <w:r w:rsidR="00540A2F">
        <w:rPr>
          <w:rFonts w:ascii="Calibri" w:eastAsia="Calibri" w:hAnsi="Calibri"/>
        </w:rPr>
        <w:t xml:space="preserve">fertility rate </w:t>
      </w:r>
      <w:r w:rsidR="00D60F93">
        <w:rPr>
          <w:rFonts w:ascii="Calibri" w:eastAsia="Calibri" w:hAnsi="Calibri"/>
        </w:rPr>
        <w:t>for</w:t>
      </w:r>
      <w:r w:rsidR="008D0D65">
        <w:rPr>
          <w:rFonts w:ascii="Calibri" w:eastAsia="Calibri" w:hAnsi="Calibri"/>
        </w:rPr>
        <w:t xml:space="preserve"> the </w:t>
      </w:r>
      <w:r w:rsidR="00F976FA">
        <w:rPr>
          <w:rFonts w:ascii="Calibri" w:eastAsia="Calibri" w:hAnsi="Calibri"/>
        </w:rPr>
        <w:t xml:space="preserve">Hispanic </w:t>
      </w:r>
      <w:r w:rsidR="00D60F93">
        <w:rPr>
          <w:rFonts w:ascii="Calibri" w:eastAsia="Calibri" w:hAnsi="Calibri"/>
        </w:rPr>
        <w:t>population of the U.S</w:t>
      </w:r>
      <w:r w:rsidR="009E18EB">
        <w:rPr>
          <w:rFonts w:ascii="Calibri" w:eastAsia="Calibri" w:hAnsi="Calibri"/>
        </w:rPr>
        <w:t xml:space="preserve">., which was reported as </w:t>
      </w:r>
      <w:r w:rsidR="00EE1AEE">
        <w:rPr>
          <w:rFonts w:ascii="Calibri" w:eastAsia="Calibri" w:hAnsi="Calibri"/>
        </w:rPr>
        <w:t xml:space="preserve">65 per 1,000 women </w:t>
      </w:r>
      <w:r w:rsidR="000415E6">
        <w:rPr>
          <w:rFonts w:ascii="Calibri" w:eastAsia="Calibri" w:hAnsi="Calibri"/>
        </w:rPr>
        <w:t xml:space="preserve">by the </w:t>
      </w:r>
      <w:r w:rsidR="00A40A99">
        <w:rPr>
          <w:rFonts w:ascii="Calibri" w:eastAsia="Calibri" w:hAnsi="Calibri"/>
        </w:rPr>
        <w:t xml:space="preserve">NCHS </w:t>
      </w:r>
      <w:r w:rsidR="00146566">
        <w:rPr>
          <w:rFonts w:ascii="Calibri" w:eastAsia="Calibri" w:hAnsi="Calibri"/>
        </w:rPr>
        <w:t>CDC</w:t>
      </w:r>
      <w:r w:rsidR="002B2538">
        <w:rPr>
          <w:rFonts w:ascii="Calibri" w:eastAsia="Calibri" w:hAnsi="Calibri"/>
        </w:rPr>
        <w:t>.</w:t>
      </w:r>
      <w:r w:rsidR="00FA0652">
        <w:rPr>
          <w:rStyle w:val="FootnoteReference"/>
          <w:rFonts w:ascii="Calibri" w:eastAsia="Calibri" w:hAnsi="Calibri"/>
        </w:rPr>
        <w:footnoteReference w:id="35"/>
      </w:r>
      <w:r w:rsidR="002B2538">
        <w:rPr>
          <w:rFonts w:ascii="Calibri" w:eastAsia="Calibri" w:hAnsi="Calibri"/>
        </w:rPr>
        <w:t xml:space="preserve"> </w:t>
      </w:r>
      <w:r w:rsidR="003911E0">
        <w:rPr>
          <w:rFonts w:ascii="Calibri" w:eastAsia="Calibri" w:hAnsi="Calibri"/>
        </w:rPr>
        <w:t xml:space="preserve">After </w:t>
      </w:r>
      <w:r w:rsidR="001E1DAF">
        <w:rPr>
          <w:rFonts w:ascii="Calibri" w:eastAsia="Calibri" w:hAnsi="Calibri"/>
        </w:rPr>
        <w:t xml:space="preserve">the </w:t>
      </w:r>
      <w:r w:rsidR="00670D08">
        <w:rPr>
          <w:rFonts w:ascii="Calibri" w:eastAsia="Calibri" w:hAnsi="Calibri"/>
        </w:rPr>
        <w:t>NH</w:t>
      </w:r>
      <w:r w:rsidR="00960A4A">
        <w:rPr>
          <w:rFonts w:ascii="Calibri" w:eastAsia="Calibri" w:hAnsi="Calibri"/>
        </w:rPr>
        <w:t>O</w:t>
      </w:r>
      <w:r w:rsidR="00670D08">
        <w:rPr>
          <w:rFonts w:ascii="Calibri" w:eastAsia="Calibri" w:hAnsi="Calibri"/>
        </w:rPr>
        <w:t>PI</w:t>
      </w:r>
      <w:r w:rsidR="00960A4A">
        <w:rPr>
          <w:rFonts w:ascii="Calibri" w:eastAsia="Calibri" w:hAnsi="Calibri"/>
        </w:rPr>
        <w:t xml:space="preserve"> group, this was the second highest fertility rate </w:t>
      </w:r>
      <w:r w:rsidR="00A17CC1">
        <w:rPr>
          <w:rFonts w:ascii="Calibri" w:eastAsia="Calibri" w:hAnsi="Calibri"/>
        </w:rPr>
        <w:t xml:space="preserve">by reported among </w:t>
      </w:r>
      <w:r w:rsidR="005B3343">
        <w:rPr>
          <w:rFonts w:ascii="Calibri" w:eastAsia="Calibri" w:hAnsi="Calibri"/>
        </w:rPr>
        <w:t xml:space="preserve">the defined </w:t>
      </w:r>
      <w:r w:rsidR="00A17CC1">
        <w:rPr>
          <w:rFonts w:ascii="Calibri" w:eastAsia="Calibri" w:hAnsi="Calibri"/>
        </w:rPr>
        <w:t>major race and ethnicity groups in the U.S.</w:t>
      </w:r>
      <w:r w:rsidR="00285F79">
        <w:rPr>
          <w:rFonts w:ascii="Calibri" w:eastAsia="Calibri" w:hAnsi="Calibri"/>
        </w:rPr>
        <w:t xml:space="preserve"> In general, our selection aimed to </w:t>
      </w:r>
      <w:r w:rsidR="0098721E">
        <w:rPr>
          <w:rFonts w:ascii="Calibri" w:eastAsia="Calibri" w:hAnsi="Calibri"/>
        </w:rPr>
        <w:t xml:space="preserve">allow for maximum fertility </w:t>
      </w:r>
      <w:r w:rsidR="00E27ABD">
        <w:rPr>
          <w:rFonts w:ascii="Calibri" w:eastAsia="Calibri" w:hAnsi="Calibri"/>
        </w:rPr>
        <w:t xml:space="preserve">under capping rules </w:t>
      </w:r>
      <w:r w:rsidR="00BF10FF">
        <w:rPr>
          <w:rFonts w:ascii="Calibri" w:eastAsia="Calibri" w:hAnsi="Calibri"/>
        </w:rPr>
        <w:t xml:space="preserve">while still minimizing the potentially distorting effects of small maternal populations on </w:t>
      </w:r>
      <w:r w:rsidR="00555BCB">
        <w:rPr>
          <w:rFonts w:ascii="Calibri" w:eastAsia="Calibri" w:hAnsi="Calibri"/>
        </w:rPr>
        <w:t>the ratios</w:t>
      </w:r>
      <w:r w:rsidR="00FE1390">
        <w:rPr>
          <w:rFonts w:ascii="Calibri" w:eastAsia="Calibri" w:hAnsi="Calibri"/>
        </w:rPr>
        <w:t xml:space="preserve"> used to project future children.</w:t>
      </w:r>
    </w:p>
    <w:p w14:paraId="4D865013" w14:textId="64666A17" w:rsidR="00004AD9" w:rsidRPr="000A797F" w:rsidRDefault="00004AD9" w:rsidP="00004AD9">
      <w:pPr>
        <w:spacing w:line="240" w:lineRule="auto"/>
        <w:rPr>
          <w:rFonts w:ascii="Calibri" w:eastAsia="Calibri" w:hAnsi="Calibri"/>
        </w:rPr>
      </w:pPr>
      <w:r w:rsidRPr="00515B23">
        <w:rPr>
          <w:rFonts w:ascii="Calibri" w:eastAsia="Calibri" w:hAnsi="Calibri"/>
        </w:rPr>
        <w:t xml:space="preserve">Because the resulting cohort estimates </w:t>
      </w:r>
      <w:r w:rsidR="002C48AD">
        <w:rPr>
          <w:rFonts w:ascii="Calibri" w:eastAsia="Calibri" w:hAnsi="Calibri"/>
        </w:rPr>
        <w:t>are</w:t>
      </w:r>
      <w:r w:rsidR="002C48AD" w:rsidRPr="00515B23">
        <w:rPr>
          <w:rFonts w:ascii="Calibri" w:eastAsia="Calibri" w:hAnsi="Calibri"/>
        </w:rPr>
        <w:t xml:space="preserve"> </w:t>
      </w:r>
      <w:r w:rsidRPr="00515B23">
        <w:rPr>
          <w:rFonts w:ascii="Calibri" w:eastAsia="Calibri" w:hAnsi="Calibri"/>
        </w:rPr>
        <w:t>ultimately controlled to current age/sex/race/ethnicity estimates at the county level, rapid changes in one age or ethnic group are still permitted in the model. For example, if an unprecedented number of young people aged 20-24 moved into Suffolk County, the UMDI estimates for the 20-24 cohort would be controlled to that new county total, with the sub-county proportions of our estimates model applied to the new and perhaps unanticipated cohort population total. Likewise, if a particular race group increases at an unprecedented rate in a region of the state, the sub-county (town- or tract-level) estimates will sum to meet the new population total or likewise decrease in the case of a declining age or race group. In this way, the caps moderate the level of growth or decline but still ultimately allow for extreme increase within a sub-population should it actually occur.</w:t>
      </w:r>
      <w:r w:rsidRPr="000A797F">
        <w:rPr>
          <w:rFonts w:ascii="Calibri" w:eastAsia="Calibri" w:hAnsi="Calibri"/>
        </w:rPr>
        <w:t xml:space="preserve"> </w:t>
      </w:r>
    </w:p>
    <w:p w14:paraId="34BACC55" w14:textId="5E319EA1" w:rsidR="00004AD9" w:rsidRDefault="00D60B70" w:rsidP="00004AD9">
      <w:pPr>
        <w:spacing w:line="240" w:lineRule="auto"/>
        <w:rPr>
          <w:rFonts w:ascii="Calibri" w:eastAsia="Calibri" w:hAnsi="Calibri"/>
        </w:rPr>
      </w:pPr>
      <w:r w:rsidRPr="00DE4601">
        <w:rPr>
          <w:rFonts w:ascii="Calibri" w:eastAsia="Calibri" w:hAnsi="Calibri"/>
        </w:rPr>
        <w:t xml:space="preserve">Two </w:t>
      </w:r>
      <w:r w:rsidR="00AC420F">
        <w:rPr>
          <w:rFonts w:ascii="Calibri" w:eastAsia="Calibri" w:hAnsi="Calibri"/>
        </w:rPr>
        <w:t xml:space="preserve">last </w:t>
      </w:r>
      <w:r w:rsidRPr="00DE4601">
        <w:rPr>
          <w:rFonts w:ascii="Calibri" w:eastAsia="Calibri" w:hAnsi="Calibri"/>
        </w:rPr>
        <w:t>adjust</w:t>
      </w:r>
      <w:r w:rsidR="00670E37" w:rsidRPr="00DE4601">
        <w:rPr>
          <w:rFonts w:ascii="Calibri" w:eastAsia="Calibri" w:hAnsi="Calibri"/>
        </w:rPr>
        <w:t>ments are made</w:t>
      </w:r>
      <w:r w:rsidR="00004AD9" w:rsidRPr="00DE4601">
        <w:rPr>
          <w:rFonts w:ascii="Calibri" w:eastAsia="Calibri" w:hAnsi="Calibri"/>
        </w:rPr>
        <w:t xml:space="preserve"> </w:t>
      </w:r>
      <w:r w:rsidR="000A2AEA">
        <w:rPr>
          <w:rFonts w:ascii="Calibri" w:eastAsia="Calibri" w:hAnsi="Calibri"/>
        </w:rPr>
        <w:t>in</w:t>
      </w:r>
      <w:r w:rsidR="000A2AEA" w:rsidRPr="00DE4601">
        <w:rPr>
          <w:rFonts w:ascii="Calibri" w:eastAsia="Calibri" w:hAnsi="Calibri"/>
        </w:rPr>
        <w:t xml:space="preserve"> </w:t>
      </w:r>
      <w:r w:rsidR="00004AD9" w:rsidRPr="00DE4601">
        <w:rPr>
          <w:rFonts w:ascii="Calibri" w:eastAsia="Calibri" w:hAnsi="Calibri"/>
        </w:rPr>
        <w:t>the CCR model application</w:t>
      </w:r>
      <w:r w:rsidR="00670E37" w:rsidRPr="00DE4601">
        <w:rPr>
          <w:rFonts w:ascii="Calibri" w:eastAsia="Calibri" w:hAnsi="Calibri"/>
        </w:rPr>
        <w:t xml:space="preserve">. First, populations are rounded </w:t>
      </w:r>
      <w:r w:rsidR="00FB6DC0" w:rsidRPr="00DE4601">
        <w:rPr>
          <w:rFonts w:ascii="Calibri" w:eastAsia="Calibri" w:hAnsi="Calibri"/>
        </w:rPr>
        <w:t>to the nearest person prior to the calculation of the CCR</w:t>
      </w:r>
      <w:r w:rsidR="006342C4">
        <w:rPr>
          <w:rFonts w:ascii="Calibri" w:eastAsia="Calibri" w:hAnsi="Calibri"/>
        </w:rPr>
        <w:t xml:space="preserve"> and </w:t>
      </w:r>
      <w:r w:rsidR="0040076F" w:rsidRPr="00DE4601">
        <w:rPr>
          <w:rFonts w:ascii="Calibri" w:eastAsia="Calibri" w:hAnsi="Calibri"/>
        </w:rPr>
        <w:t>before caps are introduced.</w:t>
      </w:r>
      <w:r w:rsidR="00FB6DC0" w:rsidRPr="00DE4601">
        <w:rPr>
          <w:rFonts w:ascii="Calibri" w:eastAsia="Calibri" w:hAnsi="Calibri"/>
        </w:rPr>
        <w:t xml:space="preserve"> This is to prevent unrealistic population growth due to very small fraction</w:t>
      </w:r>
      <w:r w:rsidR="006342C4">
        <w:rPr>
          <w:rFonts w:ascii="Calibri" w:eastAsia="Calibri" w:hAnsi="Calibri"/>
        </w:rPr>
        <w:t xml:space="preserve">s in the cohort </w:t>
      </w:r>
      <w:r w:rsidR="000A2AEA">
        <w:rPr>
          <w:rFonts w:ascii="Calibri" w:eastAsia="Calibri" w:hAnsi="Calibri"/>
        </w:rPr>
        <w:t>values.</w:t>
      </w:r>
      <w:r w:rsidR="000A2AEA" w:rsidRPr="00DE4601">
        <w:rPr>
          <w:rFonts w:ascii="Calibri" w:eastAsia="Calibri" w:hAnsi="Calibri"/>
        </w:rPr>
        <w:t xml:space="preserve"> Second</w:t>
      </w:r>
      <w:r w:rsidR="003A56B5" w:rsidRPr="00DE4601">
        <w:rPr>
          <w:rFonts w:ascii="Calibri" w:eastAsia="Calibri" w:hAnsi="Calibri"/>
        </w:rPr>
        <w:t>,</w:t>
      </w:r>
      <w:r w:rsidR="003A56B5">
        <w:rPr>
          <w:rFonts w:ascii="Calibri" w:eastAsia="Calibri" w:hAnsi="Calibri"/>
        </w:rPr>
        <w:t xml:space="preserve"> </w:t>
      </w:r>
      <w:r w:rsidR="00004AD9" w:rsidRPr="000A797F">
        <w:rPr>
          <w:rFonts w:ascii="Calibri" w:eastAsia="Calibri" w:hAnsi="Calibri"/>
        </w:rPr>
        <w:t xml:space="preserve">cohorts that have zero population are adjusted to a value of “0.1”. This adjustment serves two purposes. When replacing the denominator in the CCR calculation, the “0.1” replacement corrects division errors caused by a zero denominator. When used as a numerator in the CCR calculation, it ensures that no particular age/sex group will zero out for the full time series with no chance of recuperation. For example, a particular </w:t>
      </w:r>
      <w:r w:rsidR="00004AD9" w:rsidRPr="000A797F">
        <w:rPr>
          <w:rFonts w:ascii="Calibri" w:eastAsia="Calibri" w:hAnsi="Calibri"/>
        </w:rPr>
        <w:lastRenderedPageBreak/>
        <w:t>town or tract may have zero population in the male 75</w:t>
      </w:r>
      <w:r w:rsidR="20BFFD31" w:rsidRPr="000A797F">
        <w:rPr>
          <w:rFonts w:ascii="Calibri" w:eastAsia="Calibri" w:hAnsi="Calibri"/>
        </w:rPr>
        <w:t>–</w:t>
      </w:r>
      <w:r w:rsidR="00004AD9" w:rsidRPr="000A797F">
        <w:rPr>
          <w:rFonts w:ascii="Calibri" w:eastAsia="Calibri" w:hAnsi="Calibri"/>
        </w:rPr>
        <w:t>79</w:t>
      </w:r>
      <w:r w:rsidR="20BFFD31" w:rsidRPr="000A797F">
        <w:rPr>
          <w:rFonts w:ascii="Calibri" w:eastAsia="Calibri" w:hAnsi="Calibri"/>
        </w:rPr>
        <w:t>-</w:t>
      </w:r>
      <w:r w:rsidR="00004AD9" w:rsidRPr="000A797F">
        <w:rPr>
          <w:rFonts w:ascii="Calibri" w:eastAsia="Calibri" w:hAnsi="Calibri"/>
        </w:rPr>
        <w:t>year</w:t>
      </w:r>
      <w:r w:rsidR="20BFFD31" w:rsidRPr="000A797F">
        <w:rPr>
          <w:rFonts w:ascii="Calibri" w:eastAsia="Calibri" w:hAnsi="Calibri"/>
        </w:rPr>
        <w:t>-</w:t>
      </w:r>
      <w:r w:rsidR="00004AD9" w:rsidRPr="000A797F">
        <w:rPr>
          <w:rFonts w:ascii="Calibri" w:eastAsia="Calibri" w:hAnsi="Calibri"/>
        </w:rPr>
        <w:t>old cohort, meaning that no 65</w:t>
      </w:r>
      <w:r w:rsidR="00A21E7E" w:rsidRPr="000A797F">
        <w:rPr>
          <w:rFonts w:ascii="Calibri" w:eastAsia="Calibri" w:hAnsi="Calibri"/>
        </w:rPr>
        <w:t>–</w:t>
      </w:r>
      <w:r w:rsidR="00004AD9" w:rsidRPr="000A797F">
        <w:rPr>
          <w:rFonts w:ascii="Calibri" w:eastAsia="Calibri" w:hAnsi="Calibri"/>
        </w:rPr>
        <w:t>69</w:t>
      </w:r>
      <w:r w:rsidR="00A21E7E" w:rsidRPr="000A797F">
        <w:rPr>
          <w:rFonts w:ascii="Calibri" w:eastAsia="Calibri" w:hAnsi="Calibri"/>
        </w:rPr>
        <w:t>-</w:t>
      </w:r>
      <w:r w:rsidR="00004AD9" w:rsidRPr="000A797F">
        <w:rPr>
          <w:rFonts w:ascii="Calibri" w:eastAsia="Calibri" w:hAnsi="Calibri"/>
        </w:rPr>
        <w:t>year</w:t>
      </w:r>
      <w:r w:rsidR="00A21E7E" w:rsidRPr="000A797F">
        <w:rPr>
          <w:rFonts w:ascii="Calibri" w:eastAsia="Calibri" w:hAnsi="Calibri"/>
        </w:rPr>
        <w:t>-</w:t>
      </w:r>
      <w:r w:rsidR="00004AD9" w:rsidRPr="000A797F">
        <w:rPr>
          <w:rFonts w:ascii="Calibri" w:eastAsia="Calibri" w:hAnsi="Calibri"/>
        </w:rPr>
        <w:t>olds in the geography survived and stayed to age into the 75-79 cohort between 2010 and 2020, yielding a CCR of “0”.  However, if the county experiences a large wave of retiree migrants, we still want the town or tract to be able to pick up some small share of the influx. By first converting the zero populations to a very small value, the CCR value is calculated at &gt;0 and will produce a negligible population in geography without cancelling it out in perpetuity.</w:t>
      </w:r>
    </w:p>
    <w:p w14:paraId="6198E8ED" w14:textId="78BA9B18" w:rsidR="00AC0443" w:rsidRDefault="00AC0443" w:rsidP="00066437">
      <w:pPr>
        <w:pStyle w:val="Heading3"/>
      </w:pPr>
      <w:bookmarkStart w:id="28" w:name="_Toc197520531"/>
      <w:r>
        <w:t>Alternative Race Ratio</w:t>
      </w:r>
      <w:r w:rsidR="006B0F6C">
        <w:t>s Testing</w:t>
      </w:r>
      <w:bookmarkEnd w:id="28"/>
    </w:p>
    <w:p w14:paraId="71ED390C" w14:textId="77777777" w:rsidR="001B17E0" w:rsidRDefault="001B17E0" w:rsidP="001B17E0">
      <w:pPr>
        <w:spacing w:line="240" w:lineRule="auto"/>
        <w:rPr>
          <w:rFonts w:ascii="Calibri" w:eastAsia="Calibri" w:hAnsi="Calibri"/>
        </w:rPr>
      </w:pPr>
      <w:r>
        <w:rPr>
          <w:rFonts w:ascii="Calibri" w:eastAsia="Calibri" w:hAnsi="Calibri"/>
        </w:rPr>
        <w:t xml:space="preserve">While we ultimately decided to use the CCR method outlined above, we did perform testing at an MCD level to determine if allowing the race and ethnicity proportions of each cohort in the base year to age up into the projection year (i.e. CCR =1) would produce more accurate race and ethnicity estimates than producing individual CCRs, due to differences in data collection between 2010 and 2020 and processing choices in 2020. </w:t>
      </w:r>
    </w:p>
    <w:p w14:paraId="6E9B6E0D" w14:textId="3831448C" w:rsidR="00313E98" w:rsidRDefault="00AF145F" w:rsidP="00004AD9">
      <w:pPr>
        <w:spacing w:line="240" w:lineRule="auto"/>
        <w:rPr>
          <w:rFonts w:ascii="Calibri" w:eastAsia="Calibri" w:hAnsi="Calibri"/>
        </w:rPr>
      </w:pPr>
      <w:r>
        <w:rPr>
          <w:rFonts w:ascii="Calibri" w:eastAsia="Calibri" w:hAnsi="Calibri"/>
        </w:rPr>
        <w:t>D</w:t>
      </w:r>
      <w:r w:rsidR="00B2782A" w:rsidRPr="00B2782A">
        <w:rPr>
          <w:rFonts w:ascii="Calibri" w:eastAsia="Calibri" w:hAnsi="Calibri"/>
        </w:rPr>
        <w:t xml:space="preserve">uring the production of the Census 2020 published data and the development of the 2020 MARC file, </w:t>
      </w:r>
      <w:r w:rsidR="002E7360">
        <w:rPr>
          <w:rFonts w:ascii="Calibri" w:eastAsia="Calibri" w:hAnsi="Calibri"/>
        </w:rPr>
        <w:t xml:space="preserve">the Census Bureau used </w:t>
      </w:r>
      <w:r w:rsidR="00B2782A" w:rsidRPr="00B2782A">
        <w:rPr>
          <w:rFonts w:ascii="Calibri" w:eastAsia="Calibri" w:hAnsi="Calibri"/>
        </w:rPr>
        <w:t xml:space="preserve">various techniques to code or re-code races depending on what information was available and </w:t>
      </w:r>
      <w:r w:rsidR="00176C6F">
        <w:rPr>
          <w:rFonts w:ascii="Calibri" w:eastAsia="Calibri" w:hAnsi="Calibri"/>
        </w:rPr>
        <w:t xml:space="preserve">while adhering to the </w:t>
      </w:r>
      <w:r w:rsidR="00B2782A" w:rsidRPr="00B2782A">
        <w:rPr>
          <w:rFonts w:ascii="Calibri" w:eastAsia="Calibri" w:hAnsi="Calibri"/>
        </w:rPr>
        <w:t>U</w:t>
      </w:r>
      <w:r w:rsidR="002E7360">
        <w:rPr>
          <w:rFonts w:ascii="Calibri" w:eastAsia="Calibri" w:hAnsi="Calibri"/>
        </w:rPr>
        <w:t>.</w:t>
      </w:r>
      <w:r w:rsidR="00B2782A" w:rsidRPr="00B2782A">
        <w:rPr>
          <w:rFonts w:ascii="Calibri" w:eastAsia="Calibri" w:hAnsi="Calibri"/>
        </w:rPr>
        <w:t>S</w:t>
      </w:r>
      <w:r w:rsidR="002E7360">
        <w:rPr>
          <w:rFonts w:ascii="Calibri" w:eastAsia="Calibri" w:hAnsi="Calibri"/>
        </w:rPr>
        <w:t>.</w:t>
      </w:r>
      <w:r w:rsidR="00B2782A" w:rsidRPr="00B2782A">
        <w:rPr>
          <w:rFonts w:ascii="Calibri" w:eastAsia="Calibri" w:hAnsi="Calibri"/>
        </w:rPr>
        <w:t xml:space="preserve"> Census standards for determining race from write-in nationalities or </w:t>
      </w:r>
      <w:r w:rsidR="00B0547B">
        <w:rPr>
          <w:rFonts w:ascii="Calibri" w:eastAsia="Calibri" w:hAnsi="Calibri"/>
        </w:rPr>
        <w:t>origins</w:t>
      </w:r>
      <w:r w:rsidR="00B2782A" w:rsidRPr="00B2782A">
        <w:rPr>
          <w:rFonts w:ascii="Calibri" w:eastAsia="Calibri" w:hAnsi="Calibri"/>
        </w:rPr>
        <w:t xml:space="preserve">. </w:t>
      </w:r>
      <w:r w:rsidR="00A90A11">
        <w:rPr>
          <w:rFonts w:ascii="Calibri" w:eastAsia="Calibri" w:hAnsi="Calibri"/>
        </w:rPr>
        <w:t>T</w:t>
      </w:r>
      <w:r w:rsidR="00A90A11" w:rsidRPr="00B2782A">
        <w:rPr>
          <w:rFonts w:ascii="Calibri" w:eastAsia="Calibri" w:hAnsi="Calibri"/>
        </w:rPr>
        <w:t>here were differences in protocol for both the Census and race bridging files between 2010 and 2020</w:t>
      </w:r>
      <w:r w:rsidR="00176C6F">
        <w:rPr>
          <w:rFonts w:ascii="Calibri" w:eastAsia="Calibri" w:hAnsi="Calibri"/>
        </w:rPr>
        <w:t xml:space="preserve">. </w:t>
      </w:r>
      <w:r w:rsidR="003E12C5">
        <w:rPr>
          <w:rFonts w:ascii="Calibri" w:eastAsia="Calibri" w:hAnsi="Calibri"/>
        </w:rPr>
        <w:t xml:space="preserve">The 2020 Census survey included more </w:t>
      </w:r>
      <w:r w:rsidR="00A33981">
        <w:rPr>
          <w:rFonts w:ascii="Calibri" w:eastAsia="Calibri" w:hAnsi="Calibri"/>
        </w:rPr>
        <w:t>characters</w:t>
      </w:r>
      <w:r w:rsidR="003E12C5">
        <w:rPr>
          <w:rFonts w:ascii="Calibri" w:eastAsia="Calibri" w:hAnsi="Calibri"/>
        </w:rPr>
        <w:t xml:space="preserve"> for </w:t>
      </w:r>
      <w:r w:rsidR="009E0DFC">
        <w:rPr>
          <w:rFonts w:ascii="Calibri" w:eastAsia="Calibri" w:hAnsi="Calibri"/>
        </w:rPr>
        <w:t xml:space="preserve">survey takers to print </w:t>
      </w:r>
      <w:r w:rsidR="00DC58C1">
        <w:rPr>
          <w:rFonts w:ascii="Calibri" w:eastAsia="Calibri" w:hAnsi="Calibri"/>
        </w:rPr>
        <w:t xml:space="preserve">their </w:t>
      </w:r>
      <w:r w:rsidR="009E0DFC">
        <w:rPr>
          <w:rFonts w:ascii="Calibri" w:eastAsia="Calibri" w:hAnsi="Calibri"/>
        </w:rPr>
        <w:t>ori</w:t>
      </w:r>
      <w:r w:rsidR="00173D8E">
        <w:rPr>
          <w:rFonts w:ascii="Calibri" w:eastAsia="Calibri" w:hAnsi="Calibri"/>
        </w:rPr>
        <w:t>gins</w:t>
      </w:r>
      <w:r w:rsidR="00A33981">
        <w:rPr>
          <w:rFonts w:ascii="Calibri" w:eastAsia="Calibri" w:hAnsi="Calibri"/>
        </w:rPr>
        <w:t xml:space="preserve">, thus </w:t>
      </w:r>
      <w:r w:rsidR="00F2673B">
        <w:rPr>
          <w:rFonts w:ascii="Calibri" w:eastAsia="Calibri" w:hAnsi="Calibri"/>
        </w:rPr>
        <w:t>allow</w:t>
      </w:r>
      <w:r w:rsidR="00A33981">
        <w:rPr>
          <w:rFonts w:ascii="Calibri" w:eastAsia="Calibri" w:hAnsi="Calibri"/>
        </w:rPr>
        <w:t>ing</w:t>
      </w:r>
      <w:r w:rsidR="00F2673B">
        <w:rPr>
          <w:rFonts w:ascii="Calibri" w:eastAsia="Calibri" w:hAnsi="Calibri"/>
        </w:rPr>
        <w:t xml:space="preserve"> more</w:t>
      </w:r>
      <w:r w:rsidR="00A33981">
        <w:rPr>
          <w:rFonts w:ascii="Calibri" w:eastAsia="Calibri" w:hAnsi="Calibri"/>
        </w:rPr>
        <w:t xml:space="preserve"> detailed responses. Also,</w:t>
      </w:r>
      <w:r w:rsidR="00A90A11">
        <w:rPr>
          <w:rFonts w:ascii="Calibri" w:eastAsia="Calibri" w:hAnsi="Calibri"/>
        </w:rPr>
        <w:t xml:space="preserve"> </w:t>
      </w:r>
      <w:r w:rsidR="00BE1F28">
        <w:rPr>
          <w:rFonts w:ascii="Calibri" w:eastAsia="Calibri" w:hAnsi="Calibri"/>
        </w:rPr>
        <w:t>language in the “Some other race”</w:t>
      </w:r>
      <w:r w:rsidR="009C7021">
        <w:rPr>
          <w:rFonts w:ascii="Calibri" w:eastAsia="Calibri" w:hAnsi="Calibri"/>
        </w:rPr>
        <w:t xml:space="preserve"> was changed</w:t>
      </w:r>
      <w:r w:rsidR="00A90A11">
        <w:rPr>
          <w:rFonts w:ascii="Calibri" w:eastAsia="Calibri" w:hAnsi="Calibri"/>
        </w:rPr>
        <w:t xml:space="preserve"> from “Print race” in 2010 to “Print race or origin” in 2020</w:t>
      </w:r>
      <w:r w:rsidR="00DD0A7D">
        <w:rPr>
          <w:rFonts w:ascii="Calibri" w:eastAsia="Calibri" w:hAnsi="Calibri"/>
        </w:rPr>
        <w:t>, which, again, allowed for more detailed responses</w:t>
      </w:r>
      <w:r w:rsidR="00A90A11" w:rsidRPr="00B2782A">
        <w:rPr>
          <w:rFonts w:ascii="Calibri" w:eastAsia="Calibri" w:hAnsi="Calibri"/>
        </w:rPr>
        <w:t xml:space="preserve"> </w:t>
      </w:r>
      <w:r w:rsidR="00A90A11">
        <w:rPr>
          <w:rStyle w:val="FootnoteReference"/>
          <w:rFonts w:ascii="Calibri" w:eastAsia="Calibri" w:hAnsi="Calibri"/>
        </w:rPr>
        <w:footnoteReference w:id="36"/>
      </w:r>
      <w:r w:rsidR="00A90A11">
        <w:rPr>
          <w:rFonts w:ascii="Calibri" w:eastAsia="Calibri" w:hAnsi="Calibri"/>
        </w:rPr>
        <w:t xml:space="preserve">. </w:t>
      </w:r>
      <w:r w:rsidR="00500920">
        <w:rPr>
          <w:rFonts w:ascii="Calibri" w:eastAsia="Calibri" w:hAnsi="Calibri"/>
        </w:rPr>
        <w:t xml:space="preserve">Coding of </w:t>
      </w:r>
      <w:r w:rsidR="004F231A">
        <w:rPr>
          <w:rFonts w:ascii="Calibri" w:eastAsia="Calibri" w:hAnsi="Calibri"/>
        </w:rPr>
        <w:t xml:space="preserve">origins to main race categories also changed from 2010 to 2020. </w:t>
      </w:r>
      <w:r w:rsidR="00FB0ECE">
        <w:rPr>
          <w:rFonts w:ascii="Calibri" w:eastAsia="Calibri" w:hAnsi="Calibri"/>
        </w:rPr>
        <w:t xml:space="preserve">Using an example in </w:t>
      </w:r>
      <w:r w:rsidR="00C1486C">
        <w:rPr>
          <w:rFonts w:ascii="Calibri" w:eastAsia="Calibri" w:hAnsi="Calibri"/>
        </w:rPr>
        <w:t>a Census blog post explaining</w:t>
      </w:r>
      <w:r w:rsidR="00FF735C">
        <w:rPr>
          <w:rFonts w:ascii="Calibri" w:eastAsia="Calibri" w:hAnsi="Calibri"/>
        </w:rPr>
        <w:t xml:space="preserve"> </w:t>
      </w:r>
      <w:r w:rsidR="00C21595">
        <w:rPr>
          <w:rFonts w:ascii="Calibri" w:eastAsia="Calibri" w:hAnsi="Calibri"/>
        </w:rPr>
        <w:t>changes to the 2020 Census</w:t>
      </w:r>
      <w:r w:rsidR="004F231A">
        <w:rPr>
          <w:rFonts w:ascii="Calibri" w:eastAsia="Calibri" w:hAnsi="Calibri"/>
        </w:rPr>
        <w:t>, someone who identified their origins as “Cuban, Thai</w:t>
      </w:r>
      <w:r w:rsidR="00902421">
        <w:rPr>
          <w:rFonts w:ascii="Calibri" w:eastAsia="Calibri" w:hAnsi="Calibri"/>
        </w:rPr>
        <w:t>, Filipino</w:t>
      </w:r>
      <w:r w:rsidR="00E4110D">
        <w:rPr>
          <w:rFonts w:ascii="Calibri" w:eastAsia="Calibri" w:hAnsi="Calibri"/>
        </w:rPr>
        <w:t>” would be coded</w:t>
      </w:r>
      <w:r w:rsidR="005757F2">
        <w:rPr>
          <w:rFonts w:ascii="Calibri" w:eastAsia="Calibri" w:hAnsi="Calibri"/>
        </w:rPr>
        <w:t xml:space="preserve"> as “Asian” in 2010 (as “Thai”</w:t>
      </w:r>
      <w:r w:rsidR="00E21F23">
        <w:rPr>
          <w:rFonts w:ascii="Calibri" w:eastAsia="Calibri" w:hAnsi="Calibri"/>
        </w:rPr>
        <w:t xml:space="preserve"> and “Filipino” are detailed race groups</w:t>
      </w:r>
      <w:r w:rsidR="004520D7">
        <w:rPr>
          <w:rFonts w:ascii="Calibri" w:eastAsia="Calibri" w:hAnsi="Calibri"/>
        </w:rPr>
        <w:t>)</w:t>
      </w:r>
      <w:r w:rsidR="00756567">
        <w:rPr>
          <w:rFonts w:ascii="Calibri" w:eastAsia="Calibri" w:hAnsi="Calibri"/>
        </w:rPr>
        <w:t>, but would be coded as “Some other race and Asian” in 2020, in order to preserve the detail of “Cuban”.</w:t>
      </w:r>
      <w:r w:rsidR="004F231A">
        <w:rPr>
          <w:rFonts w:ascii="Calibri" w:eastAsia="Calibri" w:hAnsi="Calibri"/>
        </w:rPr>
        <w:t xml:space="preserve"> </w:t>
      </w:r>
      <w:r w:rsidR="004F231A">
        <w:rPr>
          <w:rStyle w:val="FootnoteReference"/>
          <w:rFonts w:ascii="Calibri" w:eastAsia="Calibri" w:hAnsi="Calibri"/>
        </w:rPr>
        <w:footnoteReference w:id="37"/>
      </w:r>
      <w:r w:rsidR="000B2DA6">
        <w:rPr>
          <w:rFonts w:ascii="Calibri" w:eastAsia="Calibri" w:hAnsi="Calibri"/>
        </w:rPr>
        <w:t xml:space="preserve"> </w:t>
      </w:r>
      <w:r w:rsidR="00A90A11">
        <w:rPr>
          <w:rFonts w:ascii="Calibri" w:eastAsia="Calibri" w:hAnsi="Calibri"/>
        </w:rPr>
        <w:t xml:space="preserve">Changes such as these may have contributed to a proportionally higher selection of “Some other race” than in previous </w:t>
      </w:r>
      <w:r w:rsidR="009458F5">
        <w:rPr>
          <w:rFonts w:ascii="Calibri" w:eastAsia="Calibri" w:hAnsi="Calibri"/>
        </w:rPr>
        <w:t>decades and</w:t>
      </w:r>
      <w:r w:rsidR="003512E7">
        <w:rPr>
          <w:rFonts w:ascii="Calibri" w:eastAsia="Calibri" w:hAnsi="Calibri"/>
        </w:rPr>
        <w:t xml:space="preserve"> required</w:t>
      </w:r>
      <w:r w:rsidR="008354FA">
        <w:rPr>
          <w:rFonts w:ascii="Calibri" w:eastAsia="Calibri" w:hAnsi="Calibri"/>
        </w:rPr>
        <w:t xml:space="preserve"> </w:t>
      </w:r>
      <w:r w:rsidR="00D8439B">
        <w:rPr>
          <w:rFonts w:ascii="Calibri" w:eastAsia="Calibri" w:hAnsi="Calibri"/>
        </w:rPr>
        <w:t xml:space="preserve">the Census to make </w:t>
      </w:r>
      <w:r w:rsidR="008354FA">
        <w:rPr>
          <w:rFonts w:ascii="Calibri" w:eastAsia="Calibri" w:hAnsi="Calibri"/>
        </w:rPr>
        <w:t xml:space="preserve">modifications </w:t>
      </w:r>
      <w:r w:rsidR="00D8439B">
        <w:rPr>
          <w:rFonts w:ascii="Calibri" w:eastAsia="Calibri" w:hAnsi="Calibri"/>
        </w:rPr>
        <w:t xml:space="preserve">to the processing of the bridging file to accommodate them. </w:t>
      </w:r>
    </w:p>
    <w:p w14:paraId="61E3267F" w14:textId="7A20D0F8" w:rsidR="000246F0" w:rsidRDefault="00E7607B" w:rsidP="00004AD9">
      <w:pPr>
        <w:spacing w:line="240" w:lineRule="auto"/>
        <w:rPr>
          <w:rFonts w:ascii="Calibri" w:eastAsia="Calibri" w:hAnsi="Calibri"/>
        </w:rPr>
      </w:pPr>
      <w:r>
        <w:rPr>
          <w:rFonts w:ascii="Calibri" w:eastAsia="Calibri" w:hAnsi="Calibri"/>
        </w:rPr>
        <w:t>In 2010</w:t>
      </w:r>
      <w:r w:rsidR="00827862">
        <w:rPr>
          <w:rFonts w:ascii="Calibri" w:eastAsia="Calibri" w:hAnsi="Calibri"/>
        </w:rPr>
        <w:t xml:space="preserve"> and in 2020, when race was </w:t>
      </w:r>
      <w:r w:rsidR="000528E6">
        <w:rPr>
          <w:rFonts w:ascii="Calibri" w:eastAsia="Calibri" w:hAnsi="Calibri"/>
        </w:rPr>
        <w:t xml:space="preserve">coded as “Some other race” in the Census survey, </w:t>
      </w:r>
      <w:r w:rsidR="00016BA5">
        <w:rPr>
          <w:rFonts w:ascii="Calibri" w:eastAsia="Calibri" w:hAnsi="Calibri"/>
        </w:rPr>
        <w:t xml:space="preserve">and there was </w:t>
      </w:r>
      <w:r w:rsidR="003C6718">
        <w:rPr>
          <w:rFonts w:ascii="Calibri" w:eastAsia="Calibri" w:hAnsi="Calibri"/>
        </w:rPr>
        <w:t xml:space="preserve">also </w:t>
      </w:r>
      <w:r w:rsidR="00016BA5">
        <w:rPr>
          <w:rFonts w:ascii="Calibri" w:eastAsia="Calibri" w:hAnsi="Calibri"/>
        </w:rPr>
        <w:t xml:space="preserve">another </w:t>
      </w:r>
      <w:r w:rsidR="00C80AD2">
        <w:rPr>
          <w:rFonts w:ascii="Calibri" w:eastAsia="Calibri" w:hAnsi="Calibri"/>
        </w:rPr>
        <w:t xml:space="preserve">specified </w:t>
      </w:r>
      <w:r w:rsidR="00D8077D">
        <w:rPr>
          <w:rFonts w:ascii="Calibri" w:eastAsia="Calibri" w:hAnsi="Calibri"/>
        </w:rPr>
        <w:t>race a</w:t>
      </w:r>
      <w:r w:rsidR="003C6718">
        <w:rPr>
          <w:rFonts w:ascii="Calibri" w:eastAsia="Calibri" w:hAnsi="Calibri"/>
        </w:rPr>
        <w:t xml:space="preserve">ssociated with the record, the “Some other race” would be dropped and </w:t>
      </w:r>
      <w:r w:rsidR="00561C7F">
        <w:rPr>
          <w:rFonts w:ascii="Calibri" w:eastAsia="Calibri" w:hAnsi="Calibri"/>
        </w:rPr>
        <w:t xml:space="preserve">the </w:t>
      </w:r>
      <w:r w:rsidR="00C80AD2">
        <w:rPr>
          <w:rFonts w:ascii="Calibri" w:eastAsia="Calibri" w:hAnsi="Calibri"/>
        </w:rPr>
        <w:t>specified race would be preserved</w:t>
      </w:r>
      <w:r w:rsidR="00E9203A">
        <w:rPr>
          <w:rFonts w:ascii="Calibri" w:eastAsia="Calibri" w:hAnsi="Calibri"/>
        </w:rPr>
        <w:t xml:space="preserve"> (e.g. “Some other race and White alone” would become “White alone”)</w:t>
      </w:r>
      <w:r w:rsidR="00C80AD2">
        <w:rPr>
          <w:rFonts w:ascii="Calibri" w:eastAsia="Calibri" w:hAnsi="Calibri"/>
        </w:rPr>
        <w:t>.</w:t>
      </w:r>
      <w:r w:rsidR="000528E6">
        <w:rPr>
          <w:rFonts w:ascii="Calibri" w:eastAsia="Calibri" w:hAnsi="Calibri"/>
        </w:rPr>
        <w:t xml:space="preserve"> </w:t>
      </w:r>
      <w:r>
        <w:rPr>
          <w:rFonts w:ascii="Calibri" w:eastAsia="Calibri" w:hAnsi="Calibri"/>
        </w:rPr>
        <w:t xml:space="preserve"> </w:t>
      </w:r>
      <w:r w:rsidR="003B1CF8">
        <w:rPr>
          <w:rFonts w:ascii="Calibri" w:eastAsia="Calibri" w:hAnsi="Calibri"/>
        </w:rPr>
        <w:t>W</w:t>
      </w:r>
      <w:r w:rsidR="008B336B">
        <w:rPr>
          <w:rFonts w:ascii="Calibri" w:eastAsia="Calibri" w:hAnsi="Calibri"/>
        </w:rPr>
        <w:t>hen race was not available from a Census record</w:t>
      </w:r>
      <w:r w:rsidR="003B1CF8">
        <w:rPr>
          <w:rFonts w:ascii="Calibri" w:eastAsia="Calibri" w:hAnsi="Calibri"/>
        </w:rPr>
        <w:t xml:space="preserve"> in 2010</w:t>
      </w:r>
      <w:r w:rsidR="008B336B">
        <w:rPr>
          <w:rFonts w:ascii="Calibri" w:eastAsia="Calibri" w:hAnsi="Calibri"/>
        </w:rPr>
        <w:t>,</w:t>
      </w:r>
      <w:r w:rsidR="00C75B18">
        <w:rPr>
          <w:rFonts w:ascii="Calibri" w:eastAsia="Calibri" w:hAnsi="Calibri"/>
        </w:rPr>
        <w:t xml:space="preserve"> data from the household would be </w:t>
      </w:r>
      <w:r w:rsidR="000C7FD6">
        <w:rPr>
          <w:rFonts w:ascii="Calibri" w:eastAsia="Calibri" w:hAnsi="Calibri"/>
        </w:rPr>
        <w:t>used to impute the race of that individual, and barring that, a hot-deck matrix would be used</w:t>
      </w:r>
      <w:r w:rsidR="00A56FDE">
        <w:rPr>
          <w:rFonts w:ascii="Calibri" w:eastAsia="Calibri" w:hAnsi="Calibri"/>
        </w:rPr>
        <w:t xml:space="preserve"> to assign race.</w:t>
      </w:r>
      <w:r w:rsidR="00501F6E">
        <w:rPr>
          <w:rStyle w:val="FootnoteReference"/>
          <w:rFonts w:ascii="Calibri" w:eastAsia="Calibri" w:hAnsi="Calibri"/>
        </w:rPr>
        <w:footnoteReference w:id="38"/>
      </w:r>
      <w:r w:rsidR="008B336B">
        <w:rPr>
          <w:rFonts w:ascii="Calibri" w:eastAsia="Calibri" w:hAnsi="Calibri"/>
        </w:rPr>
        <w:t xml:space="preserve"> </w:t>
      </w:r>
      <w:r w:rsidR="00B2782A" w:rsidRPr="00B2782A">
        <w:rPr>
          <w:rFonts w:ascii="Calibri" w:eastAsia="Calibri" w:hAnsi="Calibri"/>
        </w:rPr>
        <w:t>In the</w:t>
      </w:r>
      <w:r w:rsidR="00A56FDE">
        <w:rPr>
          <w:rFonts w:ascii="Calibri" w:eastAsia="Calibri" w:hAnsi="Calibri"/>
        </w:rPr>
        <w:t xml:space="preserve"> 2020</w:t>
      </w:r>
      <w:r w:rsidR="00B2782A" w:rsidRPr="00B2782A">
        <w:rPr>
          <w:rFonts w:ascii="Calibri" w:eastAsia="Calibri" w:hAnsi="Calibri"/>
        </w:rPr>
        <w:t xml:space="preserve"> MARC file, </w:t>
      </w:r>
      <w:r w:rsidR="008E2BB1">
        <w:rPr>
          <w:rFonts w:ascii="Calibri" w:eastAsia="Calibri" w:hAnsi="Calibri"/>
        </w:rPr>
        <w:t>first household information would be used</w:t>
      </w:r>
      <w:r w:rsidR="005044CE">
        <w:rPr>
          <w:rFonts w:ascii="Calibri" w:eastAsia="Calibri" w:hAnsi="Calibri"/>
        </w:rPr>
        <w:t xml:space="preserve"> to impute race</w:t>
      </w:r>
      <w:r w:rsidR="005641B1">
        <w:rPr>
          <w:rFonts w:ascii="Calibri" w:eastAsia="Calibri" w:hAnsi="Calibri"/>
        </w:rPr>
        <w:t xml:space="preserve"> as in 2010. </w:t>
      </w:r>
      <w:r w:rsidR="001668C7">
        <w:rPr>
          <w:rFonts w:ascii="Calibri" w:eastAsia="Calibri" w:hAnsi="Calibri"/>
        </w:rPr>
        <w:t>Unlike in 2010</w:t>
      </w:r>
      <w:r w:rsidR="005641B1">
        <w:rPr>
          <w:rFonts w:ascii="Calibri" w:eastAsia="Calibri" w:hAnsi="Calibri"/>
        </w:rPr>
        <w:t>, if that was not successful</w:t>
      </w:r>
      <w:r w:rsidR="00147895">
        <w:rPr>
          <w:rFonts w:ascii="Calibri" w:eastAsia="Calibri" w:hAnsi="Calibri"/>
        </w:rPr>
        <w:t>,</w:t>
      </w:r>
      <w:r w:rsidR="008E2BB1">
        <w:rPr>
          <w:rFonts w:ascii="Calibri" w:eastAsia="Calibri" w:hAnsi="Calibri"/>
        </w:rPr>
        <w:t xml:space="preserve"> </w:t>
      </w:r>
      <w:r w:rsidR="00647D74">
        <w:rPr>
          <w:rFonts w:ascii="Calibri" w:eastAsia="Calibri" w:hAnsi="Calibri"/>
        </w:rPr>
        <w:t xml:space="preserve">an additional step of using </w:t>
      </w:r>
      <w:r w:rsidR="004E209A">
        <w:rPr>
          <w:rFonts w:ascii="Calibri" w:eastAsia="Calibri" w:hAnsi="Calibri"/>
        </w:rPr>
        <w:t xml:space="preserve">other </w:t>
      </w:r>
      <w:r w:rsidR="00B2782A" w:rsidRPr="00B2782A">
        <w:rPr>
          <w:rFonts w:ascii="Calibri" w:eastAsia="Calibri" w:hAnsi="Calibri"/>
        </w:rPr>
        <w:t>administrative data</w:t>
      </w:r>
      <w:r w:rsidR="00126DC6">
        <w:rPr>
          <w:rFonts w:ascii="Calibri" w:eastAsia="Calibri" w:hAnsi="Calibri"/>
        </w:rPr>
        <w:t xml:space="preserve"> would be </w:t>
      </w:r>
      <w:r w:rsidR="00126DC6">
        <w:rPr>
          <w:rFonts w:ascii="Calibri" w:eastAsia="Calibri" w:hAnsi="Calibri"/>
        </w:rPr>
        <w:lastRenderedPageBreak/>
        <w:t>used</w:t>
      </w:r>
      <w:r w:rsidR="00EC32FD">
        <w:rPr>
          <w:rFonts w:ascii="Calibri" w:eastAsia="Calibri" w:hAnsi="Calibri"/>
        </w:rPr>
        <w:t xml:space="preserve"> to impute race.</w:t>
      </w:r>
      <w:r w:rsidR="00B2782A" w:rsidRPr="00B2782A" w:rsidDel="00EC32FD">
        <w:rPr>
          <w:rFonts w:ascii="Calibri" w:eastAsia="Calibri" w:hAnsi="Calibri"/>
        </w:rPr>
        <w:t xml:space="preserve"> </w:t>
      </w:r>
      <w:r w:rsidR="00B2782A" w:rsidRPr="00B2782A">
        <w:rPr>
          <w:rFonts w:ascii="Calibri" w:eastAsia="Calibri" w:hAnsi="Calibri"/>
        </w:rPr>
        <w:t>“</w:t>
      </w:r>
      <w:r w:rsidR="00EC32FD">
        <w:rPr>
          <w:rFonts w:ascii="Calibri" w:eastAsia="Calibri" w:hAnsi="Calibri"/>
        </w:rPr>
        <w:t>H</w:t>
      </w:r>
      <w:r w:rsidR="00B2782A" w:rsidRPr="00B2782A">
        <w:rPr>
          <w:rFonts w:ascii="Calibri" w:eastAsia="Calibri" w:hAnsi="Calibri"/>
        </w:rPr>
        <w:t>ot-decking” was</w:t>
      </w:r>
      <w:r w:rsidR="00BE56FB">
        <w:rPr>
          <w:rFonts w:ascii="Calibri" w:eastAsia="Calibri" w:hAnsi="Calibri"/>
        </w:rPr>
        <w:t xml:space="preserve"> the last method</w:t>
      </w:r>
      <w:r w:rsidR="00B2782A" w:rsidRPr="00B2782A">
        <w:rPr>
          <w:rFonts w:ascii="Calibri" w:eastAsia="Calibri" w:hAnsi="Calibri"/>
        </w:rPr>
        <w:t xml:space="preserve"> used to assign race</w:t>
      </w:r>
      <w:r w:rsidR="00BE56FB">
        <w:rPr>
          <w:rFonts w:ascii="Calibri" w:eastAsia="Calibri" w:hAnsi="Calibri"/>
        </w:rPr>
        <w:t xml:space="preserve"> if other methods</w:t>
      </w:r>
      <w:r w:rsidR="00E02BFC">
        <w:rPr>
          <w:rFonts w:ascii="Calibri" w:eastAsia="Calibri" w:hAnsi="Calibri"/>
        </w:rPr>
        <w:t xml:space="preserve"> were not successful.</w:t>
      </w:r>
      <w:r w:rsidR="00DB52DF">
        <w:rPr>
          <w:rStyle w:val="FootnoteReference"/>
          <w:rFonts w:ascii="Calibri" w:eastAsia="Calibri" w:hAnsi="Calibri"/>
        </w:rPr>
        <w:footnoteReference w:id="39"/>
      </w:r>
      <w:r w:rsidR="00B2782A" w:rsidRPr="00B2782A" w:rsidDel="00A90A11">
        <w:rPr>
          <w:rFonts w:ascii="Calibri" w:eastAsia="Calibri" w:hAnsi="Calibri"/>
        </w:rPr>
        <w:t xml:space="preserve"> </w:t>
      </w:r>
    </w:p>
    <w:p w14:paraId="5F32CBAB" w14:textId="45AC51E3" w:rsidR="00AA72DC" w:rsidRDefault="000246F0" w:rsidP="00004AD9">
      <w:pPr>
        <w:spacing w:line="240" w:lineRule="auto"/>
        <w:rPr>
          <w:rFonts w:ascii="Calibri" w:eastAsia="Calibri" w:hAnsi="Calibri"/>
        </w:rPr>
      </w:pPr>
      <w:r>
        <w:rPr>
          <w:rFonts w:ascii="Calibri" w:eastAsia="Calibri" w:hAnsi="Calibri"/>
        </w:rPr>
        <w:t>Before proceeding with CCR</w:t>
      </w:r>
      <w:r w:rsidR="00237981">
        <w:rPr>
          <w:rFonts w:ascii="Calibri" w:eastAsia="Calibri" w:hAnsi="Calibri"/>
        </w:rPr>
        <w:t xml:space="preserve">-based race projections, </w:t>
      </w:r>
      <w:r w:rsidR="00B2782A" w:rsidRPr="00B2782A">
        <w:rPr>
          <w:rFonts w:ascii="Calibri" w:eastAsia="Calibri" w:hAnsi="Calibri"/>
        </w:rPr>
        <w:t xml:space="preserve">UMDI wanted to explore whether changes in the Census form (and the resulting Census coding of responses) from 2010 to 2020 caused implausible race projections. We built a visual display dashboard that looks at race by ethnicity by MCD for years 2000, 2010, 2020, and projected 2030 using both our standard method (which takes change from 2010 to 2020 to project to 2030) and a revised method which holds race constant to 2020 distributions as the cohorts age forward. Because each race group is controlled back to the age groups, both 2030 age/sex populations would be consistent, but the race and ethnicity would be different using different CCRs. We discovered that in many places, it does not make much of a difference which ratio we use, or that results from both </w:t>
      </w:r>
      <w:r w:rsidR="00F81E74">
        <w:rPr>
          <w:rFonts w:ascii="Calibri" w:eastAsia="Calibri" w:hAnsi="Calibri"/>
        </w:rPr>
        <w:t xml:space="preserve">versions of </w:t>
      </w:r>
      <w:r w:rsidR="00B2782A" w:rsidRPr="00B2782A">
        <w:rPr>
          <w:rFonts w:ascii="Calibri" w:eastAsia="Calibri" w:hAnsi="Calibri"/>
        </w:rPr>
        <w:t xml:space="preserve">the 2030 projections looked equally plausible depending on future conditions. However, for MCDs with large college populations, such as Amherst or Boston, Hispanic and some race trends looked extremely implausible when we hold race and ethnicity to 2020 proportions. We suspect two factors may be at play here. The first is that the student population may have a very different demographic makeup than the surrounding city or town. The second is the effect that small </w:t>
      </w:r>
      <w:r w:rsidR="00A108F4" w:rsidRPr="00B2782A">
        <w:rPr>
          <w:rFonts w:ascii="Calibri" w:eastAsia="Calibri" w:hAnsi="Calibri"/>
        </w:rPr>
        <w:t>numbers of</w:t>
      </w:r>
      <w:r w:rsidR="00B2782A" w:rsidRPr="00B2782A">
        <w:rPr>
          <w:rFonts w:ascii="Calibri" w:eastAsia="Calibri" w:hAnsi="Calibri"/>
        </w:rPr>
        <w:t xml:space="preserve"> people of a certain race or ethnicity in an age group with a small population can have if the model uses that ratio to age the population forward. A few </w:t>
      </w:r>
      <w:r w:rsidR="000606A1">
        <w:rPr>
          <w:rFonts w:ascii="Calibri" w:eastAsia="Calibri" w:hAnsi="Calibri"/>
        </w:rPr>
        <w:t>children</w:t>
      </w:r>
      <w:r w:rsidR="00B2782A" w:rsidRPr="00B2782A">
        <w:rPr>
          <w:rFonts w:ascii="Calibri" w:eastAsia="Calibri" w:hAnsi="Calibri"/>
        </w:rPr>
        <w:t xml:space="preserve"> in a cohort of 100 can translate into very large numbers when </w:t>
      </w:r>
      <w:r w:rsidR="00A612EF">
        <w:rPr>
          <w:rFonts w:ascii="Calibri" w:eastAsia="Calibri" w:hAnsi="Calibri"/>
        </w:rPr>
        <w:t xml:space="preserve">its relative proportion is </w:t>
      </w:r>
      <w:r w:rsidR="00B2782A" w:rsidRPr="00B2782A">
        <w:rPr>
          <w:rFonts w:ascii="Calibri" w:eastAsia="Calibri" w:hAnsi="Calibri"/>
        </w:rPr>
        <w:t>multiplied by a college population in the thousands</w:t>
      </w:r>
      <w:r w:rsidR="00FF14E6">
        <w:rPr>
          <w:rFonts w:ascii="Calibri" w:eastAsia="Calibri" w:hAnsi="Calibri"/>
        </w:rPr>
        <w:t xml:space="preserve">—a </w:t>
      </w:r>
      <w:r w:rsidR="006C6AE5">
        <w:rPr>
          <w:rFonts w:ascii="Calibri" w:eastAsia="Calibri" w:hAnsi="Calibri"/>
        </w:rPr>
        <w:t>population</w:t>
      </w:r>
      <w:r w:rsidR="00B2782A" w:rsidRPr="00B2782A">
        <w:rPr>
          <w:rFonts w:ascii="Calibri" w:eastAsia="Calibri" w:hAnsi="Calibri"/>
        </w:rPr>
        <w:t xml:space="preserve"> which</w:t>
      </w:r>
      <w:r w:rsidR="00FC09EA">
        <w:rPr>
          <w:rFonts w:ascii="Calibri" w:eastAsia="Calibri" w:hAnsi="Calibri"/>
        </w:rPr>
        <w:t>, in actuality,</w:t>
      </w:r>
      <w:r w:rsidR="00B2782A" w:rsidRPr="00B2782A">
        <w:rPr>
          <w:rFonts w:ascii="Calibri" w:eastAsia="Calibri" w:hAnsi="Calibri"/>
        </w:rPr>
        <w:t xml:space="preserve"> draws its students from other places</w:t>
      </w:r>
      <w:r w:rsidR="00632C5C">
        <w:rPr>
          <w:rFonts w:ascii="Calibri" w:eastAsia="Calibri" w:hAnsi="Calibri"/>
        </w:rPr>
        <w:t xml:space="preserve"> and is not dependent on </w:t>
      </w:r>
      <w:r w:rsidR="00C37E0C">
        <w:rPr>
          <w:rFonts w:ascii="Calibri" w:eastAsia="Calibri" w:hAnsi="Calibri"/>
        </w:rPr>
        <w:t xml:space="preserve">the size and make-up of </w:t>
      </w:r>
      <w:r w:rsidR="00A94EF9">
        <w:rPr>
          <w:rFonts w:ascii="Calibri" w:eastAsia="Calibri" w:hAnsi="Calibri"/>
        </w:rPr>
        <w:t xml:space="preserve">local </w:t>
      </w:r>
      <w:r w:rsidR="00C37E0C">
        <w:rPr>
          <w:rFonts w:ascii="Calibri" w:eastAsia="Calibri" w:hAnsi="Calibri"/>
        </w:rPr>
        <w:t>younger cohorts in the way that most other age groups are</w:t>
      </w:r>
      <w:r w:rsidR="00B2782A" w:rsidRPr="00B2782A">
        <w:rPr>
          <w:rFonts w:ascii="Calibri" w:eastAsia="Calibri" w:hAnsi="Calibri"/>
        </w:rPr>
        <w:t xml:space="preserve">. There </w:t>
      </w:r>
      <w:r w:rsidR="00B3208B">
        <w:rPr>
          <w:rFonts w:ascii="Calibri" w:eastAsia="Calibri" w:hAnsi="Calibri"/>
        </w:rPr>
        <w:t>may be</w:t>
      </w:r>
      <w:r w:rsidR="00B2782A" w:rsidRPr="00B2782A">
        <w:rPr>
          <w:rFonts w:ascii="Calibri" w:eastAsia="Calibri" w:hAnsi="Calibri"/>
        </w:rPr>
        <w:t xml:space="preserve"> a few places with diverse demographics that may improve slightly from keeping a CCR </w:t>
      </w:r>
      <w:r w:rsidR="009F16FA">
        <w:rPr>
          <w:rFonts w:ascii="Calibri" w:eastAsia="Calibri" w:hAnsi="Calibri"/>
        </w:rPr>
        <w:t xml:space="preserve">that includes race and ethnicity </w:t>
      </w:r>
      <w:r w:rsidR="00B2782A" w:rsidRPr="00B2782A">
        <w:rPr>
          <w:rFonts w:ascii="Calibri" w:eastAsia="Calibri" w:hAnsi="Calibri"/>
        </w:rPr>
        <w:t>equal to 1, but this requires more exploration and analysis to determine which places would benefit from this modification</w:t>
      </w:r>
      <w:r w:rsidR="009A2454">
        <w:rPr>
          <w:rFonts w:ascii="Calibri" w:eastAsia="Calibri" w:hAnsi="Calibri"/>
        </w:rPr>
        <w:t xml:space="preserve"> and how it should be applied</w:t>
      </w:r>
      <w:r w:rsidR="00B2782A" w:rsidRPr="00B2782A">
        <w:rPr>
          <w:rFonts w:ascii="Calibri" w:eastAsia="Calibri" w:hAnsi="Calibri"/>
        </w:rPr>
        <w:t>.</w:t>
      </w:r>
    </w:p>
    <w:p w14:paraId="54974FB6" w14:textId="55D55AD6" w:rsidR="00212C3E" w:rsidRPr="00201848" w:rsidRDefault="0053303E" w:rsidP="0048233F">
      <w:pPr>
        <w:pStyle w:val="Heading2"/>
        <w:rPr>
          <w:color w:val="595959" w:themeColor="text1" w:themeTint="A6"/>
        </w:rPr>
      </w:pPr>
      <w:bookmarkStart w:id="29" w:name="_Toc197520532"/>
      <w:r w:rsidRPr="00201848">
        <w:rPr>
          <w:color w:val="595959" w:themeColor="text1" w:themeTint="A6"/>
        </w:rPr>
        <w:t>7</w:t>
      </w:r>
      <w:r w:rsidR="0048233F" w:rsidRPr="00201848">
        <w:rPr>
          <w:color w:val="595959" w:themeColor="text1" w:themeTint="A6"/>
        </w:rPr>
        <w:t xml:space="preserve">) </w:t>
      </w:r>
      <w:r w:rsidR="00212C3E" w:rsidRPr="00201848">
        <w:rPr>
          <w:color w:val="595959" w:themeColor="text1" w:themeTint="A6"/>
        </w:rPr>
        <w:t xml:space="preserve"> Applying ratios and caps to the modified Census 2020 base population to create “uncontrolled” 2030 estimates</w:t>
      </w:r>
      <w:bookmarkEnd w:id="29"/>
    </w:p>
    <w:p w14:paraId="2D99EA90" w14:textId="6DB24CC3" w:rsidR="003E435A" w:rsidRPr="00E845D0" w:rsidRDefault="003E435A" w:rsidP="003E435A">
      <w:pPr>
        <w:spacing w:line="240" w:lineRule="auto"/>
        <w:contextualSpacing/>
        <w:rPr>
          <w:rFonts w:ascii="Calibri" w:hAnsi="Calibri"/>
        </w:rPr>
      </w:pPr>
      <w:r w:rsidRPr="004A2ED8">
        <w:rPr>
          <w:rFonts w:ascii="Calibri" w:eastAsia="Calibri" w:hAnsi="Calibri"/>
        </w:rPr>
        <w:t xml:space="preserve">The next step in the estimation model is to apply the 2010-2020 CCR and CTW ratios to the 2020 Census base population to create 2030 estimates. </w:t>
      </w:r>
      <w:r w:rsidRPr="004A2ED8">
        <w:rPr>
          <w:rFonts w:ascii="Calibri" w:hAnsi="Calibri"/>
        </w:rPr>
        <w:t xml:space="preserve">At both the town and tract levels, we apply the geographically specific CCRs and CTWs for each age/sex cohort to their corresponding 2020 base population. For example, if in Town A there were ten 10-14 year old males in Census 2010 and eight 20-24 year old males in 2020, the CCR would be calculated as 8 </w:t>
      </w:r>
      <w:r w:rsidRPr="004A2ED8">
        <w:rPr>
          <w:rFonts w:ascii="Calibri" w:hAnsi="Calibri" w:cs="Calibri"/>
        </w:rPr>
        <w:t>÷</w:t>
      </w:r>
      <w:r w:rsidRPr="004A2ED8">
        <w:rPr>
          <w:rFonts w:ascii="Calibri" w:hAnsi="Calibri"/>
        </w:rPr>
        <w:t xml:space="preserve"> 10, or 0.80. In this step, the CCR value of 0.80 is now applied to the population of 10-14 year olds in Town A counted in 2020 to project the population of 20-24 year olds in the town by 2030</w:t>
      </w:r>
      <w:r w:rsidR="00D426E0" w:rsidRPr="004A2ED8">
        <w:rPr>
          <w:rFonts w:ascii="Calibri" w:hAnsi="Calibri"/>
        </w:rPr>
        <w:t xml:space="preserve">. </w:t>
      </w:r>
      <w:r w:rsidR="00683980">
        <w:rPr>
          <w:rFonts w:ascii="Calibri" w:hAnsi="Calibri"/>
        </w:rPr>
        <w:t>Race/ethnicity/age/sex</w:t>
      </w:r>
      <w:r w:rsidR="001B545F" w:rsidRPr="00E845D0">
        <w:rPr>
          <w:rFonts w:ascii="Calibri" w:hAnsi="Calibri"/>
        </w:rPr>
        <w:t xml:space="preserve"> projections are</w:t>
      </w:r>
      <w:r w:rsidR="00683980">
        <w:rPr>
          <w:rFonts w:ascii="Calibri" w:hAnsi="Calibri"/>
        </w:rPr>
        <w:t xml:space="preserve"> produced in a similar fashion, with </w:t>
      </w:r>
      <w:r w:rsidR="00906436">
        <w:rPr>
          <w:rFonts w:ascii="Calibri" w:hAnsi="Calibri"/>
        </w:rPr>
        <w:t xml:space="preserve">each CCR and CTW corresponding to a </w:t>
      </w:r>
      <w:r w:rsidR="003F1B56">
        <w:rPr>
          <w:rFonts w:ascii="Calibri" w:hAnsi="Calibri"/>
        </w:rPr>
        <w:t>specific</w:t>
      </w:r>
      <w:r w:rsidR="00906436">
        <w:rPr>
          <w:rFonts w:ascii="Calibri" w:hAnsi="Calibri"/>
        </w:rPr>
        <w:t xml:space="preserve"> race/ethnicity/age/sex/geography cohort</w:t>
      </w:r>
      <w:r w:rsidR="00FD64F3">
        <w:rPr>
          <w:rFonts w:ascii="Calibri" w:hAnsi="Calibri"/>
        </w:rPr>
        <w:t xml:space="preserve">. </w:t>
      </w:r>
      <w:r w:rsidR="006C0BDC">
        <w:rPr>
          <w:rFonts w:ascii="Calibri" w:hAnsi="Calibri"/>
        </w:rPr>
        <w:t>The 2030</w:t>
      </w:r>
      <w:r w:rsidR="00A61D5B">
        <w:rPr>
          <w:rFonts w:ascii="Calibri" w:hAnsi="Calibri"/>
        </w:rPr>
        <w:t xml:space="preserve"> race/ethnicity/age/sex projections are</w:t>
      </w:r>
      <w:r w:rsidR="001B545F" w:rsidRPr="00E845D0">
        <w:rPr>
          <w:rFonts w:ascii="Calibri" w:hAnsi="Calibri"/>
        </w:rPr>
        <w:t xml:space="preserve"> controlled </w:t>
      </w:r>
      <w:r w:rsidR="00B60E0D" w:rsidRPr="00E845D0">
        <w:rPr>
          <w:rFonts w:ascii="Calibri" w:hAnsi="Calibri"/>
        </w:rPr>
        <w:t>to</w:t>
      </w:r>
      <w:r w:rsidR="00E845D0" w:rsidRPr="00E845D0">
        <w:rPr>
          <w:rFonts w:ascii="Calibri" w:hAnsi="Calibri"/>
        </w:rPr>
        <w:t xml:space="preserve"> </w:t>
      </w:r>
      <w:r w:rsidR="00F55866">
        <w:rPr>
          <w:rFonts w:ascii="Calibri" w:hAnsi="Calibri"/>
        </w:rPr>
        <w:t>the</w:t>
      </w:r>
      <w:r w:rsidR="00E845D0" w:rsidRPr="00E845D0">
        <w:rPr>
          <w:rFonts w:ascii="Calibri" w:hAnsi="Calibri"/>
        </w:rPr>
        <w:t xml:space="preserve"> </w:t>
      </w:r>
      <w:r w:rsidR="00B5771F">
        <w:rPr>
          <w:rFonts w:ascii="Calibri" w:hAnsi="Calibri"/>
        </w:rPr>
        <w:t xml:space="preserve">2030 </w:t>
      </w:r>
      <w:r w:rsidR="00E845D0" w:rsidRPr="00E845D0">
        <w:rPr>
          <w:rFonts w:ascii="Calibri" w:hAnsi="Calibri"/>
        </w:rPr>
        <w:t>age/sex projections</w:t>
      </w:r>
      <w:r w:rsidR="00C3499F">
        <w:rPr>
          <w:rFonts w:ascii="Calibri" w:hAnsi="Calibri"/>
        </w:rPr>
        <w:t xml:space="preserve"> </w:t>
      </w:r>
      <w:r w:rsidR="009F2A75">
        <w:rPr>
          <w:rFonts w:ascii="Calibri" w:hAnsi="Calibri"/>
        </w:rPr>
        <w:t>prior to</w:t>
      </w:r>
      <w:r w:rsidR="00C3499F">
        <w:rPr>
          <w:rFonts w:ascii="Calibri" w:hAnsi="Calibri"/>
        </w:rPr>
        <w:t xml:space="preserve"> </w:t>
      </w:r>
      <w:r w:rsidR="00147428">
        <w:rPr>
          <w:rFonts w:ascii="Calibri" w:hAnsi="Calibri"/>
        </w:rPr>
        <w:t xml:space="preserve">interpolating </w:t>
      </w:r>
      <w:r w:rsidR="00FA49D9">
        <w:rPr>
          <w:rFonts w:ascii="Calibri" w:hAnsi="Calibri"/>
        </w:rPr>
        <w:t xml:space="preserve">race/ethnicity/age/sex populations </w:t>
      </w:r>
      <w:r w:rsidR="004F1B49">
        <w:rPr>
          <w:rFonts w:ascii="Calibri" w:hAnsi="Calibri"/>
        </w:rPr>
        <w:t>for the years</w:t>
      </w:r>
      <w:r w:rsidR="00FA49D9">
        <w:rPr>
          <w:rFonts w:ascii="Calibri" w:hAnsi="Calibri"/>
        </w:rPr>
        <w:t xml:space="preserve"> 2021-2029</w:t>
      </w:r>
      <w:r w:rsidR="00E845D0" w:rsidRPr="00E845D0">
        <w:rPr>
          <w:rFonts w:ascii="Calibri" w:hAnsi="Calibri"/>
        </w:rPr>
        <w:t>.</w:t>
      </w:r>
      <w:r w:rsidR="00B60E0D" w:rsidRPr="00E845D0">
        <w:rPr>
          <w:rFonts w:ascii="Calibri" w:hAnsi="Calibri"/>
        </w:rPr>
        <w:t xml:space="preserve"> </w:t>
      </w:r>
    </w:p>
    <w:p w14:paraId="3BB0120D" w14:textId="34972BEF" w:rsidR="00E548B5" w:rsidRPr="00201848" w:rsidRDefault="0048233F" w:rsidP="0048233F">
      <w:pPr>
        <w:pStyle w:val="Heading2"/>
        <w:rPr>
          <w:color w:val="595959" w:themeColor="text1" w:themeTint="A6"/>
        </w:rPr>
      </w:pPr>
      <w:bookmarkStart w:id="30" w:name="_Toc197520533"/>
      <w:r w:rsidRPr="00201848">
        <w:rPr>
          <w:color w:val="595959" w:themeColor="text1" w:themeTint="A6"/>
        </w:rPr>
        <w:lastRenderedPageBreak/>
        <w:t xml:space="preserve">8) </w:t>
      </w:r>
      <w:r w:rsidR="00E548B5" w:rsidRPr="00201848">
        <w:rPr>
          <w:color w:val="595959" w:themeColor="text1" w:themeTint="A6"/>
        </w:rPr>
        <w:t xml:space="preserve"> Distribute age/sex estimates to single years 2021-2030</w:t>
      </w:r>
      <w:bookmarkEnd w:id="30"/>
    </w:p>
    <w:p w14:paraId="18B71784" w14:textId="384CB0DF" w:rsidR="003E435A" w:rsidRPr="000D41FD" w:rsidRDefault="003E435A" w:rsidP="003E435A">
      <w:pPr>
        <w:spacing w:line="240" w:lineRule="auto"/>
        <w:rPr>
          <w:rFonts w:ascii="Calibri" w:eastAsia="Calibri" w:hAnsi="Calibri"/>
        </w:rPr>
      </w:pPr>
      <w:r w:rsidRPr="000D41FD">
        <w:rPr>
          <w:rFonts w:ascii="Calibri" w:eastAsia="Calibri" w:hAnsi="Calibri"/>
        </w:rPr>
        <w:t>The application of the calculated 2010-2020 CCRs to the Census 2020 launch populations produces CCR estimates for the year 2030. The next step is to distribute the resulting estimates to the single years from 2021 through 2030. Population change is not necessarily linear; it can accelerate or decelerate over time depending on numerous factors, including changes in localized migration due to economic or other development at the local level. However, because our model cannot account for the factors that may cause uneven change in one place or cohort from year to year, we simply create a linear interpolation for each age/sex</w:t>
      </w:r>
      <w:r w:rsidR="00D06A16" w:rsidRPr="000D41FD">
        <w:rPr>
          <w:rFonts w:ascii="Calibri" w:eastAsia="Calibri" w:hAnsi="Calibri"/>
        </w:rPr>
        <w:t xml:space="preserve"> </w:t>
      </w:r>
      <w:r w:rsidRPr="000D41FD">
        <w:rPr>
          <w:rFonts w:ascii="Calibri" w:eastAsia="Calibri" w:hAnsi="Calibri"/>
        </w:rPr>
        <w:t>/geography cohort from 2020 to 2030. The formula for this, as applied to each cohort, is:</w:t>
      </w:r>
    </w:p>
    <w:p w14:paraId="39AB3CDE" w14:textId="4C2CD97E" w:rsidR="00C20D02" w:rsidRPr="000D41FD" w:rsidRDefault="000F7A21" w:rsidP="00C20D02">
      <w:pPr>
        <w:spacing w:line="240" w:lineRule="auto"/>
        <w:rPr>
          <w:rFonts w:eastAsiaTheme="minorEastAsia"/>
        </w:rPr>
      </w:pPr>
      <m:oMathPara>
        <m:oMath>
          <m:r>
            <w:rPr>
              <w:rFonts w:ascii="Cambria Math" w:eastAsia="Calibri" w:hAnsi="Cambria Math"/>
            </w:rPr>
            <m:t>Population year y=</m:t>
          </m:r>
          <m:d>
            <m:dPr>
              <m:ctrlPr>
                <w:rPr>
                  <w:rFonts w:ascii="Cambria Math" w:eastAsia="Calibri" w:hAnsi="Cambria Math"/>
                  <w:i/>
                </w:rPr>
              </m:ctrlPr>
            </m:dPr>
            <m:e>
              <m:f>
                <m:fPr>
                  <m:ctrlPr>
                    <w:rPr>
                      <w:rFonts w:ascii="Cambria Math" w:eastAsia="Calibri" w:hAnsi="Cambria Math"/>
                      <w:i/>
                    </w:rPr>
                  </m:ctrlPr>
                </m:fPr>
                <m:num>
                  <m:r>
                    <w:rPr>
                      <w:rFonts w:ascii="Cambria Math" w:eastAsia="Calibri" w:hAnsi="Cambria Math"/>
                    </w:rPr>
                    <m:t>Population 2030 – Population 2020</m:t>
                  </m:r>
                </m:num>
                <m:den>
                  <m:r>
                    <w:rPr>
                      <w:rFonts w:ascii="Cambria Math" w:eastAsia="Calibri" w:hAnsi="Cambria Math"/>
                    </w:rPr>
                    <m:t>10</m:t>
                  </m:r>
                </m:den>
              </m:f>
            </m:e>
          </m:d>
          <m:r>
            <w:rPr>
              <w:rFonts w:ascii="Cambria Math" w:eastAsia="Calibri" w:hAnsi="Cambria Math"/>
            </w:rPr>
            <m:t>×(y-2020)</m:t>
          </m:r>
        </m:oMath>
      </m:oMathPara>
    </w:p>
    <w:p w14:paraId="30D62E66" w14:textId="1F225AFD" w:rsidR="00A64D86" w:rsidRPr="000D41FD" w:rsidRDefault="00A64D86" w:rsidP="00A64D86">
      <w:pPr>
        <w:spacing w:line="240" w:lineRule="auto"/>
        <w:rPr>
          <w:rFonts w:ascii="Calibri" w:eastAsia="Calibri" w:hAnsi="Calibri"/>
        </w:rPr>
      </w:pPr>
      <w:r w:rsidRPr="000D41FD">
        <w:rPr>
          <w:rFonts w:ascii="Calibri" w:eastAsia="Calibri" w:hAnsi="Calibri"/>
        </w:rPr>
        <w:t>While this method assumes that change is evenly distributed through the projection period, toggling our estimates results to the year-by-year county-level estimates, as described below, may help to ameliorate the effect of this assumption on our annual estimates.</w:t>
      </w:r>
      <w:r w:rsidRPr="000D41FD">
        <w:rPr>
          <w:rFonts w:ascii="Calibri" w:eastAsia="Calibri" w:hAnsi="Calibri"/>
          <w:vertAlign w:val="superscript"/>
        </w:rPr>
        <w:footnoteReference w:id="40"/>
      </w:r>
    </w:p>
    <w:p w14:paraId="582E3B9A" w14:textId="0B684882" w:rsidR="00E548B5" w:rsidRPr="00201848" w:rsidRDefault="00CD11AD" w:rsidP="00DD6257">
      <w:pPr>
        <w:pStyle w:val="Heading2"/>
        <w:rPr>
          <w:color w:val="595959" w:themeColor="text1" w:themeTint="A6"/>
        </w:rPr>
      </w:pPr>
      <w:bookmarkStart w:id="31" w:name="_Toc197520534"/>
      <w:r w:rsidRPr="00201848">
        <w:rPr>
          <w:color w:val="595959" w:themeColor="text1" w:themeTint="A6"/>
        </w:rPr>
        <w:t>9</w:t>
      </w:r>
      <w:r w:rsidR="00A77918" w:rsidRPr="00201848">
        <w:rPr>
          <w:color w:val="595959" w:themeColor="text1" w:themeTint="A6"/>
        </w:rPr>
        <w:t>)</w:t>
      </w:r>
      <w:r w:rsidR="00E548B5" w:rsidRPr="00201848">
        <w:rPr>
          <w:color w:val="595959" w:themeColor="text1" w:themeTint="A6"/>
        </w:rPr>
        <w:t xml:space="preserve"> Control the 2021 to 2030 estimates by tract and by town to the county-level annual post-census estimates</w:t>
      </w:r>
      <w:bookmarkEnd w:id="31"/>
    </w:p>
    <w:p w14:paraId="17C850A1" w14:textId="71015044" w:rsidR="00A64D86" w:rsidRPr="00F617B1" w:rsidRDefault="00A64D86" w:rsidP="00A64D86">
      <w:pPr>
        <w:spacing w:line="240" w:lineRule="auto"/>
        <w:rPr>
          <w:rFonts w:ascii="Calibri" w:eastAsia="Calibri" w:hAnsi="Calibri"/>
          <w:color w:val="0053BE" w:themeColor="accent6" w:themeTint="BF"/>
        </w:rPr>
      </w:pPr>
      <w:r w:rsidRPr="009B7ED5">
        <w:rPr>
          <w:rFonts w:ascii="Calibri" w:eastAsia="Calibri" w:hAnsi="Calibri"/>
        </w:rPr>
        <w:t xml:space="preserve">As described in the </w:t>
      </w:r>
      <w:r w:rsidRPr="009B7ED5">
        <w:rPr>
          <w:rFonts w:ascii="Calibri" w:eastAsia="Calibri" w:hAnsi="Calibri"/>
          <w:i/>
        </w:rPr>
        <w:t>Method Overview</w:t>
      </w:r>
      <w:r w:rsidRPr="009B7ED5">
        <w:rPr>
          <w:rFonts w:ascii="Calibri" w:eastAsia="Calibri" w:hAnsi="Calibri"/>
        </w:rPr>
        <w:t xml:space="preserve"> section of this report, we control the sub-county (tract- and town-level) age/sex estimates </w:t>
      </w:r>
      <w:r w:rsidR="000106E0" w:rsidRPr="009B7ED5">
        <w:rPr>
          <w:rFonts w:ascii="Calibri" w:eastAsia="Calibri" w:hAnsi="Calibri"/>
        </w:rPr>
        <w:t xml:space="preserve">and age/sex/race/ethnicity estimates </w:t>
      </w:r>
      <w:r w:rsidRPr="009B7ED5">
        <w:rPr>
          <w:rFonts w:ascii="Calibri" w:eastAsia="Calibri" w:hAnsi="Calibri"/>
        </w:rPr>
        <w:t xml:space="preserve">to the county-level estimates </w:t>
      </w:r>
      <w:r w:rsidR="00A97DD0" w:rsidRPr="009B7ED5">
        <w:rPr>
          <w:rFonts w:ascii="Calibri" w:eastAsia="Calibri" w:hAnsi="Calibri"/>
        </w:rPr>
        <w:t xml:space="preserve">of </w:t>
      </w:r>
      <w:r w:rsidR="00B9496A" w:rsidRPr="009B7ED5">
        <w:rPr>
          <w:rFonts w:ascii="Calibri" w:eastAsia="Calibri" w:hAnsi="Calibri"/>
        </w:rPr>
        <w:t xml:space="preserve">equivalent demographic detail </w:t>
      </w:r>
      <w:r w:rsidRPr="009B7ED5">
        <w:rPr>
          <w:rFonts w:ascii="Calibri" w:eastAsia="Calibri" w:hAnsi="Calibri"/>
        </w:rPr>
        <w:t xml:space="preserve">produced by the Census Bureau on an annual basis. To do this, we simply sum the </w:t>
      </w:r>
      <w:r w:rsidR="00AF5D63" w:rsidRPr="009B7ED5">
        <w:rPr>
          <w:rFonts w:ascii="Calibri" w:eastAsia="Calibri" w:hAnsi="Calibri"/>
        </w:rPr>
        <w:t xml:space="preserve">individual </w:t>
      </w:r>
      <w:r w:rsidRPr="009B7ED5">
        <w:rPr>
          <w:rFonts w:ascii="Calibri" w:eastAsia="Calibri" w:hAnsi="Calibri"/>
        </w:rPr>
        <w:t xml:space="preserve">cohort estimates produced thus far in our model </w:t>
      </w:r>
      <w:r w:rsidR="00AF5D63" w:rsidRPr="009B7ED5">
        <w:rPr>
          <w:rFonts w:ascii="Calibri" w:eastAsia="Calibri" w:hAnsi="Calibri"/>
        </w:rPr>
        <w:t>from the sub</w:t>
      </w:r>
      <w:r w:rsidR="00890372" w:rsidRPr="009B7ED5">
        <w:rPr>
          <w:rFonts w:ascii="Calibri" w:eastAsia="Calibri" w:hAnsi="Calibri"/>
        </w:rPr>
        <w:t>-</w:t>
      </w:r>
      <w:r w:rsidR="00AF5D63" w:rsidRPr="009B7ED5">
        <w:rPr>
          <w:rFonts w:ascii="Calibri" w:eastAsia="Calibri" w:hAnsi="Calibri"/>
        </w:rPr>
        <w:t>county level</w:t>
      </w:r>
      <w:r w:rsidR="00890372" w:rsidRPr="009B7ED5">
        <w:rPr>
          <w:rFonts w:ascii="Calibri" w:eastAsia="Calibri" w:hAnsi="Calibri"/>
        </w:rPr>
        <w:t xml:space="preserve"> (town or tract)</w:t>
      </w:r>
      <w:r w:rsidR="00AF5D63" w:rsidRPr="009B7ED5">
        <w:rPr>
          <w:rFonts w:ascii="Calibri" w:eastAsia="Calibri" w:hAnsi="Calibri"/>
        </w:rPr>
        <w:t xml:space="preserve"> </w:t>
      </w:r>
      <w:r w:rsidRPr="009B7ED5">
        <w:rPr>
          <w:rFonts w:ascii="Calibri" w:eastAsia="Calibri" w:hAnsi="Calibri"/>
        </w:rPr>
        <w:t>to county totals and calculate each sub-county cohort’s share of the corresponding county cohort. These shares are then applied to the Census Bureau’s current county-level estimates to produce a new “controlled” estimate for each cohort for each year. At the time of this report, estimates for 2021 through 202</w:t>
      </w:r>
      <w:r w:rsidR="0040597A" w:rsidRPr="009B7ED5">
        <w:rPr>
          <w:rFonts w:ascii="Calibri" w:eastAsia="Calibri" w:hAnsi="Calibri"/>
        </w:rPr>
        <w:t>3</w:t>
      </w:r>
      <w:r w:rsidRPr="009B7ED5">
        <w:rPr>
          <w:rFonts w:ascii="Calibri" w:eastAsia="Calibri" w:hAnsi="Calibri"/>
        </w:rPr>
        <w:t xml:space="preserve"> have been controlled and estimates from 202</w:t>
      </w:r>
      <w:r w:rsidR="0040597A" w:rsidRPr="009B7ED5">
        <w:rPr>
          <w:rFonts w:ascii="Calibri" w:eastAsia="Calibri" w:hAnsi="Calibri"/>
        </w:rPr>
        <w:t>4</w:t>
      </w:r>
      <w:r w:rsidRPr="009B7ED5">
        <w:rPr>
          <w:rFonts w:ascii="Calibri" w:eastAsia="Calibri" w:hAnsi="Calibri"/>
        </w:rPr>
        <w:t xml:space="preserve"> through 2030 are uncontrolled, as the Bureau has not yet released estimates for these latter years. For this reason, a review of the entire estimates time-series will show a break in series from 202</w:t>
      </w:r>
      <w:r w:rsidR="0040597A" w:rsidRPr="009B7ED5">
        <w:rPr>
          <w:rFonts w:ascii="Calibri" w:eastAsia="Calibri" w:hAnsi="Calibri"/>
        </w:rPr>
        <w:t>3</w:t>
      </w:r>
      <w:r w:rsidRPr="009B7ED5">
        <w:rPr>
          <w:rFonts w:ascii="Calibri" w:eastAsia="Calibri" w:hAnsi="Calibri"/>
        </w:rPr>
        <w:t xml:space="preserve"> to 202</w:t>
      </w:r>
      <w:r w:rsidR="0040597A" w:rsidRPr="009B7ED5">
        <w:rPr>
          <w:rFonts w:ascii="Calibri" w:eastAsia="Calibri" w:hAnsi="Calibri"/>
        </w:rPr>
        <w:t>4</w:t>
      </w:r>
      <w:r w:rsidRPr="009B7ED5">
        <w:rPr>
          <w:rFonts w:ascii="Calibri" w:eastAsia="Calibri" w:hAnsi="Calibri"/>
        </w:rPr>
        <w:t>. In general, places that have been growing more quickly this decade than what the last decade would have anticipated will show a drop from 202</w:t>
      </w:r>
      <w:r w:rsidR="0040597A" w:rsidRPr="009B7ED5">
        <w:rPr>
          <w:rFonts w:ascii="Calibri" w:eastAsia="Calibri" w:hAnsi="Calibri"/>
        </w:rPr>
        <w:t>3</w:t>
      </w:r>
      <w:r w:rsidRPr="009B7ED5">
        <w:rPr>
          <w:rFonts w:ascii="Calibri" w:eastAsia="Calibri" w:hAnsi="Calibri"/>
        </w:rPr>
        <w:t xml:space="preserve"> to 202</w:t>
      </w:r>
      <w:r w:rsidR="0040597A" w:rsidRPr="009B7ED5">
        <w:rPr>
          <w:rFonts w:ascii="Calibri" w:eastAsia="Calibri" w:hAnsi="Calibri"/>
        </w:rPr>
        <w:t>4</w:t>
      </w:r>
      <w:r w:rsidRPr="009B7ED5">
        <w:rPr>
          <w:rFonts w:ascii="Calibri" w:eastAsia="Calibri" w:hAnsi="Calibri"/>
        </w:rPr>
        <w:t>, while places that have been growing more slowly than anticipated will show the opposite. Once future years are also controlled, the time-series will trend will be smoother. Note that when 202</w:t>
      </w:r>
      <w:r w:rsidR="0040597A" w:rsidRPr="009B7ED5">
        <w:rPr>
          <w:rFonts w:ascii="Calibri" w:eastAsia="Calibri" w:hAnsi="Calibri"/>
        </w:rPr>
        <w:t>4</w:t>
      </w:r>
      <w:r w:rsidRPr="009B7ED5">
        <w:rPr>
          <w:rFonts w:ascii="Calibri" w:eastAsia="Calibri" w:hAnsi="Calibri"/>
        </w:rPr>
        <w:t xml:space="preserve"> and subsequent vintages of the Census Bureau estimates are</w:t>
      </w:r>
      <w:r w:rsidR="009126AF" w:rsidRPr="009B7ED5">
        <w:rPr>
          <w:rFonts w:ascii="Calibri" w:eastAsia="Calibri" w:hAnsi="Calibri"/>
        </w:rPr>
        <w:t xml:space="preserve"> released and incorporated into the model as controls, all years in the time-series, from 2021 to </w:t>
      </w:r>
      <w:r w:rsidR="0040597A" w:rsidRPr="009B7ED5">
        <w:rPr>
          <w:rFonts w:ascii="Calibri" w:eastAsia="Calibri" w:hAnsi="Calibri"/>
        </w:rPr>
        <w:t>the current year</w:t>
      </w:r>
      <w:r w:rsidR="009126AF" w:rsidRPr="009B7ED5">
        <w:rPr>
          <w:rFonts w:ascii="Calibri" w:eastAsia="Calibri" w:hAnsi="Calibri"/>
        </w:rPr>
        <w:t xml:space="preserve">, should be updated again, as with each new release the Census Bureau makes revisions to previous years in the post-censual series.  </w:t>
      </w:r>
    </w:p>
    <w:p w14:paraId="55DBA6B8" w14:textId="6DEB0F16" w:rsidR="00E548B5" w:rsidRPr="00201848" w:rsidRDefault="00CD11AD" w:rsidP="00DD6257">
      <w:pPr>
        <w:pStyle w:val="Heading2"/>
        <w:rPr>
          <w:color w:val="595959" w:themeColor="text1" w:themeTint="A6"/>
        </w:rPr>
      </w:pPr>
      <w:bookmarkStart w:id="32" w:name="_Toc197520535"/>
      <w:r w:rsidRPr="00201848">
        <w:rPr>
          <w:color w:val="595959" w:themeColor="text1" w:themeTint="A6"/>
        </w:rPr>
        <w:lastRenderedPageBreak/>
        <w:t>10</w:t>
      </w:r>
      <w:r w:rsidR="00A77918" w:rsidRPr="00201848">
        <w:rPr>
          <w:color w:val="595959" w:themeColor="text1" w:themeTint="A6"/>
        </w:rPr>
        <w:t>)</w:t>
      </w:r>
      <w:r w:rsidR="00D12D5F" w:rsidRPr="00201848">
        <w:rPr>
          <w:color w:val="595959" w:themeColor="text1" w:themeTint="A6"/>
        </w:rPr>
        <w:t xml:space="preserve"> Distributing 5-year age-group estimates and errors to single years of age for ages 0-20</w:t>
      </w:r>
      <w:bookmarkEnd w:id="32"/>
    </w:p>
    <w:p w14:paraId="0184C209" w14:textId="231BF822" w:rsidR="0049474E" w:rsidRPr="00077E51" w:rsidRDefault="0049474E" w:rsidP="0049474E">
      <w:pPr>
        <w:spacing w:line="240" w:lineRule="auto"/>
        <w:rPr>
          <w:rFonts w:ascii="Calibri" w:eastAsia="Calibri" w:hAnsi="Calibri"/>
        </w:rPr>
      </w:pPr>
      <w:bookmarkStart w:id="33" w:name="OLE_LINK1"/>
      <w:r w:rsidRPr="00077E51">
        <w:rPr>
          <w:rFonts w:ascii="Calibri" w:eastAsia="Calibri" w:hAnsi="Calibri"/>
        </w:rPr>
        <w:t>One of the last steps in our method is to calculate estimates for single-year-of-age cohorts for ages 0 through 20. Because we found that the CCRs and CTWs generated for larger cohort groups generally perform better than smaller groups, we controlled our single-year estimates to the estimates we had produced for the 5-year age-group cohorts 0-4 through 20-24.</w:t>
      </w:r>
      <w:r w:rsidRPr="00077E51">
        <w:rPr>
          <w:rStyle w:val="FootnoteReference"/>
          <w:rFonts w:ascii="Calibri" w:eastAsia="Calibri" w:hAnsi="Calibri"/>
        </w:rPr>
        <w:footnoteReference w:id="41"/>
      </w:r>
      <w:bookmarkEnd w:id="33"/>
    </w:p>
    <w:p w14:paraId="77DE1AEB" w14:textId="215A2349" w:rsidR="0049474E" w:rsidRPr="00077E51" w:rsidRDefault="0049474E" w:rsidP="0049474E">
      <w:pPr>
        <w:spacing w:line="240" w:lineRule="auto"/>
        <w:rPr>
          <w:rFonts w:ascii="Calibri" w:eastAsia="Calibri" w:hAnsi="Calibri"/>
        </w:rPr>
      </w:pPr>
      <w:r w:rsidRPr="00077E51">
        <w:rPr>
          <w:rFonts w:ascii="Calibri" w:eastAsia="Calibri" w:hAnsi="Calibri"/>
        </w:rPr>
        <w:t xml:space="preserve">We distributed the 5-year groups into single-years-of-age using a constant-share ratio method. For each geography (tract or town), we took the share of each single-year-of-age/sex cohort within its 5-year age group in 2020 and applied it to the 5-year age/sex estimates for 2021-2030. This constant share method ensures that if a particular geography has a distinct single-year distribution within a 5-year cohort, such as a large share of 18 and 19 year-olds within the 15-19 group within a college town, the proportion is preserved moving forward. </w:t>
      </w:r>
    </w:p>
    <w:p w14:paraId="14CF8A34" w14:textId="32AD73DD" w:rsidR="00FD1D6D" w:rsidRPr="0055623A" w:rsidRDefault="0049474E" w:rsidP="009B727E">
      <w:pPr>
        <w:spacing w:line="240" w:lineRule="auto"/>
        <w:rPr>
          <w:rFonts w:ascii="Calibri" w:eastAsia="Calibri" w:hAnsi="Calibri"/>
        </w:rPr>
      </w:pPr>
      <w:r w:rsidRPr="0055623A">
        <w:rPr>
          <w:rFonts w:ascii="Calibri" w:eastAsia="Calibri" w:hAnsi="Calibri"/>
        </w:rPr>
        <w:t>Other than these types of localized single-year shares, which are preserved in our method, we have no theoretical basis for assuming how, or even that, shares of a single age within its 5-year group will shift from decade to decade. These shifts can and do occur, but their exact causes are not predictable based on historic trends. To support this assumption, we reviewed the time series of single-year age distributions within 5-year groups in Massachusetts from 1990 through 2020. Table</w:t>
      </w:r>
      <w:r w:rsidR="00774832" w:rsidRPr="0055623A">
        <w:rPr>
          <w:rFonts w:ascii="Calibri" w:eastAsia="Calibri" w:hAnsi="Calibri"/>
        </w:rPr>
        <w:t xml:space="preserve"> 3</w:t>
      </w:r>
      <w:r w:rsidRPr="0055623A">
        <w:rPr>
          <w:rFonts w:ascii="Calibri" w:eastAsia="Calibri" w:hAnsi="Calibri"/>
        </w:rPr>
        <w:t xml:space="preserve"> below shows the </w:t>
      </w:r>
      <w:r w:rsidR="00E05BE8" w:rsidRPr="0055623A">
        <w:rPr>
          <w:rFonts w:ascii="Calibri" w:eastAsia="Calibri" w:hAnsi="Calibri"/>
        </w:rPr>
        <w:t>percentage</w:t>
      </w:r>
      <w:r w:rsidRPr="0055623A">
        <w:rPr>
          <w:rFonts w:ascii="Calibri" w:eastAsia="Calibri" w:hAnsi="Calibri"/>
        </w:rPr>
        <w:t xml:space="preserve"> of each single-year within its 5-year cohort, by decade, along with the 10-year percentage point shift. Percentages remain fairly even, especially from 2000 to 2020. However, even when they do shift more significantly, the direction of the shift is not consistent from decade to decade; it may increase over one decade and decrease over the next. This directional change underscores the unpredictability of the shift-in-share, and so we assume a constant share based on the most recent census in 2020. </w:t>
      </w:r>
    </w:p>
    <w:p w14:paraId="09C05A77" w14:textId="16082278" w:rsidR="009B727E" w:rsidRPr="0055623A" w:rsidRDefault="009B727E" w:rsidP="009B727E">
      <w:pPr>
        <w:pStyle w:val="Caption"/>
        <w:rPr>
          <w:color w:val="auto"/>
        </w:rPr>
      </w:pPr>
      <w:bookmarkStart w:id="34" w:name="_Toc170212115"/>
      <w:bookmarkStart w:id="35" w:name="_Toc197520549"/>
      <w:r w:rsidRPr="0055623A">
        <w:rPr>
          <w:color w:val="auto"/>
        </w:rPr>
        <w:t xml:space="preserve">Table </w:t>
      </w:r>
      <w:r w:rsidRPr="0055623A">
        <w:rPr>
          <w:color w:val="auto"/>
        </w:rPr>
        <w:fldChar w:fldCharType="begin"/>
      </w:r>
      <w:r w:rsidRPr="0055623A">
        <w:rPr>
          <w:color w:val="auto"/>
        </w:rPr>
        <w:instrText xml:space="preserve"> SEQ Table \* ARABIC </w:instrText>
      </w:r>
      <w:r w:rsidRPr="0055623A">
        <w:rPr>
          <w:color w:val="auto"/>
        </w:rPr>
        <w:fldChar w:fldCharType="separate"/>
      </w:r>
      <w:r w:rsidR="00682CB2" w:rsidRPr="0055623A">
        <w:rPr>
          <w:color w:val="auto"/>
        </w:rPr>
        <w:t>3</w:t>
      </w:r>
      <w:r w:rsidRPr="0055623A">
        <w:rPr>
          <w:color w:val="auto"/>
        </w:rPr>
        <w:fldChar w:fldCharType="end"/>
      </w:r>
      <w:r w:rsidRPr="0055623A">
        <w:rPr>
          <w:color w:val="auto"/>
        </w:rPr>
        <w:t>. Single year of age as percent of 5-year age group and 10-year percentage point shift, 1990-2020</w:t>
      </w:r>
      <w:bookmarkEnd w:id="34"/>
      <w:bookmarkEnd w:id="35"/>
    </w:p>
    <w:tbl>
      <w:tblPr>
        <w:tblW w:w="9200" w:type="dxa"/>
        <w:tblLook w:val="04A0" w:firstRow="1" w:lastRow="0" w:firstColumn="1" w:lastColumn="0" w:noHBand="0" w:noVBand="1"/>
      </w:tblPr>
      <w:tblGrid>
        <w:gridCol w:w="1280"/>
        <w:gridCol w:w="1160"/>
        <w:gridCol w:w="1160"/>
        <w:gridCol w:w="1160"/>
        <w:gridCol w:w="1160"/>
        <w:gridCol w:w="1094"/>
        <w:gridCol w:w="1093"/>
        <w:gridCol w:w="1093"/>
      </w:tblGrid>
      <w:tr w:rsidR="0055623A" w:rsidRPr="0055623A" w14:paraId="3780F410" w14:textId="77777777" w:rsidTr="00554EFA">
        <w:trPr>
          <w:trHeight w:hRule="exact" w:val="288"/>
        </w:trPr>
        <w:tc>
          <w:tcPr>
            <w:tcW w:w="12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A1F9339"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Age</w:t>
            </w:r>
          </w:p>
        </w:tc>
        <w:tc>
          <w:tcPr>
            <w:tcW w:w="46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485FB152"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Single year of age as percent of 5-year age group</w:t>
            </w:r>
          </w:p>
        </w:tc>
        <w:tc>
          <w:tcPr>
            <w:tcW w:w="32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1A2278CC"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10-Year Percentage Point Shift</w:t>
            </w:r>
          </w:p>
        </w:tc>
      </w:tr>
      <w:tr w:rsidR="0055623A" w:rsidRPr="0055623A" w14:paraId="5B679F6E" w14:textId="77777777" w:rsidTr="00554EFA">
        <w:trPr>
          <w:trHeight w:hRule="exact" w:val="288"/>
        </w:trPr>
        <w:tc>
          <w:tcPr>
            <w:tcW w:w="1280" w:type="dxa"/>
            <w:vMerge/>
            <w:tcBorders>
              <w:top w:val="single" w:sz="4" w:space="0" w:color="auto"/>
              <w:left w:val="single" w:sz="4" w:space="0" w:color="auto"/>
              <w:bottom w:val="single" w:sz="4" w:space="0" w:color="000000"/>
              <w:right w:val="single" w:sz="4" w:space="0" w:color="auto"/>
            </w:tcBorders>
            <w:vAlign w:val="center"/>
            <w:hideMark/>
          </w:tcPr>
          <w:p w14:paraId="691FEE5D" w14:textId="77777777" w:rsidR="00554EFA" w:rsidRPr="0055623A" w:rsidRDefault="00554EFA">
            <w:pPr>
              <w:spacing w:line="240" w:lineRule="auto"/>
              <w:rPr>
                <w:rFonts w:ascii="Aptos Narrow" w:hAnsi="Aptos Narrow"/>
                <w:sz w:val="20"/>
                <w:szCs w:val="20"/>
              </w:rPr>
            </w:pPr>
          </w:p>
        </w:tc>
        <w:tc>
          <w:tcPr>
            <w:tcW w:w="1160" w:type="dxa"/>
            <w:tcBorders>
              <w:top w:val="nil"/>
              <w:left w:val="nil"/>
              <w:bottom w:val="single" w:sz="4" w:space="0" w:color="auto"/>
              <w:right w:val="single" w:sz="4" w:space="0" w:color="auto"/>
            </w:tcBorders>
            <w:shd w:val="clear" w:color="auto" w:fill="auto"/>
            <w:noWrap/>
            <w:vAlign w:val="center"/>
            <w:hideMark/>
          </w:tcPr>
          <w:p w14:paraId="09085CDA"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1990</w:t>
            </w:r>
          </w:p>
        </w:tc>
        <w:tc>
          <w:tcPr>
            <w:tcW w:w="1160" w:type="dxa"/>
            <w:tcBorders>
              <w:top w:val="nil"/>
              <w:left w:val="nil"/>
              <w:bottom w:val="single" w:sz="4" w:space="0" w:color="auto"/>
              <w:right w:val="single" w:sz="4" w:space="0" w:color="auto"/>
            </w:tcBorders>
            <w:shd w:val="clear" w:color="auto" w:fill="auto"/>
            <w:noWrap/>
            <w:vAlign w:val="center"/>
            <w:hideMark/>
          </w:tcPr>
          <w:p w14:paraId="20DEBC5D"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2000</w:t>
            </w:r>
          </w:p>
        </w:tc>
        <w:tc>
          <w:tcPr>
            <w:tcW w:w="1160" w:type="dxa"/>
            <w:tcBorders>
              <w:top w:val="nil"/>
              <w:left w:val="nil"/>
              <w:bottom w:val="single" w:sz="4" w:space="0" w:color="auto"/>
              <w:right w:val="single" w:sz="4" w:space="0" w:color="auto"/>
            </w:tcBorders>
            <w:shd w:val="clear" w:color="auto" w:fill="auto"/>
            <w:noWrap/>
            <w:vAlign w:val="center"/>
            <w:hideMark/>
          </w:tcPr>
          <w:p w14:paraId="1BECF2DC"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2010</w:t>
            </w:r>
          </w:p>
        </w:tc>
        <w:tc>
          <w:tcPr>
            <w:tcW w:w="1160" w:type="dxa"/>
            <w:tcBorders>
              <w:top w:val="nil"/>
              <w:left w:val="nil"/>
              <w:bottom w:val="single" w:sz="4" w:space="0" w:color="auto"/>
              <w:right w:val="single" w:sz="4" w:space="0" w:color="auto"/>
            </w:tcBorders>
            <w:shd w:val="clear" w:color="auto" w:fill="auto"/>
            <w:noWrap/>
            <w:vAlign w:val="center"/>
            <w:hideMark/>
          </w:tcPr>
          <w:p w14:paraId="6C2DA8CD"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2020</w:t>
            </w:r>
          </w:p>
        </w:tc>
        <w:tc>
          <w:tcPr>
            <w:tcW w:w="1094" w:type="dxa"/>
            <w:tcBorders>
              <w:top w:val="nil"/>
              <w:left w:val="nil"/>
              <w:bottom w:val="single" w:sz="4" w:space="0" w:color="auto"/>
              <w:right w:val="single" w:sz="4" w:space="0" w:color="auto"/>
            </w:tcBorders>
            <w:shd w:val="clear" w:color="auto" w:fill="auto"/>
            <w:noWrap/>
            <w:vAlign w:val="center"/>
            <w:hideMark/>
          </w:tcPr>
          <w:p w14:paraId="2EB1BA3C"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1990-2000</w:t>
            </w:r>
          </w:p>
        </w:tc>
        <w:tc>
          <w:tcPr>
            <w:tcW w:w="1093" w:type="dxa"/>
            <w:tcBorders>
              <w:top w:val="nil"/>
              <w:left w:val="nil"/>
              <w:bottom w:val="single" w:sz="4" w:space="0" w:color="auto"/>
              <w:right w:val="single" w:sz="4" w:space="0" w:color="auto"/>
            </w:tcBorders>
            <w:shd w:val="clear" w:color="auto" w:fill="auto"/>
            <w:noWrap/>
            <w:vAlign w:val="center"/>
            <w:hideMark/>
          </w:tcPr>
          <w:p w14:paraId="734249B7"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2000-2010</w:t>
            </w:r>
          </w:p>
        </w:tc>
        <w:tc>
          <w:tcPr>
            <w:tcW w:w="1093" w:type="dxa"/>
            <w:tcBorders>
              <w:top w:val="nil"/>
              <w:left w:val="nil"/>
              <w:bottom w:val="nil"/>
              <w:right w:val="single" w:sz="4" w:space="0" w:color="auto"/>
            </w:tcBorders>
            <w:shd w:val="clear" w:color="auto" w:fill="auto"/>
            <w:noWrap/>
            <w:vAlign w:val="center"/>
            <w:hideMark/>
          </w:tcPr>
          <w:p w14:paraId="5112DAFB"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2010-2020</w:t>
            </w:r>
          </w:p>
        </w:tc>
      </w:tr>
      <w:tr w:rsidR="0055623A" w:rsidRPr="0055623A" w14:paraId="4BF32FC1"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315C2D68"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&lt; 1 year</w:t>
            </w:r>
          </w:p>
        </w:tc>
        <w:tc>
          <w:tcPr>
            <w:tcW w:w="1160" w:type="dxa"/>
            <w:tcBorders>
              <w:top w:val="nil"/>
              <w:left w:val="nil"/>
              <w:bottom w:val="nil"/>
              <w:right w:val="nil"/>
            </w:tcBorders>
            <w:shd w:val="clear" w:color="auto" w:fill="auto"/>
            <w:noWrap/>
            <w:vAlign w:val="center"/>
            <w:hideMark/>
          </w:tcPr>
          <w:p w14:paraId="3846BE95"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18%</w:t>
            </w:r>
          </w:p>
        </w:tc>
        <w:tc>
          <w:tcPr>
            <w:tcW w:w="1160" w:type="dxa"/>
            <w:tcBorders>
              <w:top w:val="nil"/>
              <w:left w:val="nil"/>
              <w:bottom w:val="nil"/>
              <w:right w:val="nil"/>
            </w:tcBorders>
            <w:shd w:val="clear" w:color="auto" w:fill="auto"/>
            <w:noWrap/>
            <w:vAlign w:val="center"/>
            <w:hideMark/>
          </w:tcPr>
          <w:p w14:paraId="0D0A1EC4"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single" w:sz="4" w:space="0" w:color="auto"/>
            </w:tcBorders>
            <w:shd w:val="clear" w:color="auto" w:fill="auto"/>
            <w:noWrap/>
            <w:vAlign w:val="center"/>
            <w:hideMark/>
          </w:tcPr>
          <w:p w14:paraId="584B075D"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160" w:type="dxa"/>
            <w:tcBorders>
              <w:top w:val="nil"/>
              <w:left w:val="nil"/>
              <w:bottom w:val="nil"/>
              <w:right w:val="nil"/>
            </w:tcBorders>
            <w:shd w:val="clear" w:color="auto" w:fill="auto"/>
            <w:noWrap/>
            <w:vAlign w:val="center"/>
            <w:hideMark/>
          </w:tcPr>
          <w:p w14:paraId="51666389"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094" w:type="dxa"/>
            <w:tcBorders>
              <w:top w:val="single" w:sz="4" w:space="0" w:color="auto"/>
              <w:left w:val="single" w:sz="4" w:space="0" w:color="auto"/>
              <w:bottom w:val="nil"/>
              <w:right w:val="single" w:sz="4" w:space="0" w:color="auto"/>
            </w:tcBorders>
            <w:shd w:val="clear" w:color="000000" w:fill="91B1DA"/>
            <w:noWrap/>
            <w:vAlign w:val="center"/>
            <w:hideMark/>
          </w:tcPr>
          <w:p w14:paraId="6005560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w:t>
            </w:r>
          </w:p>
        </w:tc>
        <w:tc>
          <w:tcPr>
            <w:tcW w:w="1093" w:type="dxa"/>
            <w:tcBorders>
              <w:top w:val="single" w:sz="4" w:space="0" w:color="auto"/>
              <w:left w:val="nil"/>
              <w:bottom w:val="nil"/>
              <w:right w:val="single" w:sz="4" w:space="0" w:color="auto"/>
            </w:tcBorders>
            <w:shd w:val="clear" w:color="000000" w:fill="FBF7FA"/>
            <w:noWrap/>
            <w:vAlign w:val="center"/>
            <w:hideMark/>
          </w:tcPr>
          <w:p w14:paraId="47C36EBE"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single" w:sz="4" w:space="0" w:color="auto"/>
              <w:left w:val="nil"/>
              <w:bottom w:val="nil"/>
              <w:right w:val="single" w:sz="4" w:space="0" w:color="auto"/>
            </w:tcBorders>
            <w:shd w:val="clear" w:color="000000" w:fill="FBF8FB"/>
            <w:noWrap/>
            <w:vAlign w:val="center"/>
            <w:hideMark/>
          </w:tcPr>
          <w:p w14:paraId="2F7C3B14"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6119DB38"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4B7BCF83"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1 year</w:t>
            </w:r>
          </w:p>
        </w:tc>
        <w:tc>
          <w:tcPr>
            <w:tcW w:w="1160" w:type="dxa"/>
            <w:tcBorders>
              <w:top w:val="nil"/>
              <w:left w:val="nil"/>
              <w:bottom w:val="nil"/>
              <w:right w:val="nil"/>
            </w:tcBorders>
            <w:shd w:val="clear" w:color="auto" w:fill="auto"/>
            <w:noWrap/>
            <w:vAlign w:val="center"/>
            <w:hideMark/>
          </w:tcPr>
          <w:p w14:paraId="67D4AA9B"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22%</w:t>
            </w:r>
          </w:p>
        </w:tc>
        <w:tc>
          <w:tcPr>
            <w:tcW w:w="1160" w:type="dxa"/>
            <w:tcBorders>
              <w:top w:val="nil"/>
              <w:left w:val="nil"/>
              <w:bottom w:val="nil"/>
              <w:right w:val="nil"/>
            </w:tcBorders>
            <w:shd w:val="clear" w:color="auto" w:fill="auto"/>
            <w:noWrap/>
            <w:vAlign w:val="center"/>
            <w:hideMark/>
          </w:tcPr>
          <w:p w14:paraId="64A1EA3A"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single" w:sz="4" w:space="0" w:color="auto"/>
            </w:tcBorders>
            <w:shd w:val="clear" w:color="auto" w:fill="auto"/>
            <w:noWrap/>
            <w:vAlign w:val="center"/>
            <w:hideMark/>
          </w:tcPr>
          <w:p w14:paraId="32A39ED1"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4A109968"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094" w:type="dxa"/>
            <w:tcBorders>
              <w:top w:val="nil"/>
              <w:left w:val="single" w:sz="4" w:space="0" w:color="auto"/>
              <w:bottom w:val="nil"/>
              <w:right w:val="single" w:sz="4" w:space="0" w:color="auto"/>
            </w:tcBorders>
            <w:shd w:val="clear" w:color="000000" w:fill="FAB8BA"/>
            <w:noWrap/>
            <w:vAlign w:val="center"/>
            <w:hideMark/>
          </w:tcPr>
          <w:p w14:paraId="79DA10AE"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w:t>
            </w:r>
          </w:p>
        </w:tc>
        <w:tc>
          <w:tcPr>
            <w:tcW w:w="1093" w:type="dxa"/>
            <w:tcBorders>
              <w:top w:val="nil"/>
              <w:left w:val="nil"/>
              <w:bottom w:val="nil"/>
              <w:right w:val="single" w:sz="4" w:space="0" w:color="auto"/>
            </w:tcBorders>
            <w:shd w:val="clear" w:color="000000" w:fill="FBF3F6"/>
            <w:noWrap/>
            <w:vAlign w:val="center"/>
            <w:hideMark/>
          </w:tcPr>
          <w:p w14:paraId="3DBEE49D"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FBF0F3"/>
            <w:noWrap/>
            <w:vAlign w:val="center"/>
            <w:hideMark/>
          </w:tcPr>
          <w:p w14:paraId="5F55292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797C5DE6"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37FBE9CE"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2 years</w:t>
            </w:r>
          </w:p>
        </w:tc>
        <w:tc>
          <w:tcPr>
            <w:tcW w:w="1160" w:type="dxa"/>
            <w:tcBorders>
              <w:top w:val="nil"/>
              <w:left w:val="nil"/>
              <w:bottom w:val="nil"/>
              <w:right w:val="nil"/>
            </w:tcBorders>
            <w:shd w:val="clear" w:color="auto" w:fill="auto"/>
            <w:noWrap/>
            <w:vAlign w:val="center"/>
            <w:hideMark/>
          </w:tcPr>
          <w:p w14:paraId="56456458"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21%</w:t>
            </w:r>
          </w:p>
        </w:tc>
        <w:tc>
          <w:tcPr>
            <w:tcW w:w="1160" w:type="dxa"/>
            <w:tcBorders>
              <w:top w:val="nil"/>
              <w:left w:val="nil"/>
              <w:bottom w:val="nil"/>
              <w:right w:val="nil"/>
            </w:tcBorders>
            <w:shd w:val="clear" w:color="auto" w:fill="auto"/>
            <w:noWrap/>
            <w:vAlign w:val="center"/>
            <w:hideMark/>
          </w:tcPr>
          <w:p w14:paraId="3F275C03"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single" w:sz="4" w:space="0" w:color="auto"/>
            </w:tcBorders>
            <w:shd w:val="clear" w:color="auto" w:fill="auto"/>
            <w:noWrap/>
            <w:vAlign w:val="center"/>
            <w:hideMark/>
          </w:tcPr>
          <w:p w14:paraId="6401A2F9"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2DD61A07"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094" w:type="dxa"/>
            <w:tcBorders>
              <w:top w:val="nil"/>
              <w:left w:val="single" w:sz="4" w:space="0" w:color="auto"/>
              <w:bottom w:val="nil"/>
              <w:right w:val="single" w:sz="4" w:space="0" w:color="auto"/>
            </w:tcBorders>
            <w:shd w:val="clear" w:color="000000" w:fill="FBDFE2"/>
            <w:noWrap/>
            <w:vAlign w:val="center"/>
            <w:hideMark/>
          </w:tcPr>
          <w:p w14:paraId="09B143C8"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nil"/>
              <w:right w:val="single" w:sz="4" w:space="0" w:color="auto"/>
            </w:tcBorders>
            <w:shd w:val="clear" w:color="000000" w:fill="E6EDF8"/>
            <w:noWrap/>
            <w:vAlign w:val="center"/>
            <w:hideMark/>
          </w:tcPr>
          <w:p w14:paraId="7081FCD6"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FBF5F8"/>
            <w:noWrap/>
            <w:vAlign w:val="center"/>
            <w:hideMark/>
          </w:tcPr>
          <w:p w14:paraId="45CD8BE3"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6715F169"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332B49F9"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3 years</w:t>
            </w:r>
          </w:p>
        </w:tc>
        <w:tc>
          <w:tcPr>
            <w:tcW w:w="1160" w:type="dxa"/>
            <w:tcBorders>
              <w:top w:val="nil"/>
              <w:left w:val="nil"/>
              <w:bottom w:val="nil"/>
              <w:right w:val="nil"/>
            </w:tcBorders>
            <w:shd w:val="clear" w:color="auto" w:fill="auto"/>
            <w:noWrap/>
            <w:vAlign w:val="center"/>
            <w:hideMark/>
          </w:tcPr>
          <w:p w14:paraId="1EC1B465"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08323F7E"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single" w:sz="4" w:space="0" w:color="auto"/>
            </w:tcBorders>
            <w:shd w:val="clear" w:color="auto" w:fill="auto"/>
            <w:noWrap/>
            <w:vAlign w:val="center"/>
            <w:hideMark/>
          </w:tcPr>
          <w:p w14:paraId="0ABA6C1D"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2CD255E0"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094" w:type="dxa"/>
            <w:tcBorders>
              <w:top w:val="nil"/>
              <w:left w:val="single" w:sz="4" w:space="0" w:color="auto"/>
              <w:bottom w:val="nil"/>
              <w:right w:val="single" w:sz="4" w:space="0" w:color="auto"/>
            </w:tcBorders>
            <w:shd w:val="clear" w:color="000000" w:fill="ECF1FA"/>
            <w:noWrap/>
            <w:vAlign w:val="center"/>
            <w:hideMark/>
          </w:tcPr>
          <w:p w14:paraId="1C3534D7"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E9EFF9"/>
            <w:noWrap/>
            <w:vAlign w:val="center"/>
            <w:hideMark/>
          </w:tcPr>
          <w:p w14:paraId="4038D401"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F6F8FD"/>
            <w:noWrap/>
            <w:vAlign w:val="center"/>
            <w:hideMark/>
          </w:tcPr>
          <w:p w14:paraId="5F29F12B"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0CCA109C" w14:textId="77777777" w:rsidTr="00554EFA">
        <w:trPr>
          <w:trHeight w:hRule="exact" w:val="288"/>
        </w:trPr>
        <w:tc>
          <w:tcPr>
            <w:tcW w:w="1280" w:type="dxa"/>
            <w:tcBorders>
              <w:top w:val="nil"/>
              <w:left w:val="single" w:sz="4" w:space="0" w:color="auto"/>
              <w:bottom w:val="single" w:sz="4" w:space="0" w:color="auto"/>
              <w:right w:val="nil"/>
            </w:tcBorders>
            <w:shd w:val="clear" w:color="auto" w:fill="auto"/>
            <w:noWrap/>
            <w:vAlign w:val="bottom"/>
            <w:hideMark/>
          </w:tcPr>
          <w:p w14:paraId="4FDB2D79"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4 years</w:t>
            </w:r>
          </w:p>
        </w:tc>
        <w:tc>
          <w:tcPr>
            <w:tcW w:w="1160" w:type="dxa"/>
            <w:tcBorders>
              <w:top w:val="nil"/>
              <w:left w:val="nil"/>
              <w:bottom w:val="single" w:sz="4" w:space="0" w:color="auto"/>
              <w:right w:val="nil"/>
            </w:tcBorders>
            <w:shd w:val="clear" w:color="auto" w:fill="auto"/>
            <w:noWrap/>
            <w:vAlign w:val="center"/>
            <w:hideMark/>
          </w:tcPr>
          <w:p w14:paraId="266C5D1D"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single" w:sz="4" w:space="0" w:color="auto"/>
              <w:right w:val="nil"/>
            </w:tcBorders>
            <w:shd w:val="clear" w:color="auto" w:fill="auto"/>
            <w:noWrap/>
            <w:vAlign w:val="center"/>
            <w:hideMark/>
          </w:tcPr>
          <w:p w14:paraId="263CF96E"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21%</w:t>
            </w:r>
          </w:p>
        </w:tc>
        <w:tc>
          <w:tcPr>
            <w:tcW w:w="1160" w:type="dxa"/>
            <w:tcBorders>
              <w:top w:val="nil"/>
              <w:left w:val="nil"/>
              <w:bottom w:val="single" w:sz="4" w:space="0" w:color="auto"/>
              <w:right w:val="single" w:sz="4" w:space="0" w:color="auto"/>
            </w:tcBorders>
            <w:shd w:val="clear" w:color="auto" w:fill="auto"/>
            <w:noWrap/>
            <w:vAlign w:val="center"/>
            <w:hideMark/>
          </w:tcPr>
          <w:p w14:paraId="0C39A6EA"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single" w:sz="4" w:space="0" w:color="auto"/>
              <w:right w:val="nil"/>
            </w:tcBorders>
            <w:shd w:val="clear" w:color="auto" w:fill="auto"/>
            <w:noWrap/>
            <w:vAlign w:val="center"/>
            <w:hideMark/>
          </w:tcPr>
          <w:p w14:paraId="1AC50A18"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21%</w:t>
            </w:r>
          </w:p>
        </w:tc>
        <w:tc>
          <w:tcPr>
            <w:tcW w:w="1094" w:type="dxa"/>
            <w:tcBorders>
              <w:top w:val="nil"/>
              <w:left w:val="single" w:sz="4" w:space="0" w:color="auto"/>
              <w:bottom w:val="single" w:sz="4" w:space="0" w:color="auto"/>
              <w:right w:val="single" w:sz="4" w:space="0" w:color="auto"/>
            </w:tcBorders>
            <w:shd w:val="clear" w:color="000000" w:fill="C9D8ED"/>
            <w:noWrap/>
            <w:vAlign w:val="center"/>
            <w:hideMark/>
          </w:tcPr>
          <w:p w14:paraId="1420FF35"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single" w:sz="4" w:space="0" w:color="auto"/>
              <w:right w:val="single" w:sz="4" w:space="0" w:color="auto"/>
            </w:tcBorders>
            <w:shd w:val="clear" w:color="000000" w:fill="FBF5F8"/>
            <w:noWrap/>
            <w:vAlign w:val="center"/>
            <w:hideMark/>
          </w:tcPr>
          <w:p w14:paraId="50EB487A"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single" w:sz="4" w:space="0" w:color="auto"/>
              <w:right w:val="single" w:sz="4" w:space="0" w:color="auto"/>
            </w:tcBorders>
            <w:shd w:val="clear" w:color="000000" w:fill="D5E1F2"/>
            <w:noWrap/>
            <w:vAlign w:val="center"/>
            <w:hideMark/>
          </w:tcPr>
          <w:p w14:paraId="6D48614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r>
      <w:tr w:rsidR="0055623A" w:rsidRPr="0055623A" w14:paraId="56C43841"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3EEBDC5B"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5 years</w:t>
            </w:r>
          </w:p>
        </w:tc>
        <w:tc>
          <w:tcPr>
            <w:tcW w:w="1160" w:type="dxa"/>
            <w:tcBorders>
              <w:top w:val="nil"/>
              <w:left w:val="nil"/>
              <w:bottom w:val="nil"/>
              <w:right w:val="nil"/>
            </w:tcBorders>
            <w:shd w:val="clear" w:color="auto" w:fill="auto"/>
            <w:noWrap/>
            <w:vAlign w:val="center"/>
            <w:hideMark/>
          </w:tcPr>
          <w:p w14:paraId="797164EC"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21%</w:t>
            </w:r>
          </w:p>
        </w:tc>
        <w:tc>
          <w:tcPr>
            <w:tcW w:w="1160" w:type="dxa"/>
            <w:tcBorders>
              <w:top w:val="nil"/>
              <w:left w:val="nil"/>
              <w:bottom w:val="nil"/>
              <w:right w:val="nil"/>
            </w:tcBorders>
            <w:shd w:val="clear" w:color="auto" w:fill="auto"/>
            <w:noWrap/>
            <w:vAlign w:val="center"/>
            <w:hideMark/>
          </w:tcPr>
          <w:p w14:paraId="0E39B816"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160" w:type="dxa"/>
            <w:tcBorders>
              <w:top w:val="nil"/>
              <w:left w:val="nil"/>
              <w:bottom w:val="nil"/>
              <w:right w:val="single" w:sz="4" w:space="0" w:color="auto"/>
            </w:tcBorders>
            <w:shd w:val="clear" w:color="auto" w:fill="auto"/>
            <w:noWrap/>
            <w:vAlign w:val="center"/>
            <w:hideMark/>
          </w:tcPr>
          <w:p w14:paraId="5757CB54"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5E203D37"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094" w:type="dxa"/>
            <w:tcBorders>
              <w:top w:val="nil"/>
              <w:left w:val="single" w:sz="4" w:space="0" w:color="auto"/>
              <w:bottom w:val="nil"/>
              <w:right w:val="single" w:sz="4" w:space="0" w:color="auto"/>
            </w:tcBorders>
            <w:shd w:val="clear" w:color="000000" w:fill="FAC2C4"/>
            <w:noWrap/>
            <w:vAlign w:val="center"/>
            <w:hideMark/>
          </w:tcPr>
          <w:p w14:paraId="15D94FC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w:t>
            </w:r>
          </w:p>
        </w:tc>
        <w:tc>
          <w:tcPr>
            <w:tcW w:w="1093" w:type="dxa"/>
            <w:tcBorders>
              <w:top w:val="nil"/>
              <w:left w:val="nil"/>
              <w:bottom w:val="nil"/>
              <w:right w:val="single" w:sz="4" w:space="0" w:color="auto"/>
            </w:tcBorders>
            <w:shd w:val="clear" w:color="000000" w:fill="EBF0F9"/>
            <w:noWrap/>
            <w:vAlign w:val="center"/>
            <w:hideMark/>
          </w:tcPr>
          <w:p w14:paraId="4CD77018"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F9FAFE"/>
            <w:noWrap/>
            <w:vAlign w:val="center"/>
            <w:hideMark/>
          </w:tcPr>
          <w:p w14:paraId="7FF435E3"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24A7477A"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40AEF9F1"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6 years</w:t>
            </w:r>
          </w:p>
        </w:tc>
        <w:tc>
          <w:tcPr>
            <w:tcW w:w="1160" w:type="dxa"/>
            <w:tcBorders>
              <w:top w:val="nil"/>
              <w:left w:val="nil"/>
              <w:bottom w:val="nil"/>
              <w:right w:val="nil"/>
            </w:tcBorders>
            <w:shd w:val="clear" w:color="auto" w:fill="auto"/>
            <w:noWrap/>
            <w:vAlign w:val="center"/>
            <w:hideMark/>
          </w:tcPr>
          <w:p w14:paraId="13B774B6"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00051BA6"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160" w:type="dxa"/>
            <w:tcBorders>
              <w:top w:val="nil"/>
              <w:left w:val="nil"/>
              <w:bottom w:val="nil"/>
              <w:right w:val="single" w:sz="4" w:space="0" w:color="auto"/>
            </w:tcBorders>
            <w:shd w:val="clear" w:color="auto" w:fill="auto"/>
            <w:noWrap/>
            <w:vAlign w:val="center"/>
            <w:hideMark/>
          </w:tcPr>
          <w:p w14:paraId="5F026540"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79F3400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094" w:type="dxa"/>
            <w:tcBorders>
              <w:top w:val="nil"/>
              <w:left w:val="single" w:sz="4" w:space="0" w:color="auto"/>
              <w:bottom w:val="nil"/>
              <w:right w:val="single" w:sz="4" w:space="0" w:color="auto"/>
            </w:tcBorders>
            <w:shd w:val="clear" w:color="000000" w:fill="FBE8EB"/>
            <w:noWrap/>
            <w:vAlign w:val="center"/>
            <w:hideMark/>
          </w:tcPr>
          <w:p w14:paraId="03ED782A"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nil"/>
              <w:right w:val="single" w:sz="4" w:space="0" w:color="auto"/>
            </w:tcBorders>
            <w:shd w:val="clear" w:color="000000" w:fill="DEE7F5"/>
            <w:noWrap/>
            <w:vAlign w:val="center"/>
            <w:hideMark/>
          </w:tcPr>
          <w:p w14:paraId="48278859"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FBF0F3"/>
            <w:noWrap/>
            <w:vAlign w:val="center"/>
            <w:hideMark/>
          </w:tcPr>
          <w:p w14:paraId="2FA694CD"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7482D39B"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406DE657"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7 years</w:t>
            </w:r>
          </w:p>
        </w:tc>
        <w:tc>
          <w:tcPr>
            <w:tcW w:w="1160" w:type="dxa"/>
            <w:tcBorders>
              <w:top w:val="nil"/>
              <w:left w:val="nil"/>
              <w:bottom w:val="nil"/>
              <w:right w:val="nil"/>
            </w:tcBorders>
            <w:shd w:val="clear" w:color="auto" w:fill="auto"/>
            <w:noWrap/>
            <w:vAlign w:val="center"/>
            <w:hideMark/>
          </w:tcPr>
          <w:p w14:paraId="532A7B56"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1FCA6304"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single" w:sz="4" w:space="0" w:color="auto"/>
            </w:tcBorders>
            <w:shd w:val="clear" w:color="auto" w:fill="auto"/>
            <w:noWrap/>
            <w:vAlign w:val="center"/>
            <w:hideMark/>
          </w:tcPr>
          <w:p w14:paraId="324562F3"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2AF1DD98"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094" w:type="dxa"/>
            <w:tcBorders>
              <w:top w:val="nil"/>
              <w:left w:val="single" w:sz="4" w:space="0" w:color="auto"/>
              <w:bottom w:val="nil"/>
              <w:right w:val="single" w:sz="4" w:space="0" w:color="auto"/>
            </w:tcBorders>
            <w:shd w:val="clear" w:color="000000" w:fill="F5F7FD"/>
            <w:noWrap/>
            <w:vAlign w:val="center"/>
            <w:hideMark/>
          </w:tcPr>
          <w:p w14:paraId="1BCED77A"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FBF8FB"/>
            <w:noWrap/>
            <w:vAlign w:val="center"/>
            <w:hideMark/>
          </w:tcPr>
          <w:p w14:paraId="692D3331"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F3F6FC"/>
            <w:noWrap/>
            <w:vAlign w:val="center"/>
            <w:hideMark/>
          </w:tcPr>
          <w:p w14:paraId="0611D0C5"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23315301"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59FCCA6F"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8 years</w:t>
            </w:r>
          </w:p>
        </w:tc>
        <w:tc>
          <w:tcPr>
            <w:tcW w:w="1160" w:type="dxa"/>
            <w:tcBorders>
              <w:top w:val="nil"/>
              <w:left w:val="nil"/>
              <w:bottom w:val="nil"/>
              <w:right w:val="nil"/>
            </w:tcBorders>
            <w:shd w:val="clear" w:color="auto" w:fill="auto"/>
            <w:noWrap/>
            <w:vAlign w:val="center"/>
            <w:hideMark/>
          </w:tcPr>
          <w:p w14:paraId="51EED82B"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160" w:type="dxa"/>
            <w:tcBorders>
              <w:top w:val="nil"/>
              <w:left w:val="nil"/>
              <w:bottom w:val="nil"/>
              <w:right w:val="nil"/>
            </w:tcBorders>
            <w:shd w:val="clear" w:color="auto" w:fill="auto"/>
            <w:noWrap/>
            <w:vAlign w:val="center"/>
            <w:hideMark/>
          </w:tcPr>
          <w:p w14:paraId="52E7CD46"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single" w:sz="4" w:space="0" w:color="auto"/>
            </w:tcBorders>
            <w:shd w:val="clear" w:color="auto" w:fill="auto"/>
            <w:noWrap/>
            <w:vAlign w:val="center"/>
            <w:hideMark/>
          </w:tcPr>
          <w:p w14:paraId="21BAE699"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1A2D5234"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094" w:type="dxa"/>
            <w:tcBorders>
              <w:top w:val="nil"/>
              <w:left w:val="single" w:sz="4" w:space="0" w:color="auto"/>
              <w:bottom w:val="nil"/>
              <w:right w:val="single" w:sz="4" w:space="0" w:color="auto"/>
            </w:tcBorders>
            <w:shd w:val="clear" w:color="000000" w:fill="BFD1EA"/>
            <w:noWrap/>
            <w:vAlign w:val="center"/>
            <w:hideMark/>
          </w:tcPr>
          <w:p w14:paraId="57B74777"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nil"/>
              <w:right w:val="single" w:sz="4" w:space="0" w:color="auto"/>
            </w:tcBorders>
            <w:shd w:val="clear" w:color="000000" w:fill="FBF8FB"/>
            <w:noWrap/>
            <w:vAlign w:val="center"/>
            <w:hideMark/>
          </w:tcPr>
          <w:p w14:paraId="2D3D9160"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EBF0F9"/>
            <w:noWrap/>
            <w:vAlign w:val="center"/>
            <w:hideMark/>
          </w:tcPr>
          <w:p w14:paraId="2DFECDFE"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1F7E177F" w14:textId="77777777" w:rsidTr="00554EFA">
        <w:trPr>
          <w:trHeight w:hRule="exact" w:val="288"/>
        </w:trPr>
        <w:tc>
          <w:tcPr>
            <w:tcW w:w="1280" w:type="dxa"/>
            <w:tcBorders>
              <w:top w:val="nil"/>
              <w:left w:val="single" w:sz="4" w:space="0" w:color="auto"/>
              <w:bottom w:val="single" w:sz="4" w:space="0" w:color="auto"/>
              <w:right w:val="nil"/>
            </w:tcBorders>
            <w:shd w:val="clear" w:color="auto" w:fill="auto"/>
            <w:noWrap/>
            <w:vAlign w:val="bottom"/>
            <w:hideMark/>
          </w:tcPr>
          <w:p w14:paraId="364A1D03"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lastRenderedPageBreak/>
              <w:t xml:space="preserve"> 9 years</w:t>
            </w:r>
          </w:p>
        </w:tc>
        <w:tc>
          <w:tcPr>
            <w:tcW w:w="1160" w:type="dxa"/>
            <w:tcBorders>
              <w:top w:val="nil"/>
              <w:left w:val="nil"/>
              <w:bottom w:val="single" w:sz="4" w:space="0" w:color="auto"/>
              <w:right w:val="nil"/>
            </w:tcBorders>
            <w:shd w:val="clear" w:color="auto" w:fill="auto"/>
            <w:noWrap/>
            <w:vAlign w:val="center"/>
            <w:hideMark/>
          </w:tcPr>
          <w:p w14:paraId="5447D926"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single" w:sz="4" w:space="0" w:color="auto"/>
              <w:right w:val="nil"/>
            </w:tcBorders>
            <w:shd w:val="clear" w:color="auto" w:fill="auto"/>
            <w:noWrap/>
            <w:vAlign w:val="center"/>
            <w:hideMark/>
          </w:tcPr>
          <w:p w14:paraId="63627792"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21%</w:t>
            </w:r>
          </w:p>
        </w:tc>
        <w:tc>
          <w:tcPr>
            <w:tcW w:w="1160" w:type="dxa"/>
            <w:tcBorders>
              <w:top w:val="nil"/>
              <w:left w:val="nil"/>
              <w:bottom w:val="single" w:sz="4" w:space="0" w:color="auto"/>
              <w:right w:val="single" w:sz="4" w:space="0" w:color="auto"/>
            </w:tcBorders>
            <w:shd w:val="clear" w:color="auto" w:fill="auto"/>
            <w:noWrap/>
            <w:vAlign w:val="center"/>
            <w:hideMark/>
          </w:tcPr>
          <w:p w14:paraId="5392040A"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single" w:sz="4" w:space="0" w:color="auto"/>
              <w:right w:val="nil"/>
            </w:tcBorders>
            <w:shd w:val="clear" w:color="auto" w:fill="auto"/>
            <w:noWrap/>
            <w:vAlign w:val="center"/>
            <w:hideMark/>
          </w:tcPr>
          <w:p w14:paraId="23B1D1F8"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094" w:type="dxa"/>
            <w:tcBorders>
              <w:top w:val="nil"/>
              <w:left w:val="single" w:sz="4" w:space="0" w:color="auto"/>
              <w:bottom w:val="single" w:sz="4" w:space="0" w:color="auto"/>
              <w:right w:val="single" w:sz="4" w:space="0" w:color="auto"/>
            </w:tcBorders>
            <w:shd w:val="clear" w:color="000000" w:fill="B3C9E6"/>
            <w:noWrap/>
            <w:vAlign w:val="center"/>
            <w:hideMark/>
          </w:tcPr>
          <w:p w14:paraId="77D0E4DE"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single" w:sz="4" w:space="0" w:color="auto"/>
              <w:right w:val="single" w:sz="4" w:space="0" w:color="auto"/>
            </w:tcBorders>
            <w:shd w:val="clear" w:color="000000" w:fill="FBECEF"/>
            <w:noWrap/>
            <w:vAlign w:val="center"/>
            <w:hideMark/>
          </w:tcPr>
          <w:p w14:paraId="23E90752"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single" w:sz="4" w:space="0" w:color="auto"/>
              <w:right w:val="single" w:sz="4" w:space="0" w:color="auto"/>
            </w:tcBorders>
            <w:shd w:val="clear" w:color="000000" w:fill="FBFAFD"/>
            <w:noWrap/>
            <w:vAlign w:val="center"/>
            <w:hideMark/>
          </w:tcPr>
          <w:p w14:paraId="3DCA9334"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454937B8"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4358224D"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10 years</w:t>
            </w:r>
          </w:p>
        </w:tc>
        <w:tc>
          <w:tcPr>
            <w:tcW w:w="1160" w:type="dxa"/>
            <w:tcBorders>
              <w:top w:val="nil"/>
              <w:left w:val="nil"/>
              <w:bottom w:val="nil"/>
              <w:right w:val="nil"/>
            </w:tcBorders>
            <w:shd w:val="clear" w:color="auto" w:fill="auto"/>
            <w:noWrap/>
            <w:vAlign w:val="center"/>
            <w:hideMark/>
          </w:tcPr>
          <w:p w14:paraId="2728C289"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21%</w:t>
            </w:r>
          </w:p>
        </w:tc>
        <w:tc>
          <w:tcPr>
            <w:tcW w:w="1160" w:type="dxa"/>
            <w:tcBorders>
              <w:top w:val="nil"/>
              <w:left w:val="nil"/>
              <w:bottom w:val="nil"/>
              <w:right w:val="nil"/>
            </w:tcBorders>
            <w:shd w:val="clear" w:color="auto" w:fill="auto"/>
            <w:noWrap/>
            <w:vAlign w:val="center"/>
            <w:hideMark/>
          </w:tcPr>
          <w:p w14:paraId="61BBBE16"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21%</w:t>
            </w:r>
          </w:p>
        </w:tc>
        <w:tc>
          <w:tcPr>
            <w:tcW w:w="1160" w:type="dxa"/>
            <w:tcBorders>
              <w:top w:val="nil"/>
              <w:left w:val="nil"/>
              <w:bottom w:val="nil"/>
              <w:right w:val="single" w:sz="4" w:space="0" w:color="auto"/>
            </w:tcBorders>
            <w:shd w:val="clear" w:color="auto" w:fill="auto"/>
            <w:noWrap/>
            <w:vAlign w:val="center"/>
            <w:hideMark/>
          </w:tcPr>
          <w:p w14:paraId="7A78344B"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707B2D6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094" w:type="dxa"/>
            <w:tcBorders>
              <w:top w:val="nil"/>
              <w:left w:val="single" w:sz="4" w:space="0" w:color="auto"/>
              <w:bottom w:val="nil"/>
              <w:right w:val="single" w:sz="4" w:space="0" w:color="auto"/>
            </w:tcBorders>
            <w:shd w:val="clear" w:color="000000" w:fill="FBF5F8"/>
            <w:noWrap/>
            <w:vAlign w:val="center"/>
            <w:hideMark/>
          </w:tcPr>
          <w:p w14:paraId="408AF5D5"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FAD0D3"/>
            <w:noWrap/>
            <w:vAlign w:val="center"/>
            <w:hideMark/>
          </w:tcPr>
          <w:p w14:paraId="2E05C59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nil"/>
              <w:right w:val="single" w:sz="4" w:space="0" w:color="auto"/>
            </w:tcBorders>
            <w:shd w:val="clear" w:color="000000" w:fill="FBF5F8"/>
            <w:noWrap/>
            <w:vAlign w:val="center"/>
            <w:hideMark/>
          </w:tcPr>
          <w:p w14:paraId="2E7B250D"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04731CB9"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24EB5913"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11 years</w:t>
            </w:r>
          </w:p>
        </w:tc>
        <w:tc>
          <w:tcPr>
            <w:tcW w:w="1160" w:type="dxa"/>
            <w:tcBorders>
              <w:top w:val="nil"/>
              <w:left w:val="nil"/>
              <w:bottom w:val="nil"/>
              <w:right w:val="nil"/>
            </w:tcBorders>
            <w:shd w:val="clear" w:color="auto" w:fill="auto"/>
            <w:noWrap/>
            <w:vAlign w:val="center"/>
            <w:hideMark/>
          </w:tcPr>
          <w:p w14:paraId="73C4EF76"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65237F98"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single" w:sz="4" w:space="0" w:color="auto"/>
            </w:tcBorders>
            <w:shd w:val="clear" w:color="auto" w:fill="auto"/>
            <w:noWrap/>
            <w:vAlign w:val="center"/>
            <w:hideMark/>
          </w:tcPr>
          <w:p w14:paraId="1DE2E2A2"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241D105C"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094" w:type="dxa"/>
            <w:tcBorders>
              <w:top w:val="nil"/>
              <w:left w:val="single" w:sz="4" w:space="0" w:color="auto"/>
              <w:bottom w:val="nil"/>
              <w:right w:val="single" w:sz="4" w:space="0" w:color="auto"/>
            </w:tcBorders>
            <w:shd w:val="clear" w:color="000000" w:fill="FBF6F9"/>
            <w:noWrap/>
            <w:vAlign w:val="center"/>
            <w:hideMark/>
          </w:tcPr>
          <w:p w14:paraId="0A09530C"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FBF2F4"/>
            <w:noWrap/>
            <w:vAlign w:val="center"/>
            <w:hideMark/>
          </w:tcPr>
          <w:p w14:paraId="22C39AA0"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FBF4F7"/>
            <w:noWrap/>
            <w:vAlign w:val="center"/>
            <w:hideMark/>
          </w:tcPr>
          <w:p w14:paraId="450FA67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746EEBB6"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4F219CBA"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12 years</w:t>
            </w:r>
          </w:p>
        </w:tc>
        <w:tc>
          <w:tcPr>
            <w:tcW w:w="1160" w:type="dxa"/>
            <w:tcBorders>
              <w:top w:val="nil"/>
              <w:left w:val="nil"/>
              <w:bottom w:val="nil"/>
              <w:right w:val="nil"/>
            </w:tcBorders>
            <w:shd w:val="clear" w:color="auto" w:fill="auto"/>
            <w:noWrap/>
            <w:vAlign w:val="center"/>
            <w:hideMark/>
          </w:tcPr>
          <w:p w14:paraId="57867C43"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5D59F75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single" w:sz="4" w:space="0" w:color="auto"/>
            </w:tcBorders>
            <w:shd w:val="clear" w:color="auto" w:fill="auto"/>
            <w:noWrap/>
            <w:vAlign w:val="center"/>
            <w:hideMark/>
          </w:tcPr>
          <w:p w14:paraId="5F73D9F7"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7A7DCC7E"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094" w:type="dxa"/>
            <w:tcBorders>
              <w:top w:val="nil"/>
              <w:left w:val="single" w:sz="4" w:space="0" w:color="auto"/>
              <w:bottom w:val="nil"/>
              <w:right w:val="single" w:sz="4" w:space="0" w:color="auto"/>
            </w:tcBorders>
            <w:shd w:val="clear" w:color="000000" w:fill="F6F8FD"/>
            <w:noWrap/>
            <w:vAlign w:val="center"/>
            <w:hideMark/>
          </w:tcPr>
          <w:p w14:paraId="471AEFF7"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FBF6F9"/>
            <w:noWrap/>
            <w:vAlign w:val="center"/>
            <w:hideMark/>
          </w:tcPr>
          <w:p w14:paraId="6F74A9AC"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D7E2F2"/>
            <w:noWrap/>
            <w:vAlign w:val="center"/>
            <w:hideMark/>
          </w:tcPr>
          <w:p w14:paraId="699E2E9B"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r>
      <w:tr w:rsidR="0055623A" w:rsidRPr="0055623A" w14:paraId="6924C80F"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5E55AB89"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13 years</w:t>
            </w:r>
          </w:p>
        </w:tc>
        <w:tc>
          <w:tcPr>
            <w:tcW w:w="1160" w:type="dxa"/>
            <w:tcBorders>
              <w:top w:val="nil"/>
              <w:left w:val="nil"/>
              <w:bottom w:val="nil"/>
              <w:right w:val="nil"/>
            </w:tcBorders>
            <w:shd w:val="clear" w:color="auto" w:fill="auto"/>
            <w:noWrap/>
            <w:vAlign w:val="center"/>
            <w:hideMark/>
          </w:tcPr>
          <w:p w14:paraId="17A2A1E1"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160" w:type="dxa"/>
            <w:tcBorders>
              <w:top w:val="nil"/>
              <w:left w:val="nil"/>
              <w:bottom w:val="nil"/>
              <w:right w:val="nil"/>
            </w:tcBorders>
            <w:shd w:val="clear" w:color="auto" w:fill="auto"/>
            <w:noWrap/>
            <w:vAlign w:val="center"/>
            <w:hideMark/>
          </w:tcPr>
          <w:p w14:paraId="5528F8EC"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160" w:type="dxa"/>
            <w:tcBorders>
              <w:top w:val="nil"/>
              <w:left w:val="nil"/>
              <w:bottom w:val="nil"/>
              <w:right w:val="single" w:sz="4" w:space="0" w:color="auto"/>
            </w:tcBorders>
            <w:shd w:val="clear" w:color="auto" w:fill="auto"/>
            <w:noWrap/>
            <w:vAlign w:val="center"/>
            <w:hideMark/>
          </w:tcPr>
          <w:p w14:paraId="1FE25AD1"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nil"/>
            </w:tcBorders>
            <w:shd w:val="clear" w:color="auto" w:fill="auto"/>
            <w:noWrap/>
            <w:vAlign w:val="center"/>
            <w:hideMark/>
          </w:tcPr>
          <w:p w14:paraId="49C2B8AD"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094" w:type="dxa"/>
            <w:tcBorders>
              <w:top w:val="nil"/>
              <w:left w:val="single" w:sz="4" w:space="0" w:color="auto"/>
              <w:bottom w:val="nil"/>
              <w:right w:val="single" w:sz="4" w:space="0" w:color="auto"/>
            </w:tcBorders>
            <w:shd w:val="clear" w:color="000000" w:fill="F3F6FC"/>
            <w:noWrap/>
            <w:vAlign w:val="center"/>
            <w:hideMark/>
          </w:tcPr>
          <w:p w14:paraId="4E3399E4"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D0DDF0"/>
            <w:noWrap/>
            <w:vAlign w:val="center"/>
            <w:hideMark/>
          </w:tcPr>
          <w:p w14:paraId="2CA39FE3"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nil"/>
              <w:right w:val="single" w:sz="4" w:space="0" w:color="auto"/>
            </w:tcBorders>
            <w:shd w:val="clear" w:color="000000" w:fill="EDF1FA"/>
            <w:noWrap/>
            <w:vAlign w:val="center"/>
            <w:hideMark/>
          </w:tcPr>
          <w:p w14:paraId="1C399C10"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77F57799" w14:textId="77777777" w:rsidTr="00554EFA">
        <w:trPr>
          <w:trHeight w:hRule="exact" w:val="288"/>
        </w:trPr>
        <w:tc>
          <w:tcPr>
            <w:tcW w:w="1280" w:type="dxa"/>
            <w:tcBorders>
              <w:top w:val="nil"/>
              <w:left w:val="single" w:sz="4" w:space="0" w:color="auto"/>
              <w:bottom w:val="single" w:sz="4" w:space="0" w:color="auto"/>
              <w:right w:val="nil"/>
            </w:tcBorders>
            <w:shd w:val="clear" w:color="auto" w:fill="auto"/>
            <w:noWrap/>
            <w:vAlign w:val="bottom"/>
            <w:hideMark/>
          </w:tcPr>
          <w:p w14:paraId="431BD4C5"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14 years</w:t>
            </w:r>
          </w:p>
        </w:tc>
        <w:tc>
          <w:tcPr>
            <w:tcW w:w="1160" w:type="dxa"/>
            <w:tcBorders>
              <w:top w:val="nil"/>
              <w:left w:val="nil"/>
              <w:bottom w:val="single" w:sz="4" w:space="0" w:color="auto"/>
              <w:right w:val="nil"/>
            </w:tcBorders>
            <w:shd w:val="clear" w:color="auto" w:fill="auto"/>
            <w:noWrap/>
            <w:vAlign w:val="center"/>
            <w:hideMark/>
          </w:tcPr>
          <w:p w14:paraId="1DBE63E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160" w:type="dxa"/>
            <w:tcBorders>
              <w:top w:val="nil"/>
              <w:left w:val="nil"/>
              <w:bottom w:val="single" w:sz="4" w:space="0" w:color="auto"/>
              <w:right w:val="nil"/>
            </w:tcBorders>
            <w:shd w:val="clear" w:color="auto" w:fill="auto"/>
            <w:noWrap/>
            <w:vAlign w:val="center"/>
            <w:hideMark/>
          </w:tcPr>
          <w:p w14:paraId="2C0C7D8D"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160" w:type="dxa"/>
            <w:tcBorders>
              <w:top w:val="nil"/>
              <w:left w:val="nil"/>
              <w:bottom w:val="single" w:sz="4" w:space="0" w:color="auto"/>
              <w:right w:val="single" w:sz="4" w:space="0" w:color="auto"/>
            </w:tcBorders>
            <w:shd w:val="clear" w:color="auto" w:fill="auto"/>
            <w:noWrap/>
            <w:vAlign w:val="center"/>
            <w:hideMark/>
          </w:tcPr>
          <w:p w14:paraId="763946C3"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21%</w:t>
            </w:r>
          </w:p>
        </w:tc>
        <w:tc>
          <w:tcPr>
            <w:tcW w:w="1160" w:type="dxa"/>
            <w:tcBorders>
              <w:top w:val="nil"/>
              <w:left w:val="nil"/>
              <w:bottom w:val="single" w:sz="4" w:space="0" w:color="auto"/>
              <w:right w:val="nil"/>
            </w:tcBorders>
            <w:shd w:val="clear" w:color="auto" w:fill="auto"/>
            <w:noWrap/>
            <w:vAlign w:val="center"/>
            <w:hideMark/>
          </w:tcPr>
          <w:p w14:paraId="0E5C9E0E"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094" w:type="dxa"/>
            <w:tcBorders>
              <w:top w:val="nil"/>
              <w:left w:val="single" w:sz="4" w:space="0" w:color="auto"/>
              <w:bottom w:val="single" w:sz="4" w:space="0" w:color="auto"/>
              <w:right w:val="single" w:sz="4" w:space="0" w:color="auto"/>
            </w:tcBorders>
            <w:shd w:val="clear" w:color="000000" w:fill="EDF2FA"/>
            <w:noWrap/>
            <w:vAlign w:val="center"/>
            <w:hideMark/>
          </w:tcPr>
          <w:p w14:paraId="12283244"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single" w:sz="4" w:space="0" w:color="auto"/>
              <w:right w:val="single" w:sz="4" w:space="0" w:color="auto"/>
            </w:tcBorders>
            <w:shd w:val="clear" w:color="000000" w:fill="BBCEE8"/>
            <w:noWrap/>
            <w:vAlign w:val="center"/>
            <w:hideMark/>
          </w:tcPr>
          <w:p w14:paraId="2B1D1081"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single" w:sz="4" w:space="0" w:color="auto"/>
              <w:right w:val="single" w:sz="4" w:space="0" w:color="auto"/>
            </w:tcBorders>
            <w:shd w:val="clear" w:color="000000" w:fill="FBEFF2"/>
            <w:noWrap/>
            <w:vAlign w:val="center"/>
            <w:hideMark/>
          </w:tcPr>
          <w:p w14:paraId="150EE860"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5C853592"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1EFA28C9"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15 years</w:t>
            </w:r>
          </w:p>
        </w:tc>
        <w:tc>
          <w:tcPr>
            <w:tcW w:w="1160" w:type="dxa"/>
            <w:tcBorders>
              <w:top w:val="nil"/>
              <w:left w:val="nil"/>
              <w:bottom w:val="nil"/>
              <w:right w:val="nil"/>
            </w:tcBorders>
            <w:shd w:val="clear" w:color="auto" w:fill="auto"/>
            <w:noWrap/>
            <w:vAlign w:val="center"/>
            <w:hideMark/>
          </w:tcPr>
          <w:p w14:paraId="7DFB78C3"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17%</w:t>
            </w:r>
          </w:p>
        </w:tc>
        <w:tc>
          <w:tcPr>
            <w:tcW w:w="1160" w:type="dxa"/>
            <w:tcBorders>
              <w:top w:val="nil"/>
              <w:left w:val="nil"/>
              <w:bottom w:val="nil"/>
              <w:right w:val="nil"/>
            </w:tcBorders>
            <w:shd w:val="clear" w:color="auto" w:fill="auto"/>
            <w:noWrap/>
            <w:vAlign w:val="center"/>
            <w:hideMark/>
          </w:tcPr>
          <w:p w14:paraId="3354D790"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160" w:type="dxa"/>
            <w:tcBorders>
              <w:top w:val="nil"/>
              <w:left w:val="nil"/>
              <w:bottom w:val="nil"/>
              <w:right w:val="single" w:sz="4" w:space="0" w:color="auto"/>
            </w:tcBorders>
            <w:shd w:val="clear" w:color="auto" w:fill="auto"/>
            <w:noWrap/>
            <w:vAlign w:val="center"/>
            <w:hideMark/>
          </w:tcPr>
          <w:p w14:paraId="58DE7991"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18%</w:t>
            </w:r>
          </w:p>
        </w:tc>
        <w:tc>
          <w:tcPr>
            <w:tcW w:w="1160" w:type="dxa"/>
            <w:tcBorders>
              <w:top w:val="nil"/>
              <w:left w:val="nil"/>
              <w:bottom w:val="nil"/>
              <w:right w:val="nil"/>
            </w:tcBorders>
            <w:shd w:val="clear" w:color="auto" w:fill="auto"/>
            <w:noWrap/>
            <w:vAlign w:val="center"/>
            <w:hideMark/>
          </w:tcPr>
          <w:p w14:paraId="69EA89BD"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18%</w:t>
            </w:r>
          </w:p>
        </w:tc>
        <w:tc>
          <w:tcPr>
            <w:tcW w:w="1094" w:type="dxa"/>
            <w:tcBorders>
              <w:top w:val="nil"/>
              <w:left w:val="single" w:sz="4" w:space="0" w:color="auto"/>
              <w:bottom w:val="nil"/>
              <w:right w:val="single" w:sz="4" w:space="0" w:color="auto"/>
            </w:tcBorders>
            <w:shd w:val="clear" w:color="000000" w:fill="5A8AC6"/>
            <w:noWrap/>
            <w:vAlign w:val="center"/>
            <w:hideMark/>
          </w:tcPr>
          <w:p w14:paraId="65B2FE3C"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3%</w:t>
            </w:r>
          </w:p>
        </w:tc>
        <w:tc>
          <w:tcPr>
            <w:tcW w:w="1093" w:type="dxa"/>
            <w:tcBorders>
              <w:top w:val="nil"/>
              <w:left w:val="nil"/>
              <w:bottom w:val="nil"/>
              <w:right w:val="single" w:sz="4" w:space="0" w:color="auto"/>
            </w:tcBorders>
            <w:shd w:val="clear" w:color="000000" w:fill="FAD5D8"/>
            <w:noWrap/>
            <w:vAlign w:val="center"/>
            <w:hideMark/>
          </w:tcPr>
          <w:p w14:paraId="1ED03730"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nil"/>
              <w:right w:val="single" w:sz="4" w:space="0" w:color="auto"/>
            </w:tcBorders>
            <w:shd w:val="clear" w:color="000000" w:fill="FBFBFE"/>
            <w:noWrap/>
            <w:vAlign w:val="center"/>
            <w:hideMark/>
          </w:tcPr>
          <w:p w14:paraId="34E1FBCA"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5BECA1F0"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7D64FCEC"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16 years</w:t>
            </w:r>
          </w:p>
        </w:tc>
        <w:tc>
          <w:tcPr>
            <w:tcW w:w="1160" w:type="dxa"/>
            <w:tcBorders>
              <w:top w:val="nil"/>
              <w:left w:val="nil"/>
              <w:bottom w:val="nil"/>
              <w:right w:val="nil"/>
            </w:tcBorders>
            <w:shd w:val="clear" w:color="auto" w:fill="auto"/>
            <w:noWrap/>
            <w:vAlign w:val="center"/>
            <w:hideMark/>
          </w:tcPr>
          <w:p w14:paraId="2647F69A"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17%</w:t>
            </w:r>
          </w:p>
        </w:tc>
        <w:tc>
          <w:tcPr>
            <w:tcW w:w="1160" w:type="dxa"/>
            <w:tcBorders>
              <w:top w:val="nil"/>
              <w:left w:val="nil"/>
              <w:bottom w:val="nil"/>
              <w:right w:val="nil"/>
            </w:tcBorders>
            <w:shd w:val="clear" w:color="auto" w:fill="auto"/>
            <w:noWrap/>
            <w:vAlign w:val="center"/>
            <w:hideMark/>
          </w:tcPr>
          <w:p w14:paraId="31CC3801"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160" w:type="dxa"/>
            <w:tcBorders>
              <w:top w:val="nil"/>
              <w:left w:val="nil"/>
              <w:bottom w:val="nil"/>
              <w:right w:val="single" w:sz="4" w:space="0" w:color="auto"/>
            </w:tcBorders>
            <w:shd w:val="clear" w:color="auto" w:fill="auto"/>
            <w:noWrap/>
            <w:vAlign w:val="center"/>
            <w:hideMark/>
          </w:tcPr>
          <w:p w14:paraId="028D51D6"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160" w:type="dxa"/>
            <w:tcBorders>
              <w:top w:val="nil"/>
              <w:left w:val="nil"/>
              <w:bottom w:val="nil"/>
              <w:right w:val="nil"/>
            </w:tcBorders>
            <w:shd w:val="clear" w:color="auto" w:fill="auto"/>
            <w:noWrap/>
            <w:vAlign w:val="center"/>
            <w:hideMark/>
          </w:tcPr>
          <w:p w14:paraId="02893F8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094" w:type="dxa"/>
            <w:tcBorders>
              <w:top w:val="nil"/>
              <w:left w:val="single" w:sz="4" w:space="0" w:color="auto"/>
              <w:bottom w:val="nil"/>
              <w:right w:val="single" w:sz="4" w:space="0" w:color="auto"/>
            </w:tcBorders>
            <w:shd w:val="clear" w:color="000000" w:fill="8DAED8"/>
            <w:noWrap/>
            <w:vAlign w:val="center"/>
            <w:hideMark/>
          </w:tcPr>
          <w:p w14:paraId="665808F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w:t>
            </w:r>
          </w:p>
        </w:tc>
        <w:tc>
          <w:tcPr>
            <w:tcW w:w="1093" w:type="dxa"/>
            <w:tcBorders>
              <w:top w:val="nil"/>
              <w:left w:val="nil"/>
              <w:bottom w:val="nil"/>
              <w:right w:val="single" w:sz="4" w:space="0" w:color="auto"/>
            </w:tcBorders>
            <w:shd w:val="clear" w:color="000000" w:fill="FBEFF2"/>
            <w:noWrap/>
            <w:vAlign w:val="center"/>
            <w:hideMark/>
          </w:tcPr>
          <w:p w14:paraId="5A5E0A61"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EAF0F9"/>
            <w:noWrap/>
            <w:vAlign w:val="center"/>
            <w:hideMark/>
          </w:tcPr>
          <w:p w14:paraId="64C10513"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3ACCAC3E"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200D4D94"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17 years</w:t>
            </w:r>
          </w:p>
        </w:tc>
        <w:tc>
          <w:tcPr>
            <w:tcW w:w="1160" w:type="dxa"/>
            <w:tcBorders>
              <w:top w:val="nil"/>
              <w:left w:val="nil"/>
              <w:bottom w:val="nil"/>
              <w:right w:val="nil"/>
            </w:tcBorders>
            <w:shd w:val="clear" w:color="auto" w:fill="auto"/>
            <w:noWrap/>
            <w:vAlign w:val="center"/>
            <w:hideMark/>
          </w:tcPr>
          <w:p w14:paraId="3965F4FE"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18%</w:t>
            </w:r>
          </w:p>
        </w:tc>
        <w:tc>
          <w:tcPr>
            <w:tcW w:w="1160" w:type="dxa"/>
            <w:tcBorders>
              <w:top w:val="nil"/>
              <w:left w:val="nil"/>
              <w:bottom w:val="nil"/>
              <w:right w:val="nil"/>
            </w:tcBorders>
            <w:shd w:val="clear" w:color="auto" w:fill="auto"/>
            <w:noWrap/>
            <w:vAlign w:val="center"/>
            <w:hideMark/>
          </w:tcPr>
          <w:p w14:paraId="17748007"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160" w:type="dxa"/>
            <w:tcBorders>
              <w:top w:val="nil"/>
              <w:left w:val="nil"/>
              <w:bottom w:val="nil"/>
              <w:right w:val="single" w:sz="4" w:space="0" w:color="auto"/>
            </w:tcBorders>
            <w:shd w:val="clear" w:color="auto" w:fill="auto"/>
            <w:noWrap/>
            <w:vAlign w:val="center"/>
            <w:hideMark/>
          </w:tcPr>
          <w:p w14:paraId="6B605885"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160" w:type="dxa"/>
            <w:tcBorders>
              <w:top w:val="nil"/>
              <w:left w:val="nil"/>
              <w:bottom w:val="nil"/>
              <w:right w:val="nil"/>
            </w:tcBorders>
            <w:shd w:val="clear" w:color="auto" w:fill="auto"/>
            <w:noWrap/>
            <w:vAlign w:val="center"/>
            <w:hideMark/>
          </w:tcPr>
          <w:p w14:paraId="6A30C732"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19%</w:t>
            </w:r>
          </w:p>
        </w:tc>
        <w:tc>
          <w:tcPr>
            <w:tcW w:w="1094" w:type="dxa"/>
            <w:tcBorders>
              <w:top w:val="nil"/>
              <w:left w:val="single" w:sz="4" w:space="0" w:color="auto"/>
              <w:bottom w:val="nil"/>
              <w:right w:val="single" w:sz="4" w:space="0" w:color="auto"/>
            </w:tcBorders>
            <w:shd w:val="clear" w:color="000000" w:fill="C7D7ED"/>
            <w:noWrap/>
            <w:vAlign w:val="center"/>
            <w:hideMark/>
          </w:tcPr>
          <w:p w14:paraId="6C56C41E"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nil"/>
              <w:right w:val="single" w:sz="4" w:space="0" w:color="auto"/>
            </w:tcBorders>
            <w:shd w:val="clear" w:color="000000" w:fill="FBFBFF"/>
            <w:noWrap/>
            <w:vAlign w:val="center"/>
            <w:hideMark/>
          </w:tcPr>
          <w:p w14:paraId="57AEB5DF"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c>
          <w:tcPr>
            <w:tcW w:w="1093" w:type="dxa"/>
            <w:tcBorders>
              <w:top w:val="nil"/>
              <w:left w:val="nil"/>
              <w:bottom w:val="nil"/>
              <w:right w:val="single" w:sz="4" w:space="0" w:color="auto"/>
            </w:tcBorders>
            <w:shd w:val="clear" w:color="000000" w:fill="FBF6F9"/>
            <w:noWrap/>
            <w:vAlign w:val="center"/>
            <w:hideMark/>
          </w:tcPr>
          <w:p w14:paraId="64841955"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0%</w:t>
            </w:r>
          </w:p>
        </w:tc>
      </w:tr>
      <w:tr w:rsidR="0055623A" w:rsidRPr="0055623A" w14:paraId="07EE04DA" w14:textId="77777777" w:rsidTr="00554EFA">
        <w:trPr>
          <w:trHeight w:hRule="exact" w:val="288"/>
        </w:trPr>
        <w:tc>
          <w:tcPr>
            <w:tcW w:w="1280" w:type="dxa"/>
            <w:tcBorders>
              <w:top w:val="nil"/>
              <w:left w:val="single" w:sz="4" w:space="0" w:color="auto"/>
              <w:bottom w:val="nil"/>
              <w:right w:val="nil"/>
            </w:tcBorders>
            <w:shd w:val="clear" w:color="auto" w:fill="auto"/>
            <w:noWrap/>
            <w:vAlign w:val="bottom"/>
            <w:hideMark/>
          </w:tcPr>
          <w:p w14:paraId="58F8A29C"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18 years</w:t>
            </w:r>
          </w:p>
        </w:tc>
        <w:tc>
          <w:tcPr>
            <w:tcW w:w="1160" w:type="dxa"/>
            <w:tcBorders>
              <w:top w:val="nil"/>
              <w:left w:val="nil"/>
              <w:bottom w:val="nil"/>
              <w:right w:val="nil"/>
            </w:tcBorders>
            <w:shd w:val="clear" w:color="auto" w:fill="auto"/>
            <w:noWrap/>
            <w:vAlign w:val="center"/>
            <w:hideMark/>
          </w:tcPr>
          <w:p w14:paraId="55831D94"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22%</w:t>
            </w:r>
          </w:p>
        </w:tc>
        <w:tc>
          <w:tcPr>
            <w:tcW w:w="1160" w:type="dxa"/>
            <w:tcBorders>
              <w:top w:val="nil"/>
              <w:left w:val="nil"/>
              <w:bottom w:val="nil"/>
              <w:right w:val="nil"/>
            </w:tcBorders>
            <w:shd w:val="clear" w:color="auto" w:fill="auto"/>
            <w:noWrap/>
            <w:vAlign w:val="center"/>
            <w:hideMark/>
          </w:tcPr>
          <w:p w14:paraId="2212879E"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21%</w:t>
            </w:r>
          </w:p>
        </w:tc>
        <w:tc>
          <w:tcPr>
            <w:tcW w:w="1160" w:type="dxa"/>
            <w:tcBorders>
              <w:top w:val="nil"/>
              <w:left w:val="nil"/>
              <w:bottom w:val="nil"/>
              <w:right w:val="single" w:sz="4" w:space="0" w:color="auto"/>
            </w:tcBorders>
            <w:shd w:val="clear" w:color="auto" w:fill="auto"/>
            <w:noWrap/>
            <w:vAlign w:val="center"/>
            <w:hideMark/>
          </w:tcPr>
          <w:p w14:paraId="3BE96B80"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21%</w:t>
            </w:r>
          </w:p>
        </w:tc>
        <w:tc>
          <w:tcPr>
            <w:tcW w:w="1160" w:type="dxa"/>
            <w:tcBorders>
              <w:top w:val="nil"/>
              <w:left w:val="nil"/>
              <w:bottom w:val="nil"/>
              <w:right w:val="nil"/>
            </w:tcBorders>
            <w:shd w:val="clear" w:color="auto" w:fill="auto"/>
            <w:noWrap/>
            <w:vAlign w:val="center"/>
            <w:hideMark/>
          </w:tcPr>
          <w:p w14:paraId="04CDE2B3"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20%</w:t>
            </w:r>
          </w:p>
        </w:tc>
        <w:tc>
          <w:tcPr>
            <w:tcW w:w="1094" w:type="dxa"/>
            <w:tcBorders>
              <w:top w:val="nil"/>
              <w:left w:val="single" w:sz="4" w:space="0" w:color="auto"/>
              <w:bottom w:val="nil"/>
              <w:right w:val="single" w:sz="4" w:space="0" w:color="auto"/>
            </w:tcBorders>
            <w:shd w:val="clear" w:color="000000" w:fill="FAD6D9"/>
            <w:noWrap/>
            <w:vAlign w:val="center"/>
            <w:hideMark/>
          </w:tcPr>
          <w:p w14:paraId="697E8E4B"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nil"/>
              <w:right w:val="single" w:sz="4" w:space="0" w:color="auto"/>
            </w:tcBorders>
            <w:shd w:val="clear" w:color="000000" w:fill="D5E1F2"/>
            <w:noWrap/>
            <w:vAlign w:val="center"/>
            <w:hideMark/>
          </w:tcPr>
          <w:p w14:paraId="3725C5F6"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nil"/>
              <w:right w:val="single" w:sz="4" w:space="0" w:color="auto"/>
            </w:tcBorders>
            <w:shd w:val="clear" w:color="000000" w:fill="FBE3E6"/>
            <w:noWrap/>
            <w:vAlign w:val="center"/>
            <w:hideMark/>
          </w:tcPr>
          <w:p w14:paraId="3F284BBA"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r>
      <w:tr w:rsidR="0055623A" w:rsidRPr="0055623A" w14:paraId="75988EDC" w14:textId="77777777" w:rsidTr="00554EFA">
        <w:trPr>
          <w:trHeight w:hRule="exact" w:val="288"/>
        </w:trPr>
        <w:tc>
          <w:tcPr>
            <w:tcW w:w="1280" w:type="dxa"/>
            <w:tcBorders>
              <w:top w:val="nil"/>
              <w:left w:val="single" w:sz="4" w:space="0" w:color="auto"/>
              <w:bottom w:val="single" w:sz="4" w:space="0" w:color="auto"/>
              <w:right w:val="nil"/>
            </w:tcBorders>
            <w:shd w:val="clear" w:color="auto" w:fill="auto"/>
            <w:noWrap/>
            <w:vAlign w:val="bottom"/>
            <w:hideMark/>
          </w:tcPr>
          <w:p w14:paraId="513CD059" w14:textId="77777777" w:rsidR="00554EFA" w:rsidRPr="0055623A" w:rsidRDefault="00554EFA">
            <w:pPr>
              <w:spacing w:line="240" w:lineRule="auto"/>
              <w:ind w:firstLineChars="100" w:firstLine="200"/>
              <w:rPr>
                <w:rFonts w:ascii="Aptos Narrow" w:hAnsi="Aptos Narrow"/>
                <w:sz w:val="20"/>
                <w:szCs w:val="20"/>
              </w:rPr>
            </w:pPr>
            <w:r w:rsidRPr="0055623A">
              <w:rPr>
                <w:rFonts w:ascii="Aptos Narrow" w:hAnsi="Aptos Narrow"/>
                <w:sz w:val="20"/>
                <w:szCs w:val="20"/>
              </w:rPr>
              <w:t xml:space="preserve"> 19 years</w:t>
            </w:r>
          </w:p>
        </w:tc>
        <w:tc>
          <w:tcPr>
            <w:tcW w:w="1160" w:type="dxa"/>
            <w:tcBorders>
              <w:top w:val="nil"/>
              <w:left w:val="nil"/>
              <w:bottom w:val="single" w:sz="4" w:space="0" w:color="auto"/>
              <w:right w:val="nil"/>
            </w:tcBorders>
            <w:shd w:val="clear" w:color="auto" w:fill="auto"/>
            <w:noWrap/>
            <w:vAlign w:val="center"/>
            <w:hideMark/>
          </w:tcPr>
          <w:p w14:paraId="2511C62B"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26%</w:t>
            </w:r>
          </w:p>
        </w:tc>
        <w:tc>
          <w:tcPr>
            <w:tcW w:w="1160" w:type="dxa"/>
            <w:tcBorders>
              <w:top w:val="nil"/>
              <w:left w:val="nil"/>
              <w:bottom w:val="single" w:sz="4" w:space="0" w:color="auto"/>
              <w:right w:val="nil"/>
            </w:tcBorders>
            <w:shd w:val="clear" w:color="auto" w:fill="auto"/>
            <w:noWrap/>
            <w:vAlign w:val="center"/>
            <w:hideMark/>
          </w:tcPr>
          <w:p w14:paraId="35EC1F50"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22%</w:t>
            </w:r>
          </w:p>
        </w:tc>
        <w:tc>
          <w:tcPr>
            <w:tcW w:w="1160" w:type="dxa"/>
            <w:tcBorders>
              <w:top w:val="nil"/>
              <w:left w:val="nil"/>
              <w:bottom w:val="single" w:sz="4" w:space="0" w:color="auto"/>
              <w:right w:val="single" w:sz="4" w:space="0" w:color="auto"/>
            </w:tcBorders>
            <w:shd w:val="clear" w:color="auto" w:fill="auto"/>
            <w:noWrap/>
            <w:vAlign w:val="center"/>
            <w:hideMark/>
          </w:tcPr>
          <w:p w14:paraId="3E7A02AD"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22%</w:t>
            </w:r>
          </w:p>
        </w:tc>
        <w:tc>
          <w:tcPr>
            <w:tcW w:w="1160" w:type="dxa"/>
            <w:tcBorders>
              <w:top w:val="nil"/>
              <w:left w:val="nil"/>
              <w:bottom w:val="single" w:sz="4" w:space="0" w:color="auto"/>
              <w:right w:val="nil"/>
            </w:tcBorders>
            <w:shd w:val="clear" w:color="auto" w:fill="auto"/>
            <w:noWrap/>
            <w:vAlign w:val="center"/>
            <w:hideMark/>
          </w:tcPr>
          <w:p w14:paraId="69C56CAE"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23%</w:t>
            </w:r>
          </w:p>
        </w:tc>
        <w:tc>
          <w:tcPr>
            <w:tcW w:w="1094" w:type="dxa"/>
            <w:tcBorders>
              <w:top w:val="nil"/>
              <w:left w:val="single" w:sz="4" w:space="0" w:color="auto"/>
              <w:bottom w:val="single" w:sz="4" w:space="0" w:color="auto"/>
              <w:right w:val="single" w:sz="4" w:space="0" w:color="auto"/>
            </w:tcBorders>
            <w:shd w:val="clear" w:color="000000" w:fill="F8696B"/>
            <w:noWrap/>
            <w:vAlign w:val="center"/>
            <w:hideMark/>
          </w:tcPr>
          <w:p w14:paraId="55E73423"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-4%</w:t>
            </w:r>
          </w:p>
        </w:tc>
        <w:tc>
          <w:tcPr>
            <w:tcW w:w="1093" w:type="dxa"/>
            <w:tcBorders>
              <w:top w:val="nil"/>
              <w:left w:val="nil"/>
              <w:bottom w:val="single" w:sz="4" w:space="0" w:color="auto"/>
              <w:right w:val="single" w:sz="4" w:space="0" w:color="auto"/>
            </w:tcBorders>
            <w:shd w:val="clear" w:color="000000" w:fill="C5D5EC"/>
            <w:noWrap/>
            <w:vAlign w:val="center"/>
            <w:hideMark/>
          </w:tcPr>
          <w:p w14:paraId="21C81642"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c>
          <w:tcPr>
            <w:tcW w:w="1093" w:type="dxa"/>
            <w:tcBorders>
              <w:top w:val="nil"/>
              <w:left w:val="nil"/>
              <w:bottom w:val="single" w:sz="4" w:space="0" w:color="auto"/>
              <w:right w:val="single" w:sz="4" w:space="0" w:color="auto"/>
            </w:tcBorders>
            <w:shd w:val="clear" w:color="000000" w:fill="D0DDF0"/>
            <w:noWrap/>
            <w:vAlign w:val="center"/>
            <w:hideMark/>
          </w:tcPr>
          <w:p w14:paraId="140A98E7" w14:textId="77777777" w:rsidR="00554EFA" w:rsidRPr="0055623A" w:rsidRDefault="00554EFA">
            <w:pPr>
              <w:spacing w:line="240" w:lineRule="auto"/>
              <w:jc w:val="center"/>
              <w:rPr>
                <w:rFonts w:ascii="Aptos Narrow" w:hAnsi="Aptos Narrow"/>
                <w:sz w:val="20"/>
                <w:szCs w:val="20"/>
              </w:rPr>
            </w:pPr>
            <w:r w:rsidRPr="0055623A">
              <w:rPr>
                <w:rFonts w:ascii="Aptos Narrow" w:hAnsi="Aptos Narrow"/>
                <w:sz w:val="20"/>
                <w:szCs w:val="20"/>
              </w:rPr>
              <w:t>1%</w:t>
            </w:r>
          </w:p>
        </w:tc>
      </w:tr>
    </w:tbl>
    <w:p w14:paraId="57D4D963" w14:textId="77777777" w:rsidR="00883B8A" w:rsidRDefault="00883B8A" w:rsidP="00883B8A">
      <w:pPr>
        <w:pStyle w:val="Heading2"/>
      </w:pPr>
    </w:p>
    <w:p w14:paraId="2C0728DA" w14:textId="4210B0EF" w:rsidR="00883B8A" w:rsidRPr="00077E51" w:rsidRDefault="00883B8A" w:rsidP="00883B8A">
      <w:pPr>
        <w:spacing w:line="240" w:lineRule="auto"/>
        <w:rPr>
          <w:rFonts w:ascii="Calibri" w:eastAsia="Calibri" w:hAnsi="Calibri"/>
        </w:rPr>
      </w:pPr>
      <w:r>
        <w:rPr>
          <w:rFonts w:ascii="Calibri" w:eastAsia="Calibri" w:hAnsi="Calibri"/>
        </w:rPr>
        <w:t>Five-year age cohorts by r</w:t>
      </w:r>
      <w:r w:rsidRPr="00077E51">
        <w:rPr>
          <w:rFonts w:ascii="Calibri" w:eastAsia="Calibri" w:hAnsi="Calibri"/>
        </w:rPr>
        <w:t xml:space="preserve">ace and ethnicity were </w:t>
      </w:r>
      <w:r>
        <w:rPr>
          <w:rFonts w:ascii="Calibri" w:eastAsia="Calibri" w:hAnsi="Calibri"/>
        </w:rPr>
        <w:t>distributed to single-year cohorts by the same method,</w:t>
      </w:r>
      <w:r w:rsidRPr="00077E51">
        <w:rPr>
          <w:rFonts w:ascii="Calibri" w:eastAsia="Calibri" w:hAnsi="Calibri"/>
        </w:rPr>
        <w:t xml:space="preserve"> using the assumption that, in any year, the race and ethnicity within any single-year- of-age/sex cohort would have the same distribution as the 5-year-age/sex cohort to which it belonged. </w:t>
      </w:r>
      <w:r w:rsidR="00977622">
        <w:rPr>
          <w:rFonts w:ascii="Calibri" w:eastAsia="Calibri" w:hAnsi="Calibri"/>
        </w:rPr>
        <w:t>F</w:t>
      </w:r>
      <w:r w:rsidRPr="00077E51">
        <w:rPr>
          <w:rFonts w:ascii="Calibri" w:eastAsia="Calibri" w:hAnsi="Calibri"/>
        </w:rPr>
        <w:t>or example, if in 2021 the 5-year 10-14 female cohort in a particular geography was proportionally 30% white/Hispanic,  then 30% of the 10 year old females in 2021 would be assigned white/Hispanic, 30% of the 11 year old females in 2021 would be assigned white/Hispanic, and so on.</w:t>
      </w:r>
    </w:p>
    <w:p w14:paraId="7D966AF1" w14:textId="07A6A289" w:rsidR="00CF3154" w:rsidRDefault="00977622" w:rsidP="00216193">
      <w:pPr>
        <w:pStyle w:val="Heading2"/>
      </w:pPr>
      <w:bookmarkStart w:id="36" w:name="_Toc197520536"/>
      <w:r>
        <w:t xml:space="preserve">11) </w:t>
      </w:r>
      <w:r w:rsidR="00883B8A">
        <w:t xml:space="preserve"> </w:t>
      </w:r>
      <w:r w:rsidR="00CF3154" w:rsidRPr="00201848">
        <w:rPr>
          <w:color w:val="595959" w:themeColor="text1" w:themeTint="A6"/>
        </w:rPr>
        <w:t>Control</w:t>
      </w:r>
      <w:r w:rsidR="00883B8A" w:rsidRPr="00201848">
        <w:rPr>
          <w:color w:val="595959" w:themeColor="text1" w:themeTint="A6"/>
        </w:rPr>
        <w:t>ling</w:t>
      </w:r>
      <w:r w:rsidR="00CF3154" w:rsidRPr="00201848">
        <w:rPr>
          <w:color w:val="595959" w:themeColor="text1" w:themeTint="A6"/>
        </w:rPr>
        <w:t xml:space="preserve"> </w:t>
      </w:r>
      <w:r w:rsidR="00F6485C" w:rsidRPr="00201848">
        <w:rPr>
          <w:color w:val="595959" w:themeColor="text1" w:themeTint="A6"/>
        </w:rPr>
        <w:t>r</w:t>
      </w:r>
      <w:r w:rsidR="00CF3154" w:rsidRPr="00201848">
        <w:rPr>
          <w:color w:val="595959" w:themeColor="text1" w:themeTint="A6"/>
        </w:rPr>
        <w:t xml:space="preserve">ace and </w:t>
      </w:r>
      <w:r w:rsidR="00F6485C" w:rsidRPr="00201848">
        <w:rPr>
          <w:color w:val="595959" w:themeColor="text1" w:themeTint="A6"/>
        </w:rPr>
        <w:t>ethnicity projections to age and sex projections</w:t>
      </w:r>
      <w:bookmarkEnd w:id="36"/>
    </w:p>
    <w:p w14:paraId="1D5B03AA" w14:textId="4E04AA2B" w:rsidR="00CF3154" w:rsidRPr="00CF3154" w:rsidRDefault="00E40441" w:rsidP="005C4C7E">
      <w:r>
        <w:t>We</w:t>
      </w:r>
      <w:r w:rsidR="006B5B19">
        <w:t xml:space="preserve"> control all</w:t>
      </w:r>
      <w:r>
        <w:t xml:space="preserve"> years of race/ethnicity/age/sex projections to the age/sex projections</w:t>
      </w:r>
      <w:r w:rsidR="000C6D8B">
        <w:t xml:space="preserve"> to ensure consistency between both sets. This includes controlling both the 5-year and single-year age groups.</w:t>
      </w:r>
      <w:r w:rsidR="00B23B8B">
        <w:t xml:space="preserve"> Higher variability is expected in the single year age groups because of the very small size of each </w:t>
      </w:r>
      <w:r w:rsidR="00476B0F">
        <w:t xml:space="preserve">race/ethnicity/age/sex/geography cohort and the effects that rounding will have during the control process. </w:t>
      </w:r>
      <w:r w:rsidR="00C634C6">
        <w:t xml:space="preserve">Summing to age/sex from age/sex/race/ethnicity for single year of age may </w:t>
      </w:r>
      <w:r w:rsidR="00761DAD">
        <w:t>produce</w:t>
      </w:r>
      <w:r w:rsidR="00C634C6">
        <w:t xml:space="preserve"> differences of +/- 4 people</w:t>
      </w:r>
      <w:r w:rsidR="00450725">
        <w:t xml:space="preserve"> </w:t>
      </w:r>
      <w:r w:rsidR="00597242">
        <w:t xml:space="preserve">between </w:t>
      </w:r>
      <w:r w:rsidR="00B92E59">
        <w:t>corresponding</w:t>
      </w:r>
      <w:r w:rsidR="00597242">
        <w:t xml:space="preserve">  cohorts</w:t>
      </w:r>
      <w:r w:rsidR="00B92E59">
        <w:t xml:space="preserve"> in the race/ethnicity projection</w:t>
      </w:r>
      <w:r w:rsidR="00597242">
        <w:t xml:space="preserve"> and the </w:t>
      </w:r>
      <w:r w:rsidR="00B92E59">
        <w:t>age/sex</w:t>
      </w:r>
      <w:r w:rsidR="006F56EE">
        <w:t xml:space="preserve"> projection</w:t>
      </w:r>
      <w:r w:rsidR="00597242">
        <w:t xml:space="preserve"> </w:t>
      </w:r>
      <w:r w:rsidR="00450725">
        <w:t xml:space="preserve">due to rounding </w:t>
      </w:r>
      <w:r w:rsidR="00A72935">
        <w:t>of each cohort</w:t>
      </w:r>
      <w:r w:rsidR="00C26038">
        <w:t>.</w:t>
      </w:r>
      <w:r w:rsidR="004E2A4E">
        <w:t xml:space="preserve"> For this reason, if </w:t>
      </w:r>
      <w:r w:rsidR="00B70E31">
        <w:t>race and ethnicity are no</w:t>
      </w:r>
      <w:r w:rsidR="0044706F">
        <w:t>t necessary for a use case</w:t>
      </w:r>
      <w:r w:rsidR="00B70E31">
        <w:t xml:space="preserve">, we recommend the use of the </w:t>
      </w:r>
      <w:r w:rsidR="00BF59E2">
        <w:t xml:space="preserve">V2024 </w:t>
      </w:r>
      <w:r w:rsidR="00B70E31">
        <w:t>age/sex projections.</w:t>
      </w:r>
    </w:p>
    <w:p w14:paraId="4A1BC3EB" w14:textId="17CF88C6" w:rsidR="004E0B84" w:rsidRPr="00201848" w:rsidRDefault="00216193" w:rsidP="00FB6B77">
      <w:pPr>
        <w:pStyle w:val="Heading2"/>
        <w:rPr>
          <w:color w:val="595959" w:themeColor="text1" w:themeTint="A6"/>
        </w:rPr>
      </w:pPr>
      <w:bookmarkStart w:id="37" w:name="_Toc197520537"/>
      <w:r w:rsidRPr="00201848">
        <w:rPr>
          <w:color w:val="595959" w:themeColor="text1" w:themeTint="A6"/>
        </w:rPr>
        <w:t xml:space="preserve">12) </w:t>
      </w:r>
      <w:r w:rsidR="004E0B84" w:rsidRPr="00201848">
        <w:rPr>
          <w:color w:val="595959" w:themeColor="text1" w:themeTint="A6"/>
        </w:rPr>
        <w:t xml:space="preserve"> Assigning error and confidence intervals</w:t>
      </w:r>
      <w:bookmarkEnd w:id="37"/>
    </w:p>
    <w:p w14:paraId="7E02E02E" w14:textId="26E7975A" w:rsidR="00723737" w:rsidRDefault="00F030E4" w:rsidP="007E6434">
      <w:pPr>
        <w:spacing w:line="240" w:lineRule="auto"/>
        <w:rPr>
          <w:rFonts w:eastAsia="Calibri"/>
        </w:rPr>
      </w:pPr>
      <w:r w:rsidRPr="3CC83329">
        <w:rPr>
          <w:rFonts w:eastAsia="Calibri"/>
        </w:rPr>
        <w:t xml:space="preserve">A key component of the UMDI estimates series for small geographies is the range of error associated with each estimate. Because detailed estimates at fine levels of geography are prone to large estimation error, we need a measure of how accurate, or inaccurate, a specific estimate is to better understand its utility. To produce error ranges for the estimates, we run a “historic” </w:t>
      </w:r>
      <w:r w:rsidR="007653C2">
        <w:rPr>
          <w:rFonts w:eastAsia="Calibri"/>
        </w:rPr>
        <w:t xml:space="preserve">or “retrospective” </w:t>
      </w:r>
      <w:r w:rsidRPr="3CC83329">
        <w:rPr>
          <w:rFonts w:eastAsia="Calibri"/>
        </w:rPr>
        <w:t xml:space="preserve">version of the model, using 2000 and 2010 data to produce age/sex estimates for 2020 at the MCD and tract level and then compare these to the actual Census 2020 counts after we have adjusted for missed housing units and group quarters populations. </w:t>
      </w:r>
      <w:r w:rsidR="00F93A09">
        <w:rPr>
          <w:rFonts w:eastAsia="Calibri"/>
        </w:rPr>
        <w:t xml:space="preserve"> The difference between the model-generated projections by age, sex, and geography</w:t>
      </w:r>
      <w:r w:rsidR="00EF253A">
        <w:rPr>
          <w:rFonts w:eastAsia="Calibri"/>
        </w:rPr>
        <w:t xml:space="preserve"> and the adjusted Census </w:t>
      </w:r>
      <w:r w:rsidR="00241B58">
        <w:rPr>
          <w:rFonts w:eastAsia="Calibri"/>
        </w:rPr>
        <w:t xml:space="preserve">counts </w:t>
      </w:r>
      <w:r w:rsidR="00F93A09">
        <w:rPr>
          <w:rFonts w:eastAsia="Calibri"/>
        </w:rPr>
        <w:t>are considered “errors</w:t>
      </w:r>
      <w:r w:rsidR="00D426E0">
        <w:rPr>
          <w:rFonts w:eastAsia="Calibri"/>
        </w:rPr>
        <w:t>.”</w:t>
      </w:r>
      <w:r w:rsidR="00241B58">
        <w:rPr>
          <w:rFonts w:eastAsia="Calibri"/>
        </w:rPr>
        <w:t xml:space="preserve"> </w:t>
      </w:r>
    </w:p>
    <w:p w14:paraId="29842F42" w14:textId="339E4FD1" w:rsidR="00F030E4" w:rsidRPr="00D64B5D" w:rsidRDefault="00241B58" w:rsidP="007E6434">
      <w:pPr>
        <w:spacing w:line="240" w:lineRule="auto"/>
        <w:rPr>
          <w:rFonts w:eastAsia="Calibri"/>
        </w:rPr>
      </w:pPr>
      <w:r>
        <w:rPr>
          <w:rFonts w:eastAsia="Calibri"/>
        </w:rPr>
        <w:t>For the purposes of this project, these errors are tallied in three different ways</w:t>
      </w:r>
      <w:r w:rsidR="00EF2D21">
        <w:rPr>
          <w:rFonts w:eastAsia="Calibri"/>
        </w:rPr>
        <w:t xml:space="preserve"> </w:t>
      </w:r>
      <w:r w:rsidR="002035BB">
        <w:rPr>
          <w:rFonts w:eastAsia="Calibri"/>
        </w:rPr>
        <w:t xml:space="preserve">for three distinct purposes. </w:t>
      </w:r>
      <w:r w:rsidR="00EF2D21" w:rsidRPr="009801E0">
        <w:rPr>
          <w:rFonts w:eastAsia="Calibri"/>
          <w:i/>
          <w:iCs/>
        </w:rPr>
        <w:t xml:space="preserve">Mean absolute </w:t>
      </w:r>
      <w:r w:rsidR="00D64B5D" w:rsidRPr="009801E0">
        <w:rPr>
          <w:rFonts w:eastAsia="Calibri"/>
          <w:i/>
          <w:iCs/>
        </w:rPr>
        <w:t>percent errors</w:t>
      </w:r>
      <w:r w:rsidR="00D64B5D">
        <w:rPr>
          <w:rFonts w:eastAsia="Calibri"/>
        </w:rPr>
        <w:t xml:space="preserve"> </w:t>
      </w:r>
      <w:r w:rsidR="00EF2D21">
        <w:rPr>
          <w:rFonts w:eastAsia="Calibri"/>
        </w:rPr>
        <w:t xml:space="preserve">are used to </w:t>
      </w:r>
      <w:r w:rsidR="00D64B5D">
        <w:rPr>
          <w:rFonts w:eastAsia="Calibri"/>
        </w:rPr>
        <w:t xml:space="preserve">describe overall model performance; </w:t>
      </w:r>
      <w:r w:rsidR="00D64B5D" w:rsidRPr="009801E0">
        <w:rPr>
          <w:rFonts w:eastAsia="Calibri"/>
          <w:i/>
          <w:iCs/>
        </w:rPr>
        <w:t xml:space="preserve">mean percent </w:t>
      </w:r>
      <w:r w:rsidR="00D64B5D" w:rsidRPr="009801E0">
        <w:rPr>
          <w:rFonts w:eastAsia="Calibri"/>
          <w:i/>
          <w:iCs/>
        </w:rPr>
        <w:lastRenderedPageBreak/>
        <w:t>errors</w:t>
      </w:r>
      <w:r w:rsidR="00D64B5D">
        <w:rPr>
          <w:rFonts w:eastAsia="Calibri"/>
        </w:rPr>
        <w:t xml:space="preserve"> describe both the </w:t>
      </w:r>
      <w:r w:rsidR="0067045F">
        <w:rPr>
          <w:rFonts w:eastAsia="Calibri"/>
        </w:rPr>
        <w:t>model performance</w:t>
      </w:r>
      <w:r w:rsidR="00D64B5D">
        <w:rPr>
          <w:rFonts w:eastAsia="Calibri"/>
        </w:rPr>
        <w:t xml:space="preserve"> and the directionality of the errors</w:t>
      </w:r>
      <w:r w:rsidR="00146099">
        <w:rPr>
          <w:rFonts w:eastAsia="Calibri"/>
        </w:rPr>
        <w:t xml:space="preserve"> – whether the model over- or under-predicted the Census count value; and </w:t>
      </w:r>
      <w:r w:rsidR="00146099" w:rsidRPr="009801E0">
        <w:rPr>
          <w:rFonts w:eastAsia="Calibri"/>
          <w:i/>
          <w:iCs/>
        </w:rPr>
        <w:t>error calculations</w:t>
      </w:r>
      <w:r w:rsidR="00146099">
        <w:rPr>
          <w:rFonts w:eastAsia="Calibri"/>
        </w:rPr>
        <w:t xml:space="preserve"> are </w:t>
      </w:r>
      <w:r w:rsidR="00474E1F">
        <w:rPr>
          <w:rFonts w:eastAsia="Calibri"/>
        </w:rPr>
        <w:t xml:space="preserve">applied </w:t>
      </w:r>
      <w:r w:rsidR="000703B9">
        <w:rPr>
          <w:rFonts w:eastAsia="Calibri"/>
        </w:rPr>
        <w:t xml:space="preserve">to each cohort estimate from the model to </w:t>
      </w:r>
      <w:r w:rsidR="00C81A23">
        <w:rPr>
          <w:rFonts w:eastAsia="Calibri"/>
        </w:rPr>
        <w:t>compensate for the degree and directionality of the difference between the Census count and the estimate observed in the retrospective test.</w:t>
      </w:r>
      <w:r w:rsidR="003E4425">
        <w:rPr>
          <w:rFonts w:eastAsia="Calibri"/>
        </w:rPr>
        <w:t xml:space="preserve"> Each of these error types are </w:t>
      </w:r>
      <w:r w:rsidR="00001DA6">
        <w:rPr>
          <w:rFonts w:eastAsia="Calibri"/>
        </w:rPr>
        <w:t>described in</w:t>
      </w:r>
      <w:r w:rsidR="003E4425">
        <w:rPr>
          <w:rFonts w:eastAsia="Calibri"/>
        </w:rPr>
        <w:t xml:space="preserve"> the </w:t>
      </w:r>
      <w:r w:rsidR="00001DA6">
        <w:rPr>
          <w:rFonts w:eastAsia="Calibri"/>
        </w:rPr>
        <w:t>following three report sections.</w:t>
      </w:r>
    </w:p>
    <w:p w14:paraId="4F15C55A" w14:textId="77777777" w:rsidR="00F030E4" w:rsidRPr="00D162FF" w:rsidRDefault="00F030E4" w:rsidP="003B038A">
      <w:pPr>
        <w:pStyle w:val="Heading3"/>
      </w:pPr>
      <w:bookmarkStart w:id="38" w:name="_Toc197520538"/>
      <w:r w:rsidRPr="00D162FF">
        <w:t>Mean Absolute Percent Errors</w:t>
      </w:r>
      <w:bookmarkEnd w:id="38"/>
    </w:p>
    <w:p w14:paraId="7ACB234B" w14:textId="77777777" w:rsidR="000B3D3B" w:rsidRDefault="000B3D3B" w:rsidP="000B3D3B">
      <w:pPr>
        <w:pStyle w:val="ListParagraph"/>
        <w:spacing w:line="240" w:lineRule="auto"/>
        <w:ind w:left="0"/>
        <w:rPr>
          <w:rFonts w:eastAsia="Calibri"/>
        </w:rPr>
      </w:pPr>
      <w:r>
        <w:rPr>
          <w:rFonts w:eastAsia="Calibri"/>
        </w:rPr>
        <w:t>One output of this historic comparison is the mean absolute percent error (MAPE). This is simply the absolute percent difference between the age/sex/geography model estimate for 2020 and the adjusted Census 2020 count. Because previous testing in Massachusetts revealed that age and cohort size are the most significant determinants of error in our cohort-change model, we group errors together by age and cohort sizes and combine male and female errors into the same age/size groups.</w:t>
      </w:r>
      <w:r>
        <w:rPr>
          <w:rStyle w:val="FootnoteReference"/>
          <w:rFonts w:eastAsia="Calibri"/>
        </w:rPr>
        <w:footnoteReference w:id="42"/>
      </w:r>
      <w:r>
        <w:rPr>
          <w:rFonts w:eastAsia="Calibri"/>
        </w:rPr>
        <w:t xml:space="preserve"> Table A2 in the Appendix of this report displays the age by size groups used for the MCD and tract-level errors. </w:t>
      </w:r>
      <w:r w:rsidRPr="00775229">
        <w:rPr>
          <w:rFonts w:eastAsia="Calibri"/>
        </w:rPr>
        <w:t>The MAPEs may be best interpreted as measures of the overall historic accuracy of the model by age group by cohort size</w:t>
      </w:r>
      <w:r w:rsidRPr="00001DA6">
        <w:rPr>
          <w:rFonts w:eastAsia="Calibri"/>
        </w:rPr>
        <w:t>.</w:t>
      </w:r>
      <w:r>
        <w:rPr>
          <w:rFonts w:eastAsia="Calibri"/>
        </w:rPr>
        <w:t xml:space="preserve"> Because the Cape and Islands region of the state, including Barnstable, Dukes, and Nantucket counties, all experienced unusual influxes of population in 2020, for the purpose of model evaluation we provide error information for 1) all Massachusetts geographies; 2) Cape and Island geographies only, and; 3) the balance of Massachusetts geographies excluding the Cape and Island counties.</w:t>
      </w:r>
    </w:p>
    <w:p w14:paraId="5E15E0AA" w14:textId="77777777" w:rsidR="000B3D3B" w:rsidRDefault="000B3D3B" w:rsidP="000B3D3B">
      <w:pPr>
        <w:spacing w:line="240" w:lineRule="auto"/>
        <w:rPr>
          <w:rFonts w:eastAsia="Calibri" w:cstheme="minorHAnsi"/>
        </w:rPr>
      </w:pPr>
      <w:r>
        <w:rPr>
          <w:rFonts w:eastAsia="Calibri" w:cstheme="minorHAnsi"/>
        </w:rPr>
        <w:t>Tables A3 through A5 in the Appendix to this report display the resulting MAPEs and number of observations by age group and cohort size for the MCD-level projections for all Massachusetts MCDs, for the Cape and Island MCDs, and for Massachusetts MCDs excluding the Cape and Islands, respectively. Tables A6 through A8 in the Appendix to this report display the resulting MAPEs and number of observations by age group and cohort size for the tract-level projections for all Massachusetts tracts, for the Cape and Island tracts, and for Massachusetts tracts excluding the Cape and Islands, respectively.</w:t>
      </w:r>
      <w:r>
        <w:rPr>
          <w:rStyle w:val="FootnoteReference"/>
          <w:rFonts w:eastAsia="Calibri" w:cstheme="minorHAnsi"/>
        </w:rPr>
        <w:footnoteReference w:id="43"/>
      </w:r>
    </w:p>
    <w:p w14:paraId="1CA728E0" w14:textId="14C99F00" w:rsidR="00F030E4" w:rsidRPr="007025FE" w:rsidRDefault="00F030E4" w:rsidP="007E6434">
      <w:pPr>
        <w:spacing w:line="240" w:lineRule="auto"/>
        <w:rPr>
          <w:rFonts w:eastAsia="Calibri" w:cstheme="minorHAnsi"/>
        </w:rPr>
      </w:pPr>
      <w:r w:rsidRPr="00513362">
        <w:rPr>
          <w:rFonts w:eastAsia="Calibri" w:cstheme="minorHAnsi"/>
        </w:rPr>
        <w:t>Tables A3 through A5 in the Appendix to this</w:t>
      </w:r>
      <w:r w:rsidRPr="007025FE">
        <w:rPr>
          <w:rFonts w:eastAsia="Calibri" w:cstheme="minorHAnsi"/>
        </w:rPr>
        <w:t xml:space="preserve"> report display the resulting MAPEs and number of observations by age group and cohort size for the MCD-level projections for all Massachusetts MCDs, for the Cape and Island MCDs, and for Massachusetts MCDs excluding the Cape and Islands, respectively. Tables A6 through A8 in the Appendix to this report display the resulting MAPEs and number of observations by age group and cohort size for the tract-level projections for all Massachusetts tracts, for the Cape and Island tracts, and for Massachusetts tracts excluding the Cape and Islands, respectively.</w:t>
      </w:r>
      <w:r w:rsidRPr="007025FE">
        <w:rPr>
          <w:rStyle w:val="FootnoteReference"/>
          <w:rFonts w:eastAsia="Calibri" w:cstheme="minorHAnsi"/>
        </w:rPr>
        <w:footnoteReference w:id="44"/>
      </w:r>
    </w:p>
    <w:p w14:paraId="2416471A" w14:textId="77777777" w:rsidR="002250C8" w:rsidRDefault="002250C8" w:rsidP="002250C8">
      <w:pPr>
        <w:pStyle w:val="Heading3"/>
      </w:pPr>
      <w:bookmarkStart w:id="39" w:name="_Toc197520539"/>
      <w:r>
        <w:t>Mean Percent Errors</w:t>
      </w:r>
      <w:bookmarkEnd w:id="39"/>
    </w:p>
    <w:p w14:paraId="05B26F04" w14:textId="16D85C81" w:rsidR="002250C8" w:rsidRDefault="002250C8" w:rsidP="002250C8">
      <w:pPr>
        <w:spacing w:line="240" w:lineRule="auto"/>
        <w:rPr>
          <w:rFonts w:eastAsia="Calibri" w:cstheme="minorHAnsi"/>
        </w:rPr>
      </w:pPr>
      <w:r w:rsidRPr="009548DE">
        <w:rPr>
          <w:rFonts w:ascii="Calibri" w:eastAsia="Calibri" w:hAnsi="Calibri"/>
        </w:rPr>
        <w:t>The mean percent error (</w:t>
      </w:r>
      <w:r w:rsidRPr="009548DE">
        <w:rPr>
          <w:rFonts w:eastAsia="Calibri" w:cstheme="minorHAnsi"/>
        </w:rPr>
        <w:t>MPE) indicates both the magnitude and the directional bias of the error associated with the historic model</w:t>
      </w:r>
      <w:r w:rsidRPr="002A1BEF">
        <w:rPr>
          <w:rFonts w:eastAsia="Calibri" w:cstheme="minorHAnsi"/>
        </w:rPr>
        <w:t>, such that if our model tended to</w:t>
      </w:r>
      <w:r>
        <w:rPr>
          <w:rFonts w:eastAsia="Calibri" w:cstheme="minorHAnsi"/>
        </w:rPr>
        <w:t xml:space="preserve"> over- or under-predict particular age/size cohorts, this directionality is also captured in our MPEs. We take the mean of the individual </w:t>
      </w:r>
      <w:r>
        <w:rPr>
          <w:rFonts w:eastAsia="Calibri" w:cstheme="minorHAnsi"/>
        </w:rPr>
        <w:lastRenderedPageBreak/>
        <w:t>percent errors of t</w:t>
      </w:r>
      <w:r>
        <w:rPr>
          <w:rFonts w:ascii="Calibri" w:eastAsia="Calibri" w:hAnsi="Calibri"/>
        </w:rPr>
        <w:t>he 18 age groups by 10 size categories at the tract level and by 9 size categories at the town level, which are calculated as follows.</w:t>
      </w:r>
      <w:r>
        <w:rPr>
          <w:rFonts w:ascii="Calibri" w:eastAsia="Calibri" w:hAnsi="Calibri"/>
          <w:vertAlign w:val="superscript"/>
        </w:rPr>
        <w:t xml:space="preserve"> </w:t>
      </w:r>
      <w:r>
        <w:rPr>
          <w:vertAlign w:val="superscript"/>
        </w:rPr>
        <w:footnoteReference w:id="45"/>
      </w:r>
    </w:p>
    <w:p w14:paraId="29599345" w14:textId="0F017911" w:rsidR="002250C8" w:rsidRDefault="002250C8" w:rsidP="00981CBE">
      <w:pPr>
        <w:spacing w:line="240" w:lineRule="auto"/>
        <w:jc w:val="center"/>
        <w:rPr>
          <w:rFonts w:eastAsia="Calibri" w:cstheme="minorHAnsi"/>
        </w:rPr>
      </w:pPr>
      <m:oMathPara>
        <m:oMath>
          <m:r>
            <w:rPr>
              <w:rFonts w:ascii="Cambria Math" w:eastAsia="Calibri" w:hAnsi="Cambria Math" w:cstheme="minorHAnsi"/>
            </w:rPr>
            <m:t>PE=</m:t>
          </m:r>
          <m:f>
            <m:fPr>
              <m:ctrlPr>
                <w:rPr>
                  <w:rFonts w:ascii="Cambria Math" w:eastAsia="Calibri" w:hAnsi="Cambria Math" w:cstheme="minorHAnsi"/>
                  <w:i/>
                </w:rPr>
              </m:ctrlPr>
            </m:fPr>
            <m:num>
              <m:r>
                <w:rPr>
                  <w:rFonts w:ascii="Cambria Math" w:eastAsia="Calibri" w:hAnsi="Cambria Math" w:cstheme="minorHAnsi"/>
                </w:rPr>
                <m:t>projected value-Census value</m:t>
              </m:r>
            </m:num>
            <m:den>
              <m:r>
                <w:rPr>
                  <w:rFonts w:ascii="Cambria Math" w:eastAsia="Calibri" w:hAnsi="Cambria Math" w:cstheme="minorHAnsi"/>
                </w:rPr>
                <m:t>Census value</m:t>
              </m:r>
            </m:den>
          </m:f>
        </m:oMath>
      </m:oMathPara>
    </w:p>
    <w:p w14:paraId="7DDC9D61" w14:textId="77777777" w:rsidR="00DB4DC7" w:rsidRDefault="00DB4DC7" w:rsidP="002250C8">
      <w:pPr>
        <w:spacing w:line="240" w:lineRule="auto"/>
        <w:rPr>
          <w:rFonts w:eastAsia="Calibri" w:cstheme="minorHAnsi"/>
        </w:rPr>
      </w:pPr>
    </w:p>
    <w:p w14:paraId="6C7374FD" w14:textId="4B43A9F9" w:rsidR="002250C8" w:rsidRDefault="002250C8" w:rsidP="002250C8">
      <w:pPr>
        <w:spacing w:line="240" w:lineRule="auto"/>
        <w:rPr>
          <w:rFonts w:eastAsia="Calibri" w:cstheme="minorHAnsi"/>
        </w:rPr>
      </w:pPr>
      <w:r>
        <w:rPr>
          <w:rFonts w:eastAsia="Calibri" w:cstheme="minorHAnsi"/>
        </w:rPr>
        <w:t>Like the MAPES, the MPEs are grouped together by age by cohort size, and Cape and Islands MPEs are reported separately from the rest of the state.</w:t>
      </w:r>
    </w:p>
    <w:p w14:paraId="245BED39" w14:textId="77777777" w:rsidR="002250C8" w:rsidRDefault="002250C8" w:rsidP="002250C8">
      <w:pPr>
        <w:spacing w:line="240" w:lineRule="auto"/>
        <w:rPr>
          <w:rFonts w:eastAsia="Calibri" w:cstheme="minorHAnsi"/>
        </w:rPr>
      </w:pPr>
      <w:r>
        <w:rPr>
          <w:rFonts w:eastAsia="Calibri" w:cstheme="minorHAnsi"/>
        </w:rPr>
        <w:t>Tables A6 through A8 in the Appendix to this report display the MPEs and number of observations by age group and cohort size for the MCD-level projections for all Massachusetts MCDs, for the Cape and Island MCDs, and for Massachusetts MCDs excluding the Cape and Islands, respectively. Tables A9 through A14 in the Appendix to this report display the MPEs and number of observations by age group and cohort size for the tract-level projections for all Massachusetts tracts, for the Cape and Island tracts, and for Massachusetts tracts excluding the Cape and Islands, respectively.</w:t>
      </w:r>
      <w:r>
        <w:rPr>
          <w:rStyle w:val="FootnoteReference"/>
          <w:rFonts w:eastAsia="Calibri" w:cstheme="minorHAnsi"/>
        </w:rPr>
        <w:footnoteReference w:id="46"/>
      </w:r>
    </w:p>
    <w:p w14:paraId="75A858FA" w14:textId="77777777" w:rsidR="002250C8" w:rsidRDefault="002250C8" w:rsidP="002250C8">
      <w:pPr>
        <w:pStyle w:val="Heading3"/>
      </w:pPr>
      <w:bookmarkStart w:id="40" w:name="_Toc197520540"/>
      <w:r>
        <w:t>Error Calculations</w:t>
      </w:r>
      <w:bookmarkEnd w:id="40"/>
    </w:p>
    <w:p w14:paraId="566A74A4" w14:textId="64DB8371" w:rsidR="002250C8" w:rsidRDefault="002250C8" w:rsidP="002250C8">
      <w:pPr>
        <w:pStyle w:val="ListParagraph"/>
        <w:spacing w:line="240" w:lineRule="auto"/>
        <w:ind w:left="0"/>
        <w:rPr>
          <w:rFonts w:ascii="Calibri" w:eastAsia="Calibri" w:hAnsi="Calibri"/>
        </w:rPr>
      </w:pPr>
      <w:r>
        <w:rPr>
          <w:rFonts w:ascii="Calibri" w:eastAsia="Calibri" w:hAnsi="Calibri"/>
        </w:rPr>
        <w:t xml:space="preserve">The model output for the V2024 series includes both “CCR estimates” and “adjusted estimates”. The “CCR estimate” value represents the </w:t>
      </w:r>
      <w:r w:rsidR="005C6232">
        <w:rPr>
          <w:rFonts w:ascii="Calibri" w:eastAsia="Calibri" w:hAnsi="Calibri"/>
        </w:rPr>
        <w:t xml:space="preserve">direct </w:t>
      </w:r>
      <w:r>
        <w:rPr>
          <w:rFonts w:ascii="Calibri" w:eastAsia="Calibri" w:hAnsi="Calibri"/>
        </w:rPr>
        <w:t>model output value that has not been adjusted by historical error, while the “adjusted estimate” incorporates corrections to the model associated with the MPE. While the MPE is a measure of how close our projection gets to the “true value” of the Census, to adjust our model, we need to develop a factor that will bring our model closer to the “true value</w:t>
      </w:r>
      <w:r w:rsidR="00DB5917">
        <w:rPr>
          <w:rFonts w:ascii="Calibri" w:eastAsia="Calibri" w:hAnsi="Calibri"/>
        </w:rPr>
        <w:t>,”</w:t>
      </w:r>
      <w:r>
        <w:rPr>
          <w:rFonts w:ascii="Calibri" w:eastAsia="Calibri" w:hAnsi="Calibri"/>
        </w:rPr>
        <w:t xml:space="preserve"> essentially an “applied” MPE. This requires a different calculation of the percent error, using the projected value as the denominator, as follows:  </w:t>
      </w:r>
    </w:p>
    <w:p w14:paraId="4D09A14D" w14:textId="77777777" w:rsidR="002250C8" w:rsidRDefault="002250C8" w:rsidP="002250C8">
      <w:pPr>
        <w:pStyle w:val="ListParagraph"/>
        <w:spacing w:line="240" w:lineRule="auto"/>
        <w:ind w:left="0"/>
        <w:rPr>
          <w:rFonts w:ascii="Calibri" w:eastAsia="Calibri" w:hAnsi="Calibri"/>
        </w:rPr>
      </w:pPr>
    </w:p>
    <w:p w14:paraId="057DEC21" w14:textId="77777777" w:rsidR="002250C8" w:rsidRDefault="002250C8" w:rsidP="002250C8">
      <w:pPr>
        <w:pStyle w:val="ListParagraph"/>
        <w:spacing w:line="240" w:lineRule="auto"/>
        <w:ind w:left="0"/>
        <w:rPr>
          <w:rFonts w:ascii="Calibri" w:eastAsia="Calibri" w:hAnsi="Calibri"/>
        </w:rPr>
      </w:pPr>
      <m:oMathPara>
        <m:oMath>
          <m:r>
            <w:rPr>
              <w:rFonts w:ascii="Cambria Math" w:eastAsia="Calibri" w:hAnsi="Cambria Math" w:cstheme="minorHAnsi"/>
            </w:rPr>
            <m:t>applied PE=</m:t>
          </m:r>
          <m:f>
            <m:fPr>
              <m:ctrlPr>
                <w:rPr>
                  <w:rFonts w:ascii="Cambria Math" w:eastAsia="Calibri" w:hAnsi="Cambria Math" w:cstheme="minorHAnsi"/>
                  <w:i/>
                </w:rPr>
              </m:ctrlPr>
            </m:fPr>
            <m:num>
              <m:r>
                <w:rPr>
                  <w:rFonts w:ascii="Cambria Math" w:eastAsia="Calibri" w:hAnsi="Cambria Math" w:cstheme="minorHAnsi"/>
                </w:rPr>
                <m:t>Census value-projected value</m:t>
              </m:r>
            </m:num>
            <m:den>
              <m:r>
                <w:rPr>
                  <w:rFonts w:ascii="Cambria Math" w:eastAsia="Calibri" w:hAnsi="Cambria Math" w:cstheme="minorHAnsi"/>
                </w:rPr>
                <m:t>projected value</m:t>
              </m:r>
            </m:den>
          </m:f>
        </m:oMath>
      </m:oMathPara>
    </w:p>
    <w:p w14:paraId="4AD869B5" w14:textId="77777777" w:rsidR="002250C8" w:rsidRDefault="002250C8" w:rsidP="002250C8">
      <w:pPr>
        <w:pStyle w:val="ListParagraph"/>
        <w:spacing w:line="240" w:lineRule="auto"/>
        <w:ind w:left="0"/>
        <w:rPr>
          <w:rFonts w:ascii="Calibri" w:eastAsia="Calibri" w:hAnsi="Calibri"/>
        </w:rPr>
      </w:pPr>
    </w:p>
    <w:p w14:paraId="6B5C15AD" w14:textId="77777777" w:rsidR="002250C8" w:rsidRDefault="002250C8" w:rsidP="002250C8">
      <w:pPr>
        <w:pStyle w:val="ListParagraph"/>
        <w:spacing w:line="240" w:lineRule="auto"/>
        <w:ind w:left="0"/>
        <w:rPr>
          <w:rFonts w:ascii="Calibri" w:eastAsia="Calibri" w:hAnsi="Calibri"/>
        </w:rPr>
      </w:pPr>
      <w:r>
        <w:rPr>
          <w:rFonts w:ascii="Calibri" w:eastAsia="Calibri" w:hAnsi="Calibri"/>
        </w:rPr>
        <w:t>In our error assignment, we take the applied mean percent errors and associated standard deviations for the 18 age groups by 10 size categories at the tract level and by 9 size categories at the town level.</w:t>
      </w:r>
      <w:r>
        <w:rPr>
          <w:rFonts w:ascii="Calibri" w:eastAsia="Calibri" w:hAnsi="Calibri"/>
          <w:vertAlign w:val="superscript"/>
        </w:rPr>
        <w:t xml:space="preserve"> </w:t>
      </w:r>
      <w:r>
        <w:rPr>
          <w:vertAlign w:val="superscript"/>
        </w:rPr>
        <w:footnoteReference w:id="47"/>
      </w:r>
      <w:r>
        <w:rPr>
          <w:rFonts w:ascii="Calibri" w:eastAsia="Calibri" w:hAnsi="Calibri"/>
        </w:rPr>
        <w:t xml:space="preserve"> Having determined little variation between male and female error in earlier model testing, for error assignment we group male and female error together in same age/size groups.</w:t>
      </w:r>
      <w:r>
        <w:rPr>
          <w:rStyle w:val="FootnoteReference"/>
          <w:rFonts w:ascii="Calibri" w:eastAsia="Calibri" w:hAnsi="Calibri"/>
        </w:rPr>
        <w:footnoteReference w:id="48"/>
      </w:r>
      <w:r>
        <w:rPr>
          <w:rFonts w:ascii="Calibri" w:eastAsia="Calibri" w:hAnsi="Calibri"/>
        </w:rPr>
        <w:t xml:space="preserve"> For each estimate value, we assign the corresponding historic age/size applied MPE and standard deviation. Next, using the following formula for sample standard deviation, we calculate 95% confidence intervals of percent </w:t>
      </w:r>
      <w:r>
        <w:rPr>
          <w:rFonts w:eastAsia="Calibri" w:cstheme="minorHAnsi"/>
        </w:rPr>
        <w:t xml:space="preserve">error for each age/size category (using the number of cohorts in each category to determine the t-value) </w:t>
      </w:r>
      <w:r>
        <w:rPr>
          <w:rFonts w:eastAsia="Calibri" w:cstheme="minorHAnsi"/>
        </w:rPr>
        <w:lastRenderedPageBreak/>
        <w:t xml:space="preserve">and output the values as lower and upper confidence intervals around the estimate, where </w:t>
      </w:r>
      <m:oMath>
        <m:acc>
          <m:accPr>
            <m:chr m:val="̅"/>
            <m:ctrlPr>
              <w:rPr>
                <w:rFonts w:ascii="Cambria Math" w:eastAsia="Calibri" w:hAnsi="Cambria Math" w:cstheme="minorHAnsi"/>
                <w:i/>
              </w:rPr>
            </m:ctrlPr>
          </m:accPr>
          <m:e>
            <m:r>
              <w:rPr>
                <w:rFonts w:ascii="Cambria Math" w:eastAsia="Calibri" w:hAnsi="Cambria Math" w:cstheme="minorHAnsi"/>
              </w:rPr>
              <m:t>x</m:t>
            </m:r>
          </m:e>
        </m:acc>
      </m:oMath>
      <w:r>
        <w:rPr>
          <w:rFonts w:eastAsia="Calibri" w:cstheme="minorHAnsi"/>
        </w:rPr>
        <w:t xml:space="preserve"> = applied MPE, </w:t>
      </w:r>
      <w:r>
        <w:rPr>
          <w:rFonts w:eastAsia="Calibri" w:cstheme="minorHAnsi"/>
          <w:i/>
        </w:rPr>
        <w:t xml:space="preserve">x </w:t>
      </w:r>
      <w:r>
        <w:rPr>
          <w:rFonts w:eastAsia="Calibri" w:cstheme="minorHAnsi"/>
        </w:rPr>
        <w:t xml:space="preserve">= individual observation, </w:t>
      </w:r>
      <w:r>
        <w:rPr>
          <w:rFonts w:eastAsia="Calibri" w:cstheme="minorHAnsi"/>
          <w:i/>
        </w:rPr>
        <w:t>t</w:t>
      </w:r>
      <w:r>
        <w:rPr>
          <w:rFonts w:eastAsia="Calibri" w:cstheme="minorHAnsi"/>
        </w:rPr>
        <w:t xml:space="preserve"> = t-value, and </w:t>
      </w:r>
      <w:r>
        <w:rPr>
          <w:rFonts w:eastAsia="Calibri" w:cstheme="minorHAnsi"/>
          <w:i/>
        </w:rPr>
        <w:t xml:space="preserve">n </w:t>
      </w:r>
      <w:r>
        <w:rPr>
          <w:rFonts w:eastAsia="Calibri" w:cstheme="minorHAnsi"/>
        </w:rPr>
        <w:t>= sample size. For age/size groups for which we have zero observations or only 1 observation, we assign the standard deviation of the next youngest cohort in the same size category and the</w:t>
      </w:r>
      <w:r>
        <w:rPr>
          <w:rFonts w:eastAsia="Calibri"/>
        </w:rPr>
        <w:t xml:space="preserve"> largest t-value possible (degrees of freedom = 1) to calculate the error</w:t>
      </w:r>
      <w:r>
        <w:rPr>
          <w:rFonts w:eastAsia="Calibri" w:cstheme="minorHAnsi"/>
        </w:rPr>
        <w:t>.</w:t>
      </w:r>
    </w:p>
    <w:p w14:paraId="46B86E48" w14:textId="77777777" w:rsidR="002250C8" w:rsidRDefault="002250C8" w:rsidP="002250C8">
      <w:pPr>
        <w:pStyle w:val="ListParagraph"/>
        <w:spacing w:line="240" w:lineRule="auto"/>
        <w:ind w:left="0"/>
        <w:rPr>
          <w:rFonts w:ascii="Calibri" w:eastAsia="Calibri" w:hAnsi="Calibri"/>
        </w:rPr>
      </w:pPr>
    </w:p>
    <w:p w14:paraId="2C6B914E" w14:textId="77777777" w:rsidR="002250C8" w:rsidRDefault="00A8011B" w:rsidP="002250C8">
      <w:pPr>
        <w:spacing w:line="240" w:lineRule="auto"/>
        <w:rPr>
          <w:rFonts w:ascii="Calibri" w:eastAsia="Calibri" w:hAnsi="Calibri"/>
        </w:rPr>
      </w:pPr>
      <m:oMathPara>
        <m:oMath>
          <m:d>
            <m:dPr>
              <m:ctrlPr>
                <w:rPr>
                  <w:rFonts w:ascii="Cambria Math" w:eastAsia="Calibri" w:hAnsi="Cambria Math"/>
                  <w:i/>
                </w:rPr>
              </m:ctrlPr>
            </m:dPr>
            <m:e>
              <m:acc>
                <m:accPr>
                  <m:chr m:val="̅"/>
                  <m:ctrlPr>
                    <w:rPr>
                      <w:rFonts w:ascii="Cambria Math" w:eastAsia="Calibri" w:hAnsi="Cambria Math"/>
                      <w:i/>
                    </w:rPr>
                  </m:ctrlPr>
                </m:accPr>
                <m:e>
                  <m:r>
                    <w:rPr>
                      <w:rFonts w:ascii="Cambria Math" w:eastAsia="Calibri" w:hAnsi="Cambria Math"/>
                    </w:rPr>
                    <m:t>x</m:t>
                  </m:r>
                </m:e>
              </m:acc>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t</m:t>
                  </m:r>
                </m:e>
                <m:sup>
                  <m:r>
                    <w:rPr>
                      <w:rFonts w:ascii="Cambria Math" w:eastAsia="Calibri" w:hAnsi="Cambria Math"/>
                    </w:rPr>
                    <m:t>*</m:t>
                  </m:r>
                </m:sup>
              </m:sSup>
              <m:rad>
                <m:radPr>
                  <m:degHide m:val="1"/>
                  <m:ctrlPr>
                    <w:rPr>
                      <w:rFonts w:ascii="Cambria Math" w:eastAsia="Calibri" w:hAnsi="Cambria Math"/>
                      <w:i/>
                    </w:rPr>
                  </m:ctrlPr>
                </m:radPr>
                <m:deg/>
                <m:e>
                  <m:f>
                    <m:fPr>
                      <m:ctrlPr>
                        <w:rPr>
                          <w:rFonts w:ascii="Cambria Math" w:eastAsia="Calibri" w:hAnsi="Cambria Math"/>
                          <w:i/>
                        </w:rPr>
                      </m:ctrlPr>
                    </m:fPr>
                    <m:num>
                      <m:nary>
                        <m:naryPr>
                          <m:chr m:val="∑"/>
                          <m:limLoc m:val="undOvr"/>
                          <m:subHide m:val="1"/>
                          <m:supHide m:val="1"/>
                          <m:ctrlPr>
                            <w:rPr>
                              <w:rFonts w:ascii="Cambria Math" w:eastAsia="Calibri" w:hAnsi="Cambria Math"/>
                              <w:i/>
                            </w:rPr>
                          </m:ctrlPr>
                        </m:naryPr>
                        <m:sub/>
                        <m:sup/>
                        <m:e>
                          <m:sSup>
                            <m:sSupPr>
                              <m:ctrlPr>
                                <w:rPr>
                                  <w:rFonts w:ascii="Cambria Math" w:eastAsia="Calibri" w:hAnsi="Cambria Math"/>
                                  <w:i/>
                                </w:rPr>
                              </m:ctrlPr>
                            </m:sSupPr>
                            <m:e>
                              <m:d>
                                <m:dPr>
                                  <m:ctrlPr>
                                    <w:rPr>
                                      <w:rFonts w:ascii="Cambria Math" w:eastAsia="Calibri" w:hAnsi="Cambria Math"/>
                                      <w:i/>
                                    </w:rPr>
                                  </m:ctrlPr>
                                </m:dPr>
                                <m:e>
                                  <m:r>
                                    <w:rPr>
                                      <w:rFonts w:ascii="Cambria Math" w:eastAsia="Calibri" w:hAnsi="Cambria Math"/>
                                    </w:rPr>
                                    <m:t xml:space="preserve">x- </m:t>
                                  </m:r>
                                  <m:acc>
                                    <m:accPr>
                                      <m:chr m:val="̅"/>
                                      <m:ctrlPr>
                                        <w:rPr>
                                          <w:rFonts w:ascii="Cambria Math" w:eastAsia="Calibri" w:hAnsi="Cambria Math"/>
                                          <w:i/>
                                        </w:rPr>
                                      </m:ctrlPr>
                                    </m:accPr>
                                    <m:e>
                                      <m:r>
                                        <w:rPr>
                                          <w:rFonts w:ascii="Cambria Math" w:eastAsia="Calibri" w:hAnsi="Cambria Math"/>
                                        </w:rPr>
                                        <m:t>x</m:t>
                                      </m:r>
                                    </m:e>
                                  </m:acc>
                                </m:e>
                              </m:d>
                            </m:e>
                            <m:sup>
                              <m:r>
                                <w:rPr>
                                  <w:rFonts w:ascii="Cambria Math" w:eastAsia="Calibri" w:hAnsi="Cambria Math"/>
                                </w:rPr>
                                <m:t>2</m:t>
                              </m:r>
                            </m:sup>
                          </m:sSup>
                        </m:e>
                      </m:nary>
                    </m:num>
                    <m:den>
                      <m:d>
                        <m:dPr>
                          <m:ctrlPr>
                            <w:rPr>
                              <w:rFonts w:ascii="Cambria Math" w:eastAsia="Calibri" w:hAnsi="Cambria Math"/>
                              <w:i/>
                            </w:rPr>
                          </m:ctrlPr>
                        </m:dPr>
                        <m:e>
                          <m:r>
                            <w:rPr>
                              <w:rFonts w:ascii="Cambria Math" w:eastAsia="Calibri" w:hAnsi="Cambria Math"/>
                            </w:rPr>
                            <m:t>n-1</m:t>
                          </m:r>
                        </m:e>
                      </m:d>
                    </m:den>
                  </m:f>
                </m:e>
              </m:rad>
              <m:r>
                <w:rPr>
                  <w:rFonts w:ascii="Cambria Math" w:eastAsia="Calibri" w:hAnsi="Cambria Math"/>
                </w:rPr>
                <m:t xml:space="preserve">    ,  </m:t>
              </m:r>
              <m:acc>
                <m:accPr>
                  <m:chr m:val="̅"/>
                  <m:ctrlPr>
                    <w:rPr>
                      <w:rFonts w:ascii="Cambria Math" w:eastAsia="Calibri" w:hAnsi="Cambria Math"/>
                      <w:i/>
                    </w:rPr>
                  </m:ctrlPr>
                </m:accPr>
                <m:e>
                  <m:r>
                    <w:rPr>
                      <w:rFonts w:ascii="Cambria Math" w:eastAsia="Calibri" w:hAnsi="Cambria Math"/>
                    </w:rPr>
                    <m:t>x</m:t>
                  </m:r>
                </m:e>
              </m:acc>
              <m:r>
                <w:rPr>
                  <w:rFonts w:ascii="Cambria Math" w:eastAsia="Calibri" w:hAnsi="Cambria Math"/>
                </w:rPr>
                <m:t xml:space="preserve">+ </m:t>
              </m:r>
              <m:sSup>
                <m:sSupPr>
                  <m:ctrlPr>
                    <w:rPr>
                      <w:rFonts w:ascii="Cambria Math" w:eastAsia="Calibri" w:hAnsi="Cambria Math"/>
                      <w:i/>
                    </w:rPr>
                  </m:ctrlPr>
                </m:sSupPr>
                <m:e>
                  <m:r>
                    <w:rPr>
                      <w:rFonts w:ascii="Cambria Math" w:eastAsia="Calibri" w:hAnsi="Cambria Math"/>
                    </w:rPr>
                    <m:t>t</m:t>
                  </m:r>
                </m:e>
                <m:sup>
                  <m:r>
                    <w:rPr>
                      <w:rFonts w:ascii="Cambria Math" w:eastAsia="Calibri" w:hAnsi="Cambria Math"/>
                    </w:rPr>
                    <m:t>*</m:t>
                  </m:r>
                </m:sup>
              </m:sSup>
              <m:rad>
                <m:radPr>
                  <m:degHide m:val="1"/>
                  <m:ctrlPr>
                    <w:rPr>
                      <w:rFonts w:ascii="Cambria Math" w:eastAsia="Calibri" w:hAnsi="Cambria Math"/>
                      <w:i/>
                    </w:rPr>
                  </m:ctrlPr>
                </m:radPr>
                <m:deg/>
                <m:e>
                  <m:f>
                    <m:fPr>
                      <m:ctrlPr>
                        <w:rPr>
                          <w:rFonts w:ascii="Cambria Math" w:eastAsia="Calibri" w:hAnsi="Cambria Math"/>
                          <w:i/>
                        </w:rPr>
                      </m:ctrlPr>
                    </m:fPr>
                    <m:num>
                      <m:nary>
                        <m:naryPr>
                          <m:chr m:val="∑"/>
                          <m:limLoc m:val="undOvr"/>
                          <m:subHide m:val="1"/>
                          <m:supHide m:val="1"/>
                          <m:ctrlPr>
                            <w:rPr>
                              <w:rFonts w:ascii="Cambria Math" w:eastAsia="Calibri" w:hAnsi="Cambria Math"/>
                              <w:i/>
                            </w:rPr>
                          </m:ctrlPr>
                        </m:naryPr>
                        <m:sub/>
                        <m:sup/>
                        <m:e>
                          <m:sSup>
                            <m:sSupPr>
                              <m:ctrlPr>
                                <w:rPr>
                                  <w:rFonts w:ascii="Cambria Math" w:eastAsia="Calibri" w:hAnsi="Cambria Math"/>
                                  <w:i/>
                                </w:rPr>
                              </m:ctrlPr>
                            </m:sSupPr>
                            <m:e>
                              <m:d>
                                <m:dPr>
                                  <m:ctrlPr>
                                    <w:rPr>
                                      <w:rFonts w:ascii="Cambria Math" w:eastAsia="Calibri" w:hAnsi="Cambria Math"/>
                                      <w:i/>
                                    </w:rPr>
                                  </m:ctrlPr>
                                </m:dPr>
                                <m:e>
                                  <m:r>
                                    <w:rPr>
                                      <w:rFonts w:ascii="Cambria Math" w:eastAsia="Calibri" w:hAnsi="Cambria Math"/>
                                    </w:rPr>
                                    <m:t xml:space="preserve">x- </m:t>
                                  </m:r>
                                  <m:acc>
                                    <m:accPr>
                                      <m:chr m:val="̅"/>
                                      <m:ctrlPr>
                                        <w:rPr>
                                          <w:rFonts w:ascii="Cambria Math" w:eastAsia="Calibri" w:hAnsi="Cambria Math"/>
                                          <w:i/>
                                        </w:rPr>
                                      </m:ctrlPr>
                                    </m:accPr>
                                    <m:e>
                                      <m:r>
                                        <w:rPr>
                                          <w:rFonts w:ascii="Cambria Math" w:eastAsia="Calibri" w:hAnsi="Cambria Math"/>
                                        </w:rPr>
                                        <m:t>x</m:t>
                                      </m:r>
                                    </m:e>
                                  </m:acc>
                                </m:e>
                              </m:d>
                            </m:e>
                            <m:sup>
                              <m:r>
                                <w:rPr>
                                  <w:rFonts w:ascii="Cambria Math" w:eastAsia="Calibri" w:hAnsi="Cambria Math"/>
                                </w:rPr>
                                <m:t>2</m:t>
                              </m:r>
                            </m:sup>
                          </m:sSup>
                        </m:e>
                      </m:nary>
                    </m:num>
                    <m:den>
                      <m:d>
                        <m:dPr>
                          <m:ctrlPr>
                            <w:rPr>
                              <w:rFonts w:ascii="Cambria Math" w:eastAsia="Calibri" w:hAnsi="Cambria Math"/>
                              <w:i/>
                            </w:rPr>
                          </m:ctrlPr>
                        </m:dPr>
                        <m:e>
                          <m:r>
                            <w:rPr>
                              <w:rFonts w:ascii="Cambria Math" w:eastAsia="Calibri" w:hAnsi="Cambria Math"/>
                            </w:rPr>
                            <m:t>n-1</m:t>
                          </m:r>
                        </m:e>
                      </m:d>
                    </m:den>
                  </m:f>
                </m:e>
              </m:rad>
              <m:r>
                <w:rPr>
                  <w:rFonts w:ascii="Cambria Math" w:eastAsia="Calibri" w:hAnsi="Cambria Math"/>
                </w:rPr>
                <m:t xml:space="preserve">  </m:t>
              </m:r>
            </m:e>
          </m:d>
        </m:oMath>
      </m:oMathPara>
    </w:p>
    <w:p w14:paraId="35B22C50" w14:textId="135D5823" w:rsidR="002250C8" w:rsidRDefault="002250C8" w:rsidP="002250C8">
      <w:pPr>
        <w:pStyle w:val="ListParagraph"/>
        <w:spacing w:line="240" w:lineRule="auto"/>
        <w:ind w:left="0"/>
        <w:rPr>
          <w:rFonts w:ascii="Calibri" w:eastAsia="Calibri" w:hAnsi="Calibri"/>
        </w:rPr>
      </w:pPr>
      <w:r>
        <w:rPr>
          <w:rFonts w:ascii="Calibri" w:eastAsia="Calibri" w:hAnsi="Calibri"/>
        </w:rPr>
        <w:t>The assumption in our error assignment method—and one of the major assumptions in our model—is that the model performance will be the same from 2020 to 2030 as it was from 2010 to 2020. In actuality, a number of factors may affect the model</w:t>
      </w:r>
      <w:r w:rsidR="000B6B44">
        <w:rPr>
          <w:rFonts w:ascii="Calibri" w:eastAsia="Calibri" w:hAnsi="Calibri"/>
        </w:rPr>
        <w:t>’s</w:t>
      </w:r>
      <w:r>
        <w:rPr>
          <w:rFonts w:ascii="Calibri" w:eastAsia="Calibri" w:hAnsi="Calibri"/>
        </w:rPr>
        <w:t xml:space="preserve"> performance from one period to another. These include both changes in migration, fertility, and death-by-age trends from one decade to the next as well as differences in the accuracy of the actual census counts from 2000 to 2010 to 2020. Because our model incorporates a control back to current county estimates we believe that our current estimates will perform better than the historic estimates we use to assign error. However, the extent of this improvement is unquantified and is reliant also upon the strength of the county estimates themselves. </w:t>
      </w:r>
    </w:p>
    <w:p w14:paraId="0F5ABDC6" w14:textId="0839993C" w:rsidR="002250C8" w:rsidRDefault="002250C8" w:rsidP="002250C8">
      <w:pPr>
        <w:rPr>
          <w:rFonts w:eastAsia="Calibri" w:cstheme="minorHAnsi"/>
        </w:rPr>
      </w:pPr>
      <w:r>
        <w:rPr>
          <w:rFonts w:eastAsia="Calibri" w:cstheme="minorHAnsi"/>
        </w:rPr>
        <w:t>It is critical to note that the application of the directional bias indicated by the MPE assumes that the model will perform the same this decade as it did in the last. So, if our method under-predicted the population of 0-4 year olds in 2020, we assume that it will under-predict them again in 2030, and the “adjusted estimate” is calculated accordingly, based on our historic MPE</w:t>
      </w:r>
      <w:r w:rsidR="00F30FCA">
        <w:rPr>
          <w:rFonts w:eastAsia="Calibri" w:cstheme="minorHAnsi"/>
        </w:rPr>
        <w:t xml:space="preserve">. </w:t>
      </w:r>
      <w:r>
        <w:rPr>
          <w:rFonts w:eastAsia="Calibri" w:cstheme="minorHAnsi"/>
        </w:rPr>
        <w:t>In our output, we refer to the estimates that account for the historic MPEs and standard deviations as our “adjusted estimates,” and our upper and lower bound estimates—our “Lower Pop” and “Upper Pop” values are likewise a product of the historically-based applied MPEs and standard deviations.</w:t>
      </w:r>
      <w:r w:rsidR="00A75ADE">
        <w:rPr>
          <w:rFonts w:eastAsia="Calibri" w:cstheme="minorHAnsi"/>
        </w:rPr>
        <w:t xml:space="preserve"> </w:t>
      </w:r>
      <w:r w:rsidR="00B53E51">
        <w:rPr>
          <w:rFonts w:eastAsia="Calibri" w:cstheme="minorHAnsi"/>
        </w:rPr>
        <w:t xml:space="preserve">Like the MAPES, the MPEs and applied MPEs are grouped together by age by cohort size, and Cape and Islands MPEs are reported separately from the rest of the state. </w:t>
      </w:r>
      <w:r w:rsidR="00A75ADE">
        <w:rPr>
          <w:rFonts w:eastAsia="Calibri" w:cstheme="minorHAnsi"/>
        </w:rPr>
        <w:t xml:space="preserve">In some rare cases, our un-adjusted CCR estimate may fall outside the limits of the </w:t>
      </w:r>
      <w:r w:rsidR="003647F0">
        <w:rPr>
          <w:rFonts w:eastAsia="Calibri" w:cstheme="minorHAnsi"/>
        </w:rPr>
        <w:t>“Lower Pop” or “Upper Pop”</w:t>
      </w:r>
      <w:r w:rsidR="00756D18">
        <w:rPr>
          <w:rFonts w:eastAsia="Calibri" w:cstheme="minorHAnsi"/>
        </w:rPr>
        <w:t xml:space="preserve">. This </w:t>
      </w:r>
      <w:r w:rsidR="00E16EEC">
        <w:rPr>
          <w:rFonts w:eastAsia="Calibri" w:cstheme="minorHAnsi"/>
        </w:rPr>
        <w:t>is due to assumptions made in the binning of individual</w:t>
      </w:r>
      <w:r w:rsidR="00196113">
        <w:rPr>
          <w:rFonts w:eastAsia="Calibri" w:cstheme="minorHAnsi"/>
        </w:rPr>
        <w:t xml:space="preserve"> cohorts based on size, age, and geography. </w:t>
      </w:r>
      <w:r>
        <w:rPr>
          <w:rFonts w:eastAsia="Calibri" w:cstheme="minorHAnsi"/>
        </w:rPr>
        <w:t xml:space="preserve"> </w:t>
      </w:r>
      <w:r w:rsidR="00196113">
        <w:rPr>
          <w:rFonts w:eastAsia="Calibri" w:cstheme="minorHAnsi"/>
        </w:rPr>
        <w:t xml:space="preserve">While in the </w:t>
      </w:r>
      <w:r w:rsidR="008B7BBE">
        <w:rPr>
          <w:rFonts w:eastAsia="Calibri" w:cstheme="minorHAnsi"/>
        </w:rPr>
        <w:t xml:space="preserve">majority of cases, the assumption that cohorts </w:t>
      </w:r>
      <w:r w:rsidR="00187CCC">
        <w:rPr>
          <w:rFonts w:eastAsia="Calibri" w:cstheme="minorHAnsi"/>
        </w:rPr>
        <w:t xml:space="preserve">with the same size, age and geographical characteristics will </w:t>
      </w:r>
      <w:r w:rsidR="00FA1C90">
        <w:rPr>
          <w:rFonts w:eastAsia="Calibri" w:cstheme="minorHAnsi"/>
        </w:rPr>
        <w:t>behave similarly in the model</w:t>
      </w:r>
      <w:r w:rsidR="00D303F6">
        <w:rPr>
          <w:rFonts w:eastAsia="Calibri" w:cstheme="minorHAnsi"/>
        </w:rPr>
        <w:t xml:space="preserve"> as each other</w:t>
      </w:r>
      <w:r w:rsidR="00D90EB9">
        <w:rPr>
          <w:rFonts w:eastAsia="Calibri" w:cstheme="minorHAnsi"/>
        </w:rPr>
        <w:t>--</w:t>
      </w:r>
      <w:r w:rsidR="00D303F6">
        <w:rPr>
          <w:rFonts w:eastAsia="Calibri" w:cstheme="minorHAnsi"/>
        </w:rPr>
        <w:t xml:space="preserve"> as well as </w:t>
      </w:r>
      <w:r w:rsidR="0080313F">
        <w:rPr>
          <w:rFonts w:eastAsia="Calibri" w:cstheme="minorHAnsi"/>
        </w:rPr>
        <w:t>similarly in 2010</w:t>
      </w:r>
      <w:r w:rsidR="0074692B">
        <w:rPr>
          <w:rFonts w:eastAsia="Calibri" w:cstheme="minorHAnsi"/>
        </w:rPr>
        <w:t>-</w:t>
      </w:r>
      <w:r w:rsidR="0080313F">
        <w:rPr>
          <w:rFonts w:eastAsia="Calibri" w:cstheme="minorHAnsi"/>
        </w:rPr>
        <w:t>to</w:t>
      </w:r>
      <w:r w:rsidR="0074692B">
        <w:rPr>
          <w:rFonts w:eastAsia="Calibri" w:cstheme="minorHAnsi"/>
        </w:rPr>
        <w:t>-</w:t>
      </w:r>
      <w:r w:rsidR="0080313F">
        <w:rPr>
          <w:rFonts w:eastAsia="Calibri" w:cstheme="minorHAnsi"/>
        </w:rPr>
        <w:t>2020 and 2020</w:t>
      </w:r>
      <w:r w:rsidR="0074692B">
        <w:rPr>
          <w:rFonts w:eastAsia="Calibri" w:cstheme="minorHAnsi"/>
        </w:rPr>
        <w:t>-</w:t>
      </w:r>
      <w:r w:rsidR="0080313F">
        <w:rPr>
          <w:rFonts w:eastAsia="Calibri" w:cstheme="minorHAnsi"/>
        </w:rPr>
        <w:t>to</w:t>
      </w:r>
      <w:r w:rsidR="0074692B">
        <w:rPr>
          <w:rFonts w:eastAsia="Calibri" w:cstheme="minorHAnsi"/>
        </w:rPr>
        <w:t>-</w:t>
      </w:r>
      <w:r w:rsidR="0080313F">
        <w:rPr>
          <w:rFonts w:eastAsia="Calibri" w:cstheme="minorHAnsi"/>
        </w:rPr>
        <w:t>2030 projections</w:t>
      </w:r>
      <w:r w:rsidR="004716BE">
        <w:rPr>
          <w:rFonts w:eastAsia="Calibri" w:cstheme="minorHAnsi"/>
        </w:rPr>
        <w:t>—there may</w:t>
      </w:r>
      <w:r w:rsidR="00FA1C90">
        <w:rPr>
          <w:rFonts w:eastAsia="Calibri" w:cstheme="minorHAnsi"/>
        </w:rPr>
        <w:t xml:space="preserve"> be occasional outliers</w:t>
      </w:r>
      <w:r w:rsidR="00B6034E">
        <w:rPr>
          <w:rFonts w:eastAsia="Calibri" w:cstheme="minorHAnsi"/>
        </w:rPr>
        <w:t xml:space="preserve"> where these assumptions </w:t>
      </w:r>
      <w:r w:rsidR="004716BE">
        <w:rPr>
          <w:rFonts w:eastAsia="Calibri" w:cstheme="minorHAnsi"/>
        </w:rPr>
        <w:t>do</w:t>
      </w:r>
      <w:r w:rsidR="00B6034E">
        <w:rPr>
          <w:rFonts w:eastAsia="Calibri" w:cstheme="minorHAnsi"/>
        </w:rPr>
        <w:t xml:space="preserve"> not hold</w:t>
      </w:r>
      <w:r w:rsidR="001776D2">
        <w:rPr>
          <w:rFonts w:eastAsia="Calibri" w:cstheme="minorHAnsi"/>
        </w:rPr>
        <w:t xml:space="preserve">. </w:t>
      </w:r>
      <w:r w:rsidR="006724E8">
        <w:rPr>
          <w:rFonts w:eastAsia="Calibri" w:cstheme="minorHAnsi"/>
        </w:rPr>
        <w:t xml:space="preserve">These </w:t>
      </w:r>
      <w:r w:rsidR="00C6214C">
        <w:rPr>
          <w:rFonts w:eastAsia="Calibri" w:cstheme="minorHAnsi"/>
        </w:rPr>
        <w:t xml:space="preserve">cases </w:t>
      </w:r>
      <w:r w:rsidR="006724E8">
        <w:rPr>
          <w:rFonts w:eastAsia="Calibri" w:cstheme="minorHAnsi"/>
        </w:rPr>
        <w:t xml:space="preserve">would </w:t>
      </w:r>
      <w:r w:rsidR="00C6214C">
        <w:rPr>
          <w:rFonts w:eastAsia="Calibri" w:cstheme="minorHAnsi"/>
        </w:rPr>
        <w:t xml:space="preserve">probably </w:t>
      </w:r>
      <w:r w:rsidR="006724E8">
        <w:rPr>
          <w:rFonts w:eastAsia="Calibri" w:cstheme="minorHAnsi"/>
        </w:rPr>
        <w:t>be identifi</w:t>
      </w:r>
      <w:r w:rsidR="00C6214C">
        <w:rPr>
          <w:rFonts w:eastAsia="Calibri" w:cstheme="minorHAnsi"/>
        </w:rPr>
        <w:t xml:space="preserve">able only </w:t>
      </w:r>
      <w:r w:rsidR="002926E8">
        <w:rPr>
          <w:rFonts w:eastAsia="Calibri" w:cstheme="minorHAnsi"/>
        </w:rPr>
        <w:t xml:space="preserve">through the error assignment process and </w:t>
      </w:r>
      <w:r w:rsidR="001F60E8">
        <w:rPr>
          <w:rFonts w:eastAsia="Calibri" w:cstheme="minorHAnsi"/>
        </w:rPr>
        <w:t xml:space="preserve">only </w:t>
      </w:r>
      <w:r w:rsidR="00B6034E">
        <w:rPr>
          <w:rFonts w:eastAsia="Calibri" w:cstheme="minorHAnsi"/>
        </w:rPr>
        <w:t>further research</w:t>
      </w:r>
      <w:r w:rsidR="004E43C4">
        <w:rPr>
          <w:rFonts w:eastAsia="Calibri" w:cstheme="minorHAnsi"/>
        </w:rPr>
        <w:t xml:space="preserve"> on an individual basis would show whether additional corrections to that specific cohort projection are necessary</w:t>
      </w:r>
      <w:r w:rsidR="00B6034E">
        <w:rPr>
          <w:rFonts w:eastAsia="Calibri" w:cstheme="minorHAnsi"/>
        </w:rPr>
        <w:t xml:space="preserve">. </w:t>
      </w:r>
      <w:r w:rsidR="00585923">
        <w:rPr>
          <w:rFonts w:eastAsia="Calibri" w:cstheme="minorHAnsi"/>
        </w:rPr>
        <w:t xml:space="preserve">Additionally, our </w:t>
      </w:r>
      <w:r w:rsidR="00344FB6">
        <w:rPr>
          <w:rFonts w:eastAsia="Calibri" w:cstheme="minorHAnsi"/>
        </w:rPr>
        <w:t>upper and lower population</w:t>
      </w:r>
      <w:r w:rsidR="004E43C4">
        <w:rPr>
          <w:rFonts w:eastAsia="Calibri" w:cstheme="minorHAnsi"/>
        </w:rPr>
        <w:t xml:space="preserve"> bounds</w:t>
      </w:r>
      <w:r w:rsidR="00344FB6">
        <w:rPr>
          <w:rFonts w:eastAsia="Calibri" w:cstheme="minorHAnsi"/>
        </w:rPr>
        <w:t xml:space="preserve"> </w:t>
      </w:r>
      <w:r w:rsidR="00652FD6">
        <w:rPr>
          <w:rFonts w:eastAsia="Calibri" w:cstheme="minorHAnsi"/>
        </w:rPr>
        <w:t xml:space="preserve">represent confidence </w:t>
      </w:r>
      <w:r w:rsidR="0092194C">
        <w:rPr>
          <w:rFonts w:eastAsia="Calibri" w:cstheme="minorHAnsi"/>
        </w:rPr>
        <w:t xml:space="preserve">95% </w:t>
      </w:r>
      <w:r w:rsidR="00652FD6">
        <w:rPr>
          <w:rFonts w:eastAsia="Calibri" w:cstheme="minorHAnsi"/>
        </w:rPr>
        <w:t xml:space="preserve">intervals, and </w:t>
      </w:r>
      <w:r w:rsidR="0092194C">
        <w:rPr>
          <w:rFonts w:eastAsia="Calibri" w:cstheme="minorHAnsi"/>
        </w:rPr>
        <w:t>we would expect</w:t>
      </w:r>
      <w:r w:rsidR="001235C7">
        <w:rPr>
          <w:rFonts w:eastAsia="Calibri" w:cstheme="minorHAnsi"/>
        </w:rPr>
        <w:t xml:space="preserve"> approximately 5% of the projections</w:t>
      </w:r>
      <w:r w:rsidR="00D02792">
        <w:rPr>
          <w:rFonts w:eastAsia="Calibri" w:cstheme="minorHAnsi"/>
        </w:rPr>
        <w:t xml:space="preserve"> to fall outside of that range. </w:t>
      </w:r>
    </w:p>
    <w:p w14:paraId="272F1E10" w14:textId="09805B0B" w:rsidR="002250C8" w:rsidRDefault="002250C8" w:rsidP="002250C8">
      <w:pPr>
        <w:spacing w:line="240" w:lineRule="auto"/>
        <w:rPr>
          <w:rFonts w:ascii="Calibri" w:eastAsia="Calibri" w:hAnsi="Calibri"/>
        </w:rPr>
      </w:pPr>
      <w:r>
        <w:rPr>
          <w:rFonts w:ascii="Calibri" w:eastAsia="Calibri" w:hAnsi="Calibri"/>
        </w:rPr>
        <w:t xml:space="preserve">In cases where a researcher does not want to assume that the model will perform similarly in this decade as compared to last, in terms of under- or overestimating a particular group, the unadjusted “CCR estimate” provides a better denominator for rates calculation. For example, in the Cape and Islands and Berkshires, the seasonal or “recreational” regions of the state, a sudden influx of migrants in 2020 due to the COVID-19 pandemic, coupled with delayed decennial census operations that took place well into the summer months, </w:t>
      </w:r>
      <w:r w:rsidR="00C624A6">
        <w:rPr>
          <w:rFonts w:ascii="Calibri" w:eastAsia="Calibri" w:hAnsi="Calibri"/>
        </w:rPr>
        <w:t xml:space="preserve">meant that </w:t>
      </w:r>
      <w:r>
        <w:rPr>
          <w:rFonts w:ascii="Calibri" w:eastAsia="Calibri" w:hAnsi="Calibri"/>
        </w:rPr>
        <w:t xml:space="preserve">the 2020 Census count came in much higher than what 2010-2019 estimates predicted. Because of this, the “retrospective” model estimates for 2020 indicate that many of the cohorts in this region were under-predicted by the model. Given the special circumstances, </w:t>
      </w:r>
      <w:r>
        <w:rPr>
          <w:rFonts w:ascii="Calibri" w:eastAsia="Calibri" w:hAnsi="Calibri"/>
        </w:rPr>
        <w:lastRenderedPageBreak/>
        <w:t xml:space="preserve">however, one would not want to assume that the model will underpredict again in these areas when projecting 2030 population. In fact, the model may actually over-predict in these areas, as the short-term migration experienced in 2020 -- and captured in the 2010-to-2020 change ratio – subsides. In these situations, researchers are advised to use the “CCR estimate” instead of the “adjusted estimate,” because the CCR estimate will not include the </w:t>
      </w:r>
      <w:r>
        <w:rPr>
          <w:rFonts w:ascii="Calibri" w:eastAsia="Calibri" w:hAnsi="Calibri"/>
          <w:i/>
          <w:iCs/>
        </w:rPr>
        <w:t>directional</w:t>
      </w:r>
      <w:r>
        <w:rPr>
          <w:rFonts w:ascii="Calibri" w:eastAsia="Calibri" w:hAnsi="Calibri"/>
        </w:rPr>
        <w:t xml:space="preserve"> (over-count or undercount) adjustment.</w:t>
      </w:r>
    </w:p>
    <w:p w14:paraId="55555FA6" w14:textId="781106BF" w:rsidR="000F49EB" w:rsidRPr="00201848" w:rsidRDefault="00201848" w:rsidP="00201848">
      <w:pPr>
        <w:pStyle w:val="Heading2"/>
        <w:rPr>
          <w:color w:val="595959" w:themeColor="text1" w:themeTint="A6"/>
        </w:rPr>
      </w:pPr>
      <w:bookmarkStart w:id="41" w:name="_Toc197520541"/>
      <w:r>
        <w:rPr>
          <w:color w:val="595959" w:themeColor="text1" w:themeTint="A6"/>
        </w:rPr>
        <w:t xml:space="preserve">13) </w:t>
      </w:r>
      <w:r w:rsidR="000F49EB" w:rsidRPr="00201848">
        <w:rPr>
          <w:color w:val="595959" w:themeColor="text1" w:themeTint="A6"/>
        </w:rPr>
        <w:t xml:space="preserve">Distributing error and confidence intervals </w:t>
      </w:r>
      <w:r w:rsidR="0092793A" w:rsidRPr="00201848">
        <w:rPr>
          <w:color w:val="595959" w:themeColor="text1" w:themeTint="A6"/>
        </w:rPr>
        <w:t>over single years 2021-2030</w:t>
      </w:r>
      <w:bookmarkEnd w:id="41"/>
    </w:p>
    <w:p w14:paraId="06961C39" w14:textId="77777777" w:rsidR="00586270" w:rsidRPr="0091106B" w:rsidRDefault="00335799" w:rsidP="00335799">
      <w:pPr>
        <w:spacing w:line="240" w:lineRule="auto"/>
        <w:rPr>
          <w:rFonts w:ascii="Calibri" w:eastAsia="Calibri" w:hAnsi="Calibri"/>
        </w:rPr>
      </w:pPr>
      <w:r w:rsidRPr="0091106B">
        <w:rPr>
          <w:rFonts w:ascii="Calibri" w:eastAsia="Calibri" w:hAnsi="Calibri"/>
        </w:rPr>
        <w:t>Our historic model estimates provide us with the historic error associated with a 10-year CCR estimate (in this case a 2020 estimate based on 2010) that we then apply to our 2030 output. Since we create estimates by single year in the entire 2020-2030 series, we also need to distribute this 10-year error across the single year estimates. To do this, we assume that the 10-year error will be evenly distributed across the 10-year period. By the 9</w:t>
      </w:r>
      <w:r w:rsidRPr="0091106B">
        <w:rPr>
          <w:rFonts w:ascii="Calibri" w:eastAsia="Calibri" w:hAnsi="Calibri"/>
          <w:vertAlign w:val="superscript"/>
        </w:rPr>
        <w:t>th</w:t>
      </w:r>
      <w:r w:rsidRPr="0091106B">
        <w:rPr>
          <w:rFonts w:ascii="Calibri" w:eastAsia="Calibri" w:hAnsi="Calibri"/>
        </w:rPr>
        <w:t xml:space="preserve"> year in the time series, for example, the estimates will have reached 90% of their full 10-year errors. In reality, growth or decline in a particular geography may start slowly at the start of a decade and then accelerate, or it may start off strong and then taper off, or even </w:t>
      </w:r>
      <w:r w:rsidR="0092793A" w:rsidRPr="0091106B">
        <w:rPr>
          <w:rFonts w:ascii="Calibri" w:eastAsia="Calibri" w:hAnsi="Calibri"/>
        </w:rPr>
        <w:t>c</w:t>
      </w:r>
      <w:r w:rsidRPr="0091106B">
        <w:rPr>
          <w:rFonts w:ascii="Calibri" w:eastAsia="Calibri" w:hAnsi="Calibri"/>
        </w:rPr>
        <w:t xml:space="preserve">hange sporadically. In the absence of definitive information, we assume even change over the ten-year period. </w:t>
      </w:r>
    </w:p>
    <w:p w14:paraId="6762D738" w14:textId="1B2DBC02" w:rsidR="00335799" w:rsidRPr="0091106B" w:rsidRDefault="00335799" w:rsidP="00335799">
      <w:pPr>
        <w:spacing w:line="240" w:lineRule="auto"/>
        <w:rPr>
          <w:rFonts w:ascii="Calibri" w:eastAsia="Calibri" w:hAnsi="Calibri"/>
        </w:rPr>
      </w:pPr>
      <w:r w:rsidRPr="0091106B">
        <w:rPr>
          <w:rFonts w:ascii="Calibri" w:eastAsia="Calibri" w:hAnsi="Calibri"/>
        </w:rPr>
        <w:t>To do this, we start with zero error in our base year 2020, assign the full 10-year error by age/size to the 2030 estimate, and interpolate the error over the interim years. In this method, the first year estimate (2021) will entail 1/10</w:t>
      </w:r>
      <w:r w:rsidRPr="0091106B">
        <w:rPr>
          <w:rFonts w:ascii="Calibri" w:eastAsia="Calibri" w:hAnsi="Calibri"/>
          <w:vertAlign w:val="superscript"/>
        </w:rPr>
        <w:t>th</w:t>
      </w:r>
      <w:r w:rsidRPr="0091106B">
        <w:rPr>
          <w:rFonts w:ascii="Calibri" w:eastAsia="Calibri" w:hAnsi="Calibri"/>
        </w:rPr>
        <w:t xml:space="preserve"> of the full error, the second year (2022) will entail 2/10</w:t>
      </w:r>
      <w:r w:rsidRPr="0091106B">
        <w:rPr>
          <w:rFonts w:ascii="Calibri" w:eastAsia="Calibri" w:hAnsi="Calibri"/>
          <w:vertAlign w:val="superscript"/>
        </w:rPr>
        <w:t>th</w:t>
      </w:r>
      <w:r w:rsidRPr="0091106B">
        <w:rPr>
          <w:rFonts w:ascii="Calibri" w:eastAsia="Calibri" w:hAnsi="Calibri"/>
        </w:rPr>
        <w:t>, and so on until the full 10-year error is reached in 2030. In all years, the age/size assignment is based on the cohort size in the base year 2020. The assumption that every 5-year age/sex</w:t>
      </w:r>
      <w:r w:rsidR="000E49F8" w:rsidRPr="0091106B">
        <w:rPr>
          <w:rFonts w:ascii="Calibri" w:eastAsia="Calibri" w:hAnsi="Calibri"/>
        </w:rPr>
        <w:t xml:space="preserve"> and age/sex/race/ethnicity</w:t>
      </w:r>
      <w:r w:rsidRPr="0091106B">
        <w:rPr>
          <w:rFonts w:ascii="Calibri" w:eastAsia="Calibri" w:hAnsi="Calibri"/>
        </w:rPr>
        <w:t xml:space="preserve"> cohort’s error will increase or decrease linearly over the 10-year period also causes the standard deviation to be evenly distributed over the 10-year period. As a result, the confidence interval bounds will linearly expand by fractions of 10. Formulaically</w:t>
      </w:r>
      <w:r w:rsidR="00011FC2">
        <w:rPr>
          <w:rFonts w:ascii="Calibri" w:eastAsia="Calibri" w:hAnsi="Calibri"/>
        </w:rPr>
        <w:t>,</w:t>
      </w:r>
      <w:r w:rsidRPr="0091106B">
        <w:rPr>
          <w:rFonts w:ascii="Calibri" w:eastAsia="Calibri" w:hAnsi="Calibri"/>
        </w:rPr>
        <w:t xml:space="preserve"> this works out to the following:</w:t>
      </w:r>
    </w:p>
    <w:p w14:paraId="3D43AE45" w14:textId="5671375F" w:rsidR="00AF381A" w:rsidRPr="0091106B" w:rsidRDefault="003C232D" w:rsidP="00AF381A">
      <w:pPr>
        <w:spacing w:line="240" w:lineRule="auto"/>
        <w:rPr>
          <w:rFonts w:eastAsiaTheme="minorEastAsia"/>
        </w:rPr>
      </w:pPr>
      <m:oMathPara>
        <m:oMath>
          <m:r>
            <w:rPr>
              <w:rFonts w:ascii="Cambria Math" w:eastAsia="Calibri" w:hAnsi="Cambria Math"/>
            </w:rPr>
            <m:t>percent Error year y=</m:t>
          </m:r>
          <m:d>
            <m:dPr>
              <m:ctrlPr>
                <w:rPr>
                  <w:rFonts w:ascii="Cambria Math" w:eastAsia="Calibri" w:hAnsi="Cambria Math"/>
                  <w:i/>
                </w:rPr>
              </m:ctrlPr>
            </m:dPr>
            <m:e>
              <m:f>
                <m:fPr>
                  <m:ctrlPr>
                    <w:rPr>
                      <w:rFonts w:ascii="Cambria Math" w:eastAsia="Calibri" w:hAnsi="Cambria Math"/>
                      <w:i/>
                    </w:rPr>
                  </m:ctrlPr>
                </m:fPr>
                <m:num>
                  <m:r>
                    <w:rPr>
                      <w:rFonts w:ascii="Cambria Math" w:eastAsia="Calibri" w:hAnsi="Cambria Math"/>
                    </w:rPr>
                    <m:t>Error 2030</m:t>
                  </m:r>
                </m:num>
                <m:den>
                  <m:r>
                    <w:rPr>
                      <w:rFonts w:ascii="Cambria Math" w:eastAsia="Calibri" w:hAnsi="Cambria Math"/>
                    </w:rPr>
                    <m:t>10</m:t>
                  </m:r>
                </m:den>
              </m:f>
            </m:e>
          </m:d>
          <m:r>
            <w:rPr>
              <w:rFonts w:ascii="Cambria Math" w:eastAsia="Calibri" w:hAnsi="Cambria Math"/>
            </w:rPr>
            <m:t>×(y-2030)</m:t>
          </m:r>
        </m:oMath>
      </m:oMathPara>
    </w:p>
    <w:p w14:paraId="1499C80C" w14:textId="06ACE543" w:rsidR="00E24727" w:rsidRPr="0091106B" w:rsidRDefault="00DE74B2" w:rsidP="0092793A">
      <w:pPr>
        <w:spacing w:line="240" w:lineRule="auto"/>
        <w:rPr>
          <w:rFonts w:ascii="Calibri" w:eastAsia="Calibri" w:hAnsi="Calibri"/>
        </w:rPr>
      </w:pPr>
      <w:r w:rsidRPr="0091106B">
        <w:rPr>
          <w:rFonts w:ascii="Calibri" w:eastAsia="Calibri" w:hAnsi="Calibri"/>
        </w:rPr>
        <w:t xml:space="preserve">Finally, </w:t>
      </w:r>
      <w:r w:rsidR="002101C0" w:rsidRPr="0091106B">
        <w:rPr>
          <w:rFonts w:ascii="Calibri" w:eastAsia="Calibri" w:hAnsi="Calibri"/>
        </w:rPr>
        <w:t>the</w:t>
      </w:r>
      <w:r w:rsidR="009412CB" w:rsidRPr="0091106B">
        <w:rPr>
          <w:rFonts w:ascii="Calibri" w:eastAsia="Calibri" w:hAnsi="Calibri"/>
        </w:rPr>
        <w:t xml:space="preserve"> interpolated</w:t>
      </w:r>
      <w:r w:rsidR="002101C0" w:rsidRPr="0091106B">
        <w:rPr>
          <w:rFonts w:ascii="Calibri" w:eastAsia="Calibri" w:hAnsi="Calibri"/>
        </w:rPr>
        <w:t xml:space="preserve"> </w:t>
      </w:r>
      <w:r w:rsidR="00514890" w:rsidRPr="0091106B">
        <w:rPr>
          <w:rFonts w:ascii="Calibri" w:eastAsia="Calibri" w:hAnsi="Calibri"/>
        </w:rPr>
        <w:t>mean percent error</w:t>
      </w:r>
      <w:r w:rsidR="009412CB" w:rsidRPr="0091106B">
        <w:rPr>
          <w:rFonts w:ascii="Calibri" w:eastAsia="Calibri" w:hAnsi="Calibri"/>
        </w:rPr>
        <w:t xml:space="preserve"> </w:t>
      </w:r>
      <w:r w:rsidR="003B1635" w:rsidRPr="0091106B">
        <w:rPr>
          <w:rFonts w:ascii="Calibri" w:eastAsia="Calibri" w:hAnsi="Calibri"/>
        </w:rPr>
        <w:t>(</w:t>
      </w:r>
      <w:r w:rsidR="005B26B4" w:rsidRPr="0091106B">
        <w:rPr>
          <w:rFonts w:ascii="Calibri" w:eastAsia="Calibri" w:hAnsi="Calibri"/>
        </w:rPr>
        <w:t>“</w:t>
      </w:r>
      <w:r w:rsidR="003B1635" w:rsidRPr="0091106B">
        <w:rPr>
          <w:rFonts w:ascii="Calibri" w:eastAsia="Calibri" w:hAnsi="Calibri"/>
        </w:rPr>
        <w:t>MPE</w:t>
      </w:r>
      <w:r w:rsidR="005B26B4" w:rsidRPr="0091106B">
        <w:rPr>
          <w:rFonts w:ascii="Calibri" w:eastAsia="Calibri" w:hAnsi="Calibri"/>
        </w:rPr>
        <w:t>”</w:t>
      </w:r>
      <w:r w:rsidR="00053389" w:rsidRPr="0091106B">
        <w:rPr>
          <w:rFonts w:ascii="Calibri" w:eastAsia="Calibri" w:hAnsi="Calibri"/>
        </w:rPr>
        <w:t xml:space="preserve"> in the output file</w:t>
      </w:r>
      <w:r w:rsidR="003B1635" w:rsidRPr="0091106B">
        <w:rPr>
          <w:rFonts w:ascii="Calibri" w:eastAsia="Calibri" w:hAnsi="Calibri"/>
        </w:rPr>
        <w:t xml:space="preserve">) </w:t>
      </w:r>
      <w:r w:rsidR="009412CB" w:rsidRPr="0091106B">
        <w:rPr>
          <w:rFonts w:ascii="Calibri" w:eastAsia="Calibri" w:hAnsi="Calibri"/>
        </w:rPr>
        <w:t>for each year</w:t>
      </w:r>
      <w:r w:rsidR="00514890" w:rsidRPr="0091106B">
        <w:rPr>
          <w:rFonts w:ascii="Calibri" w:eastAsia="Calibri" w:hAnsi="Calibri"/>
        </w:rPr>
        <w:t xml:space="preserve"> is multiplied by the population estimate</w:t>
      </w:r>
      <w:r w:rsidR="002A5BF0" w:rsidRPr="0091106B">
        <w:rPr>
          <w:rFonts w:ascii="Calibri" w:eastAsia="Calibri" w:hAnsi="Calibri"/>
        </w:rPr>
        <w:t xml:space="preserve"> </w:t>
      </w:r>
      <w:r w:rsidRPr="0091106B">
        <w:rPr>
          <w:rFonts w:ascii="Calibri" w:eastAsia="Calibri" w:hAnsi="Calibri"/>
        </w:rPr>
        <w:t>for</w:t>
      </w:r>
      <w:r w:rsidR="002A5BF0" w:rsidRPr="0091106B">
        <w:rPr>
          <w:rFonts w:ascii="Calibri" w:eastAsia="Calibri" w:hAnsi="Calibri"/>
        </w:rPr>
        <w:t xml:space="preserve"> that year</w:t>
      </w:r>
      <w:r w:rsidR="003B1635" w:rsidRPr="0091106B">
        <w:rPr>
          <w:rFonts w:ascii="Calibri" w:eastAsia="Calibri" w:hAnsi="Calibri"/>
        </w:rPr>
        <w:t xml:space="preserve"> (</w:t>
      </w:r>
      <w:r w:rsidR="005B26B4" w:rsidRPr="0091106B">
        <w:rPr>
          <w:rFonts w:ascii="Calibri" w:eastAsia="Calibri" w:hAnsi="Calibri"/>
        </w:rPr>
        <w:t>“</w:t>
      </w:r>
      <w:r w:rsidR="003B1635" w:rsidRPr="0091106B">
        <w:rPr>
          <w:rFonts w:ascii="Calibri" w:eastAsia="Calibri" w:hAnsi="Calibri"/>
        </w:rPr>
        <w:t>CCR_</w:t>
      </w:r>
      <w:r w:rsidR="005B26B4" w:rsidRPr="0091106B">
        <w:rPr>
          <w:rFonts w:ascii="Calibri" w:eastAsia="Calibri" w:hAnsi="Calibri"/>
        </w:rPr>
        <w:t>PROJECTION”)</w:t>
      </w:r>
      <w:r w:rsidR="002A5BF0" w:rsidRPr="0091106B">
        <w:rPr>
          <w:rFonts w:ascii="Calibri" w:eastAsia="Calibri" w:hAnsi="Calibri"/>
        </w:rPr>
        <w:t xml:space="preserve"> and added to the </w:t>
      </w:r>
      <w:r w:rsidR="008635E7" w:rsidRPr="0091106B">
        <w:rPr>
          <w:rFonts w:ascii="Calibri" w:eastAsia="Calibri" w:hAnsi="Calibri"/>
        </w:rPr>
        <w:t>annual population estimate</w:t>
      </w:r>
      <w:r w:rsidR="003B1635" w:rsidRPr="0091106B">
        <w:rPr>
          <w:rFonts w:ascii="Calibri" w:eastAsia="Calibri" w:hAnsi="Calibri"/>
        </w:rPr>
        <w:t xml:space="preserve"> to calculate the adjusted population estimate </w:t>
      </w:r>
      <w:r w:rsidR="00053389" w:rsidRPr="0091106B">
        <w:rPr>
          <w:rFonts w:ascii="Calibri" w:eastAsia="Calibri" w:hAnsi="Calibri"/>
        </w:rPr>
        <w:t>(“</w:t>
      </w:r>
      <w:r w:rsidR="00F25876" w:rsidRPr="0091106B">
        <w:rPr>
          <w:rFonts w:ascii="Calibri" w:eastAsia="Calibri" w:hAnsi="Calibri"/>
        </w:rPr>
        <w:t>ADJ_ESTIMATE”)</w:t>
      </w:r>
      <w:r w:rsidR="008635E7" w:rsidRPr="0091106B">
        <w:rPr>
          <w:rFonts w:ascii="Calibri" w:eastAsia="Calibri" w:hAnsi="Calibri"/>
        </w:rPr>
        <w:t xml:space="preserve">. </w:t>
      </w:r>
      <w:r w:rsidR="00513D3F" w:rsidRPr="0091106B">
        <w:rPr>
          <w:rFonts w:ascii="Calibri" w:eastAsia="Calibri" w:hAnsi="Calibri"/>
        </w:rPr>
        <w:t>Because a population of zero</w:t>
      </w:r>
      <w:r w:rsidR="00314A95" w:rsidRPr="0091106B">
        <w:rPr>
          <w:rFonts w:ascii="Calibri" w:eastAsia="Calibri" w:hAnsi="Calibri"/>
        </w:rPr>
        <w:t xml:space="preserve"> would necessarily </w:t>
      </w:r>
      <w:r w:rsidR="00824757">
        <w:rPr>
          <w:rFonts w:ascii="Calibri" w:eastAsia="Calibri" w:hAnsi="Calibri"/>
        </w:rPr>
        <w:t xml:space="preserve">result in an error of </w:t>
      </w:r>
      <w:r w:rsidR="00B76677">
        <w:rPr>
          <w:rFonts w:ascii="Calibri" w:eastAsia="Calibri" w:hAnsi="Calibri"/>
        </w:rPr>
        <w:t xml:space="preserve">zero using this formula, </w:t>
      </w:r>
      <w:r w:rsidR="00314A95" w:rsidRPr="0091106B">
        <w:rPr>
          <w:rFonts w:ascii="Calibri" w:eastAsia="Calibri" w:hAnsi="Calibri"/>
        </w:rPr>
        <w:t xml:space="preserve"> f</w:t>
      </w:r>
      <w:r w:rsidR="003549AE" w:rsidRPr="0091106B">
        <w:rPr>
          <w:rFonts w:ascii="Calibri" w:eastAsia="Calibri" w:hAnsi="Calibri"/>
        </w:rPr>
        <w:t xml:space="preserve">or projections with a value of 0 after </w:t>
      </w:r>
      <w:r w:rsidR="00D578BA" w:rsidRPr="0091106B">
        <w:rPr>
          <w:rFonts w:ascii="Calibri" w:eastAsia="Calibri" w:hAnsi="Calibri"/>
        </w:rPr>
        <w:t xml:space="preserve">2020, we make the adjusted population estimate equal to the </w:t>
      </w:r>
      <w:r w:rsidR="00513D3F" w:rsidRPr="0091106B">
        <w:rPr>
          <w:rFonts w:ascii="Calibri" w:eastAsia="Calibri" w:hAnsi="Calibri"/>
        </w:rPr>
        <w:t>MPE</w:t>
      </w:r>
      <w:r w:rsidR="00314A95" w:rsidRPr="0091106B">
        <w:rPr>
          <w:rFonts w:ascii="Calibri" w:eastAsia="Calibri" w:hAnsi="Calibri"/>
        </w:rPr>
        <w:t xml:space="preserve">. This </w:t>
      </w:r>
      <w:r w:rsidR="00776A43" w:rsidRPr="0091106B">
        <w:rPr>
          <w:rFonts w:ascii="Calibri" w:eastAsia="Calibri" w:hAnsi="Calibri"/>
        </w:rPr>
        <w:t>is essentially the</w:t>
      </w:r>
      <w:r w:rsidR="00813DDD" w:rsidRPr="0091106B">
        <w:rPr>
          <w:rFonts w:ascii="Calibri" w:eastAsia="Calibri" w:hAnsi="Calibri"/>
        </w:rPr>
        <w:t xml:space="preserve"> </w:t>
      </w:r>
      <w:r w:rsidR="001326D2">
        <w:rPr>
          <w:rFonts w:ascii="Calibri" w:eastAsia="Calibri" w:hAnsi="Calibri"/>
        </w:rPr>
        <w:t xml:space="preserve">same approach used to calculate the </w:t>
      </w:r>
      <w:r w:rsidR="00776A43" w:rsidRPr="0091106B">
        <w:rPr>
          <w:rFonts w:ascii="Calibri" w:eastAsia="Calibri" w:hAnsi="Calibri"/>
        </w:rPr>
        <w:t>adjusted population estimate, but using a value of “1” to multiply</w:t>
      </w:r>
      <w:r w:rsidR="00F34DB0" w:rsidRPr="0091106B">
        <w:rPr>
          <w:rFonts w:ascii="Calibri" w:eastAsia="Calibri" w:hAnsi="Calibri"/>
        </w:rPr>
        <w:t xml:space="preserve"> the MPE. The same</w:t>
      </w:r>
      <w:r w:rsidR="00776A43" w:rsidRPr="0091106B">
        <w:rPr>
          <w:rFonts w:ascii="Calibri" w:eastAsia="Calibri" w:hAnsi="Calibri"/>
        </w:rPr>
        <w:t xml:space="preserve"> </w:t>
      </w:r>
      <w:r w:rsidR="00813DDD" w:rsidRPr="0091106B">
        <w:rPr>
          <w:rFonts w:ascii="Calibri" w:eastAsia="Calibri" w:hAnsi="Calibri"/>
        </w:rPr>
        <w:t xml:space="preserve">calculation is </w:t>
      </w:r>
      <w:r w:rsidR="0027405F" w:rsidRPr="0091106B">
        <w:rPr>
          <w:rFonts w:ascii="Calibri" w:eastAsia="Calibri" w:hAnsi="Calibri"/>
        </w:rPr>
        <w:t>performed</w:t>
      </w:r>
      <w:r w:rsidR="00813DDD" w:rsidRPr="0091106B">
        <w:rPr>
          <w:rFonts w:ascii="Calibri" w:eastAsia="Calibri" w:hAnsi="Calibri"/>
        </w:rPr>
        <w:t xml:space="preserve"> </w:t>
      </w:r>
      <w:r w:rsidR="00FF0F08" w:rsidRPr="0091106B">
        <w:rPr>
          <w:rFonts w:ascii="Calibri" w:eastAsia="Calibri" w:hAnsi="Calibri"/>
        </w:rPr>
        <w:t>using</w:t>
      </w:r>
      <w:r w:rsidR="00813DDD" w:rsidRPr="0091106B">
        <w:rPr>
          <w:rFonts w:ascii="Calibri" w:eastAsia="Calibri" w:hAnsi="Calibri"/>
        </w:rPr>
        <w:t xml:space="preserve"> the upper and lower</w:t>
      </w:r>
      <w:r w:rsidR="00E75B78" w:rsidRPr="0091106B">
        <w:rPr>
          <w:rFonts w:ascii="Calibri" w:eastAsia="Calibri" w:hAnsi="Calibri"/>
        </w:rPr>
        <w:t xml:space="preserve"> confidence intervals</w:t>
      </w:r>
      <w:r w:rsidR="002960BA" w:rsidRPr="0091106B">
        <w:rPr>
          <w:rFonts w:ascii="Calibri" w:eastAsia="Calibri" w:hAnsi="Calibri"/>
        </w:rPr>
        <w:t xml:space="preserve">, instead of the MPE, </w:t>
      </w:r>
      <w:r w:rsidR="00FF0F08" w:rsidRPr="0091106B">
        <w:rPr>
          <w:rFonts w:ascii="Calibri" w:eastAsia="Calibri" w:hAnsi="Calibri"/>
        </w:rPr>
        <w:t xml:space="preserve">to </w:t>
      </w:r>
      <w:r w:rsidR="000635E2" w:rsidRPr="0091106B">
        <w:rPr>
          <w:rFonts w:ascii="Calibri" w:eastAsia="Calibri" w:hAnsi="Calibri"/>
        </w:rPr>
        <w:t>determine the upper and lower population estimates</w:t>
      </w:r>
      <w:r w:rsidR="003E7702" w:rsidRPr="0091106B">
        <w:rPr>
          <w:rFonts w:ascii="Calibri" w:eastAsia="Calibri" w:hAnsi="Calibri"/>
        </w:rPr>
        <w:t xml:space="preserve"> between</w:t>
      </w:r>
      <w:r w:rsidR="000635E2" w:rsidRPr="0091106B">
        <w:rPr>
          <w:rFonts w:ascii="Calibri" w:eastAsia="Calibri" w:hAnsi="Calibri"/>
        </w:rPr>
        <w:t xml:space="preserve"> which the adjusted estimate is 95% likely to fall.</w:t>
      </w:r>
      <w:r w:rsidR="005C2F27" w:rsidRPr="0091106B">
        <w:rPr>
          <w:rFonts w:ascii="Calibri" w:eastAsia="Calibri" w:hAnsi="Calibri"/>
        </w:rPr>
        <w:t xml:space="preserve"> </w:t>
      </w:r>
      <w:r w:rsidR="00EE5A8D" w:rsidRPr="0091106B">
        <w:rPr>
          <w:rFonts w:ascii="Calibri" w:eastAsia="Calibri" w:hAnsi="Calibri"/>
        </w:rPr>
        <w:t xml:space="preserve">In our final output, these upper and lower bounds are labelled as </w:t>
      </w:r>
      <w:r w:rsidR="00EE5A8D" w:rsidRPr="0091106B">
        <w:rPr>
          <w:rFonts w:eastAsia="Calibri" w:cstheme="minorHAnsi"/>
        </w:rPr>
        <w:t>“</w:t>
      </w:r>
      <w:r w:rsidR="00D116DE" w:rsidRPr="0091106B">
        <w:rPr>
          <w:rFonts w:eastAsia="Calibri" w:cstheme="minorHAnsi"/>
        </w:rPr>
        <w:t>LOWER_POP</w:t>
      </w:r>
      <w:r w:rsidR="00EE5A8D" w:rsidRPr="0091106B">
        <w:rPr>
          <w:rFonts w:eastAsia="Calibri" w:cstheme="minorHAnsi"/>
        </w:rPr>
        <w:t>” and “U</w:t>
      </w:r>
      <w:r w:rsidR="00D116DE" w:rsidRPr="0091106B">
        <w:rPr>
          <w:rFonts w:eastAsia="Calibri" w:cstheme="minorHAnsi"/>
        </w:rPr>
        <w:t>PPER_POP</w:t>
      </w:r>
      <w:r w:rsidR="00EE5A8D" w:rsidRPr="0091106B">
        <w:rPr>
          <w:rFonts w:eastAsia="Calibri" w:cstheme="minorHAnsi"/>
        </w:rPr>
        <w:t xml:space="preserve">” </w:t>
      </w:r>
      <w:r w:rsidR="00EE5A8D" w:rsidRPr="0091106B">
        <w:rPr>
          <w:rFonts w:ascii="Calibri" w:eastAsia="Calibri" w:hAnsi="Calibri"/>
        </w:rPr>
        <w:t xml:space="preserve">estimates </w:t>
      </w:r>
      <w:r w:rsidR="00845D1C" w:rsidRPr="0091106B">
        <w:rPr>
          <w:rFonts w:ascii="Calibri" w:eastAsia="Calibri" w:hAnsi="Calibri"/>
        </w:rPr>
        <w:t>and</w:t>
      </w:r>
      <w:r w:rsidR="00EE5A8D" w:rsidRPr="0091106B">
        <w:rPr>
          <w:rFonts w:ascii="Calibri" w:eastAsia="Calibri" w:hAnsi="Calibri"/>
        </w:rPr>
        <w:t xml:space="preserve"> are equidistant in value from the “</w:t>
      </w:r>
      <w:r w:rsidR="00D116DE" w:rsidRPr="0091106B">
        <w:rPr>
          <w:rFonts w:ascii="Calibri" w:eastAsia="Calibri" w:hAnsi="Calibri"/>
        </w:rPr>
        <w:t>ADJ_ESTIMATE</w:t>
      </w:r>
      <w:r w:rsidR="00EE5A8D" w:rsidRPr="0091106B">
        <w:rPr>
          <w:rFonts w:ascii="Calibri" w:eastAsia="Calibri" w:hAnsi="Calibri"/>
        </w:rPr>
        <w:t>” value for that year.</w:t>
      </w:r>
      <w:r w:rsidR="00E9650F" w:rsidRPr="0091106B">
        <w:rPr>
          <w:rStyle w:val="FootnoteReference"/>
          <w:rFonts w:ascii="Calibri" w:eastAsia="Calibri" w:hAnsi="Calibri"/>
        </w:rPr>
        <w:t xml:space="preserve"> </w:t>
      </w:r>
      <w:r w:rsidR="00E9650F" w:rsidRPr="0091106B">
        <w:rPr>
          <w:rStyle w:val="FootnoteReference"/>
          <w:rFonts w:ascii="Calibri" w:eastAsia="Calibri" w:hAnsi="Calibri"/>
        </w:rPr>
        <w:footnoteReference w:id="49"/>
      </w:r>
      <w:r w:rsidR="00EE5A8D" w:rsidRPr="0091106B">
        <w:rPr>
          <w:rFonts w:ascii="Calibri" w:eastAsia="Calibri" w:hAnsi="Calibri"/>
        </w:rPr>
        <w:t xml:space="preserve"> </w:t>
      </w:r>
      <w:r w:rsidR="00883DCD" w:rsidRPr="0091106B">
        <w:rPr>
          <w:rFonts w:ascii="Calibri" w:eastAsia="Calibri" w:hAnsi="Calibri"/>
        </w:rPr>
        <w:t xml:space="preserve">Error for single year of age is applied by </w:t>
      </w:r>
      <w:r w:rsidR="00CC31E2" w:rsidRPr="0091106B">
        <w:rPr>
          <w:rFonts w:ascii="Calibri" w:eastAsia="Calibri" w:hAnsi="Calibri"/>
        </w:rPr>
        <w:t xml:space="preserve">performing these calculations </w:t>
      </w:r>
      <w:r w:rsidR="00883DCD" w:rsidRPr="0091106B">
        <w:rPr>
          <w:rFonts w:ascii="Calibri" w:eastAsia="Calibri" w:hAnsi="Calibri"/>
        </w:rPr>
        <w:t xml:space="preserve">using the MPE </w:t>
      </w:r>
      <w:r w:rsidR="0061445B" w:rsidRPr="0091106B">
        <w:rPr>
          <w:rFonts w:ascii="Calibri" w:eastAsia="Calibri" w:hAnsi="Calibri"/>
        </w:rPr>
        <w:t xml:space="preserve">of the 5-year </w:t>
      </w:r>
      <w:r w:rsidR="0061445B" w:rsidRPr="0091106B">
        <w:rPr>
          <w:rFonts w:ascii="Calibri" w:eastAsia="Calibri" w:hAnsi="Calibri"/>
        </w:rPr>
        <w:lastRenderedPageBreak/>
        <w:t>cohort to which the single age cohort belongs (e.g. 10 year olds</w:t>
      </w:r>
      <w:r w:rsidR="00CC31E2" w:rsidRPr="0091106B">
        <w:rPr>
          <w:rFonts w:ascii="Calibri" w:eastAsia="Calibri" w:hAnsi="Calibri"/>
        </w:rPr>
        <w:t xml:space="preserve"> </w:t>
      </w:r>
      <w:r w:rsidR="00BC3980" w:rsidRPr="0091106B">
        <w:rPr>
          <w:rFonts w:ascii="Calibri" w:eastAsia="Calibri" w:hAnsi="Calibri"/>
        </w:rPr>
        <w:t xml:space="preserve">in a location where there are </w:t>
      </w:r>
      <w:r w:rsidR="00115829" w:rsidRPr="0091106B">
        <w:rPr>
          <w:rFonts w:ascii="Calibri" w:eastAsia="Calibri" w:hAnsi="Calibri"/>
        </w:rPr>
        <w:t>4</w:t>
      </w:r>
      <w:r w:rsidR="00BC3980" w:rsidRPr="0091106B">
        <w:rPr>
          <w:rFonts w:ascii="Calibri" w:eastAsia="Calibri" w:hAnsi="Calibri"/>
        </w:rPr>
        <w:t>0 10-14 years olds</w:t>
      </w:r>
      <w:r w:rsidR="0061445B" w:rsidRPr="0091106B">
        <w:rPr>
          <w:rFonts w:ascii="Calibri" w:eastAsia="Calibri" w:hAnsi="Calibri"/>
        </w:rPr>
        <w:t xml:space="preserve"> are given the MPE</w:t>
      </w:r>
      <w:r w:rsidR="00CC31E2" w:rsidRPr="0091106B">
        <w:rPr>
          <w:rFonts w:ascii="Calibri" w:eastAsia="Calibri" w:hAnsi="Calibri"/>
        </w:rPr>
        <w:t xml:space="preserve"> of the 10-14 cohort</w:t>
      </w:r>
      <w:r w:rsidR="00115829" w:rsidRPr="0091106B">
        <w:rPr>
          <w:rFonts w:ascii="Calibri" w:eastAsia="Calibri" w:hAnsi="Calibri"/>
        </w:rPr>
        <w:t xml:space="preserve"> of bin size 25-49).</w:t>
      </w:r>
    </w:p>
    <w:p w14:paraId="10A75C6B" w14:textId="7357FF67" w:rsidR="00AF4F4C" w:rsidRPr="00201848" w:rsidRDefault="00201848" w:rsidP="00201848">
      <w:pPr>
        <w:pStyle w:val="Heading2"/>
        <w:rPr>
          <w:color w:val="595959" w:themeColor="text1" w:themeTint="A6"/>
        </w:rPr>
      </w:pPr>
      <w:bookmarkStart w:id="42" w:name="_Toc197520542"/>
      <w:r w:rsidRPr="00201848">
        <w:rPr>
          <w:color w:val="595959" w:themeColor="text1" w:themeTint="A6"/>
        </w:rPr>
        <w:t xml:space="preserve">14) </w:t>
      </w:r>
      <w:r w:rsidR="00AF4F4C" w:rsidRPr="00201848">
        <w:rPr>
          <w:color w:val="595959" w:themeColor="text1" w:themeTint="A6"/>
        </w:rPr>
        <w:t>Tract-level “college flag”</w:t>
      </w:r>
      <w:bookmarkEnd w:id="42"/>
    </w:p>
    <w:p w14:paraId="7F914138" w14:textId="77A87D69" w:rsidR="00AF4F4C" w:rsidRPr="000F2235" w:rsidRDefault="00AF4F4C" w:rsidP="00AF4F4C">
      <w:pPr>
        <w:spacing w:line="240" w:lineRule="auto"/>
        <w:rPr>
          <w:rFonts w:cstheme="minorHAnsi"/>
        </w:rPr>
      </w:pPr>
      <w:r w:rsidRPr="000F2235">
        <w:rPr>
          <w:rFonts w:cstheme="minorHAnsi"/>
        </w:rPr>
        <w:t xml:space="preserve">Tracts that contain colleges or universities pose unique projection challenges for cohort change ratio models. These </w:t>
      </w:r>
      <w:r w:rsidR="00C36DF2">
        <w:rPr>
          <w:rFonts w:cstheme="minorHAnsi"/>
        </w:rPr>
        <w:t>types</w:t>
      </w:r>
      <w:r w:rsidR="00C36DF2" w:rsidRPr="000F2235">
        <w:rPr>
          <w:rFonts w:cstheme="minorHAnsi"/>
        </w:rPr>
        <w:t xml:space="preserve"> </w:t>
      </w:r>
      <w:r w:rsidRPr="000F2235">
        <w:rPr>
          <w:rFonts w:cstheme="minorHAnsi"/>
        </w:rPr>
        <w:t xml:space="preserve">of models are dependent on the assumption that the future population of any given cohort is based on the present-day population aging forward with some change due to mortality and migration. In our model, for example, this means that the population of 15–19-year-olds in 2030 is based on the population of 5–9-year-olds in 2020. However, university and college populations (generally associated with cohorts 15-19, 20-24, and, in some cases 25-29), are not, in reality, dependent on the child population in the </w:t>
      </w:r>
      <w:r w:rsidR="00541E2A">
        <w:rPr>
          <w:rFonts w:cstheme="minorHAnsi"/>
        </w:rPr>
        <w:t>estimated geography</w:t>
      </w:r>
      <w:r w:rsidRPr="000F2235">
        <w:rPr>
          <w:rFonts w:cstheme="minorHAnsi"/>
        </w:rPr>
        <w:t>. In some extreme cases, tracts that are solely or primarily comprised of student dormitories may have zero children under 15, but hundreds or thousands of 15–24-year-olds. Using a CCR model to predict college student populations based on child populations will necessarily have a large amount of uncertainty, because the college aged population does not primarily come from the children within the tract, aged forward.</w:t>
      </w:r>
    </w:p>
    <w:p w14:paraId="02800512" w14:textId="3B886C01" w:rsidR="00AF4F4C" w:rsidRPr="000F2235" w:rsidRDefault="00AF4F4C" w:rsidP="00AF4F4C">
      <w:pPr>
        <w:spacing w:line="240" w:lineRule="auto"/>
        <w:rPr>
          <w:rFonts w:cstheme="minorHAnsi"/>
        </w:rPr>
      </w:pPr>
      <w:r w:rsidRPr="000F2235">
        <w:rPr>
          <w:rFonts w:cstheme="minorHAnsi"/>
        </w:rPr>
        <w:t xml:space="preserve">Furthermore, universities may build or remove dormitories, or even close completely during a given decade, resulting in large population changes. These unpredictable “once in a lifetime” events greatly affect the cohort change ratios if they occur within the 2000 – 2010 </w:t>
      </w:r>
      <w:r w:rsidR="003139C7" w:rsidRPr="000F2235">
        <w:rPr>
          <w:rFonts w:cstheme="minorHAnsi"/>
        </w:rPr>
        <w:t>period and</w:t>
      </w:r>
      <w:r w:rsidRPr="000F2235">
        <w:rPr>
          <w:rFonts w:cstheme="minorHAnsi"/>
        </w:rPr>
        <w:t xml:space="preserve"> strongly contribute to error associated with the model if they occur during the 2010 – 2020 period. </w:t>
      </w:r>
    </w:p>
    <w:p w14:paraId="044F439B" w14:textId="7A4E5F15" w:rsidR="00AF4F4C" w:rsidRPr="000F2235" w:rsidRDefault="00AF4F4C" w:rsidP="00AF4F4C">
      <w:pPr>
        <w:spacing w:line="240" w:lineRule="auto"/>
        <w:rPr>
          <w:rFonts w:cstheme="minorHAnsi"/>
        </w:rPr>
      </w:pPr>
      <w:r w:rsidRPr="000F2235">
        <w:rPr>
          <w:rFonts w:cstheme="minorHAnsi"/>
        </w:rPr>
        <w:t>Because of these known limitations of our model when dealing with college populations, we have</w:t>
      </w:r>
      <w:r>
        <w:rPr>
          <w:rFonts w:cstheme="minorHAnsi"/>
        </w:rPr>
        <w:t xml:space="preserve"> created the variable “col_flag” and </w:t>
      </w:r>
      <w:r w:rsidRPr="000F2235">
        <w:rPr>
          <w:rFonts w:cstheme="minorHAnsi"/>
        </w:rPr>
        <w:t xml:space="preserve">flagged </w:t>
      </w:r>
      <w:r>
        <w:rPr>
          <w:rFonts w:cstheme="minorHAnsi"/>
        </w:rPr>
        <w:t xml:space="preserve">as “TRUE” </w:t>
      </w:r>
      <w:r w:rsidRPr="000F2235">
        <w:rPr>
          <w:rFonts w:cstheme="minorHAnsi"/>
        </w:rPr>
        <w:t>cohorts with ages</w:t>
      </w:r>
      <w:r>
        <w:rPr>
          <w:rFonts w:cstheme="minorHAnsi"/>
        </w:rPr>
        <w:t xml:space="preserve"> </w:t>
      </w:r>
      <w:r w:rsidRPr="000F2235">
        <w:rPr>
          <w:rFonts w:cstheme="minorHAnsi"/>
        </w:rPr>
        <w:t>15-19, 20-24, and 25-29 in tracts which are known to contain GQ Type 5 populations (dormitories) according to the 2020 Census. Many of these “college tracts” have extremely large errors due to the factors described above, showing that there is a great deal of uncertainty around our projection for these cohorts</w:t>
      </w:r>
      <w:r w:rsidR="00487584" w:rsidRPr="000F2235">
        <w:rPr>
          <w:rFonts w:cstheme="minorHAnsi"/>
        </w:rPr>
        <w:t xml:space="preserve">. </w:t>
      </w:r>
      <w:r w:rsidRPr="000F2235">
        <w:rPr>
          <w:rFonts w:cstheme="minorHAnsi"/>
        </w:rPr>
        <w:t xml:space="preserve">Additionally, </w:t>
      </w:r>
      <w:r w:rsidR="00E36E40">
        <w:rPr>
          <w:rFonts w:cstheme="minorHAnsi"/>
        </w:rPr>
        <w:t>many</w:t>
      </w:r>
      <w:r w:rsidRPr="000F2235">
        <w:rPr>
          <w:rFonts w:cstheme="minorHAnsi"/>
        </w:rPr>
        <w:t xml:space="preserve"> tracts which do not contain colleges or university have 15-19-, 20-24-, or 25–29-year-old populations that are similar in size to tracts which do contain colleges and universities. Because we assign errors on the basis of region (Cape or non-Cape), age, and population size, </w:t>
      </w:r>
      <w:r w:rsidR="00EC2900">
        <w:rPr>
          <w:rFonts w:cstheme="minorHAnsi"/>
        </w:rPr>
        <w:t>these</w:t>
      </w:r>
      <w:r w:rsidRPr="000F2235">
        <w:rPr>
          <w:rFonts w:cstheme="minorHAnsi"/>
        </w:rPr>
        <w:t xml:space="preserve"> non-college tracts will have large errors associated with them if they are similar in size to college tracts. Cohorts 15-19, 20-24, and 25-29 of these tracts are also </w:t>
      </w:r>
      <w:r>
        <w:rPr>
          <w:rFonts w:cstheme="minorHAnsi"/>
        </w:rPr>
        <w:t>coded as “TRUE” in the “col_flag” column</w:t>
      </w:r>
      <w:r w:rsidRPr="000F2235">
        <w:rPr>
          <w:rFonts w:cstheme="minorHAnsi"/>
        </w:rPr>
        <w:t>.</w:t>
      </w:r>
    </w:p>
    <w:p w14:paraId="0ED7A239" w14:textId="153F4FE7" w:rsidR="00AF4F4C" w:rsidRPr="00201848" w:rsidRDefault="00201848" w:rsidP="00201848">
      <w:pPr>
        <w:pStyle w:val="Heading2"/>
        <w:spacing w:line="240" w:lineRule="auto"/>
        <w:rPr>
          <w:color w:val="595959" w:themeColor="text1" w:themeTint="A6"/>
        </w:rPr>
      </w:pPr>
      <w:bookmarkStart w:id="43" w:name="_Toc197520543"/>
      <w:r>
        <w:rPr>
          <w:color w:val="595959" w:themeColor="text1" w:themeTint="A6"/>
        </w:rPr>
        <w:t xml:space="preserve">15) </w:t>
      </w:r>
      <w:r w:rsidR="004F39E9" w:rsidRPr="00201848">
        <w:rPr>
          <w:color w:val="595959" w:themeColor="text1" w:themeTint="A6"/>
        </w:rPr>
        <w:t xml:space="preserve">Summing </w:t>
      </w:r>
      <w:r w:rsidR="00D245D2" w:rsidRPr="00201848">
        <w:rPr>
          <w:color w:val="595959" w:themeColor="text1" w:themeTint="A6"/>
        </w:rPr>
        <w:t xml:space="preserve">to total race, </w:t>
      </w:r>
      <w:r w:rsidR="002C04F4" w:rsidRPr="00201848">
        <w:rPr>
          <w:color w:val="595959" w:themeColor="text1" w:themeTint="A6"/>
        </w:rPr>
        <w:t>ethnicity, and sex</w:t>
      </w:r>
      <w:bookmarkEnd w:id="43"/>
    </w:p>
    <w:p w14:paraId="3924A928" w14:textId="2FC8D581" w:rsidR="007B025F" w:rsidRDefault="00AC18A2" w:rsidP="00B15F5D">
      <w:r>
        <w:t>In the series output, we</w:t>
      </w:r>
      <w:r w:rsidR="00D21AD8">
        <w:t xml:space="preserve"> include</w:t>
      </w:r>
      <w:r w:rsidR="00A67406">
        <w:t xml:space="preserve"> sums to more generalized demographics</w:t>
      </w:r>
      <w:r w:rsidR="0090797D">
        <w:t xml:space="preserve"> constructed from our age/sex and age/sex/race/ethnicity</w:t>
      </w:r>
      <w:r w:rsidR="00CA361F">
        <w:t xml:space="preserve"> projections.</w:t>
      </w:r>
      <w:r w:rsidR="00591B64">
        <w:t xml:space="preserve"> The age/sex projections are </w:t>
      </w:r>
      <w:r w:rsidR="000E432A">
        <w:t xml:space="preserve">summed to create </w:t>
      </w:r>
      <w:r w:rsidR="007B025F">
        <w:t>the following totals:</w:t>
      </w:r>
    </w:p>
    <w:p w14:paraId="7A0DBFF7" w14:textId="10171F79" w:rsidR="007B025F" w:rsidRDefault="007B025F" w:rsidP="007B025F">
      <w:pPr>
        <w:pStyle w:val="ListParagraph"/>
        <w:numPr>
          <w:ilvl w:val="0"/>
          <w:numId w:val="50"/>
        </w:numPr>
      </w:pPr>
      <w:r>
        <w:t>Total population by age (</w:t>
      </w:r>
      <w:r w:rsidR="00574367">
        <w:t>e.g</w:t>
      </w:r>
      <w:r w:rsidR="001836FC">
        <w:t>.</w:t>
      </w:r>
      <w:r w:rsidR="00574367">
        <w:t>, all 0-4 year-olds)</w:t>
      </w:r>
    </w:p>
    <w:p w14:paraId="253D3285" w14:textId="4DBBB3F8" w:rsidR="00574367" w:rsidRDefault="00574367" w:rsidP="007B025F">
      <w:pPr>
        <w:pStyle w:val="ListParagraph"/>
        <w:numPr>
          <w:ilvl w:val="0"/>
          <w:numId w:val="50"/>
        </w:numPr>
      </w:pPr>
      <w:r>
        <w:t>Total population by sex (e.g., all females)</w:t>
      </w:r>
    </w:p>
    <w:p w14:paraId="7CAEABF5" w14:textId="43F9EF0F" w:rsidR="001836FC" w:rsidRDefault="000E432A" w:rsidP="001836FC">
      <w:r>
        <w:t xml:space="preserve"> </w:t>
      </w:r>
      <w:r w:rsidR="001836FC">
        <w:t>The age/sex/race/ethnicity projections are summed to create the following totals:</w:t>
      </w:r>
    </w:p>
    <w:p w14:paraId="60B16E82" w14:textId="48BFE69C" w:rsidR="00C91A8A" w:rsidRDefault="00C91A8A" w:rsidP="00C91A8A">
      <w:pPr>
        <w:pStyle w:val="ListParagraph"/>
        <w:numPr>
          <w:ilvl w:val="0"/>
          <w:numId w:val="48"/>
        </w:numPr>
      </w:pPr>
      <w:r>
        <w:t xml:space="preserve">Total </w:t>
      </w:r>
      <w:r w:rsidR="00242BB2">
        <w:t>r</w:t>
      </w:r>
      <w:r w:rsidR="00000C73">
        <w:t>aces by</w:t>
      </w:r>
      <w:r>
        <w:t xml:space="preserve"> age, sex, ethnicity (</w:t>
      </w:r>
      <w:r w:rsidR="005F035A">
        <w:t xml:space="preserve">e.g., </w:t>
      </w:r>
      <w:r>
        <w:t>Hispanic, 0-4, female,</w:t>
      </w:r>
      <w:r w:rsidR="002F394E">
        <w:t xml:space="preserve"> of </w:t>
      </w:r>
      <w:r>
        <w:t>any race)</w:t>
      </w:r>
    </w:p>
    <w:p w14:paraId="11E96884" w14:textId="3F84D5CD" w:rsidR="00C91A8A" w:rsidRDefault="00C91A8A" w:rsidP="00C91A8A">
      <w:pPr>
        <w:pStyle w:val="ListParagraph"/>
        <w:numPr>
          <w:ilvl w:val="0"/>
          <w:numId w:val="48"/>
        </w:numPr>
      </w:pPr>
      <w:r>
        <w:t xml:space="preserve">Total </w:t>
      </w:r>
      <w:r w:rsidR="00F02C47">
        <w:t>e</w:t>
      </w:r>
      <w:r>
        <w:t>thnicities by age, sex, race (</w:t>
      </w:r>
      <w:r w:rsidR="005F035A">
        <w:t xml:space="preserve">e.g., </w:t>
      </w:r>
      <w:r>
        <w:t xml:space="preserve">Black, 0-4, female, </w:t>
      </w:r>
      <w:r w:rsidR="002F394E">
        <w:t xml:space="preserve">of </w:t>
      </w:r>
      <w:r>
        <w:t>any eth</w:t>
      </w:r>
      <w:r w:rsidR="002F394E">
        <w:t>nicity</w:t>
      </w:r>
      <w:r>
        <w:t>)</w:t>
      </w:r>
    </w:p>
    <w:p w14:paraId="425B4A06" w14:textId="6C53254A" w:rsidR="00C91A8A" w:rsidRDefault="00C91A8A" w:rsidP="00C91A8A">
      <w:pPr>
        <w:pStyle w:val="ListParagraph"/>
        <w:numPr>
          <w:ilvl w:val="0"/>
          <w:numId w:val="48"/>
        </w:numPr>
      </w:pPr>
      <w:r>
        <w:t>Total sexes by age, race, and ethnicity (</w:t>
      </w:r>
      <w:r w:rsidR="005F035A">
        <w:t xml:space="preserve">e.g., </w:t>
      </w:r>
      <w:r>
        <w:t xml:space="preserve">0-4, Black, Hispanic, </w:t>
      </w:r>
      <w:r w:rsidR="002F394E">
        <w:t xml:space="preserve">of </w:t>
      </w:r>
      <w:r>
        <w:t>any sex)</w:t>
      </w:r>
    </w:p>
    <w:p w14:paraId="43339941" w14:textId="0A817685" w:rsidR="00C91A8A" w:rsidRDefault="00C91A8A" w:rsidP="00C91A8A">
      <w:pPr>
        <w:pStyle w:val="ListParagraph"/>
        <w:numPr>
          <w:ilvl w:val="0"/>
          <w:numId w:val="48"/>
        </w:numPr>
      </w:pPr>
      <w:r>
        <w:lastRenderedPageBreak/>
        <w:t>Total sexes by age and race (</w:t>
      </w:r>
      <w:r w:rsidR="005F035A">
        <w:t xml:space="preserve">e.g., </w:t>
      </w:r>
      <w:r>
        <w:t xml:space="preserve">0-4, Black, </w:t>
      </w:r>
      <w:r w:rsidR="002F394E">
        <w:t xml:space="preserve">of </w:t>
      </w:r>
      <w:r>
        <w:t>any</w:t>
      </w:r>
      <w:r w:rsidR="002F394E">
        <w:t xml:space="preserve"> sex or</w:t>
      </w:r>
      <w:r>
        <w:t xml:space="preserve"> ethnicity)</w:t>
      </w:r>
    </w:p>
    <w:p w14:paraId="70C91A17" w14:textId="516E50C3" w:rsidR="00567689" w:rsidRDefault="007240E6" w:rsidP="00C91A8A">
      <w:pPr>
        <w:pStyle w:val="ListParagraph"/>
        <w:numPr>
          <w:ilvl w:val="0"/>
          <w:numId w:val="48"/>
        </w:numPr>
      </w:pPr>
      <w:r>
        <w:t>T</w:t>
      </w:r>
      <w:r w:rsidR="00C91A8A">
        <w:t>otal sexes by age and ethnicity (</w:t>
      </w:r>
      <w:r w:rsidR="005F035A">
        <w:t xml:space="preserve">e.g., </w:t>
      </w:r>
      <w:r w:rsidR="00C91A8A">
        <w:t>0-4, Hispanic,</w:t>
      </w:r>
      <w:r w:rsidR="00CB3296">
        <w:t xml:space="preserve"> of any sex or</w:t>
      </w:r>
      <w:r w:rsidR="00C91A8A">
        <w:t xml:space="preserve"> race)</w:t>
      </w:r>
    </w:p>
    <w:p w14:paraId="413EA5EB" w14:textId="067EA465" w:rsidR="00917684" w:rsidRPr="00E65C42" w:rsidRDefault="006D6AF2" w:rsidP="00917684">
      <w:r>
        <w:t>CCR P</w:t>
      </w:r>
      <w:r w:rsidR="005606F8">
        <w:t xml:space="preserve">rojections, adjusted projections, </w:t>
      </w:r>
      <w:r w:rsidR="00652549">
        <w:t>and upper and lower</w:t>
      </w:r>
      <w:r w:rsidR="0028276F">
        <w:t xml:space="preserve"> confidence intervals are simply summed from </w:t>
      </w:r>
      <w:r w:rsidR="00B21684">
        <w:t>the</w:t>
      </w:r>
      <w:r w:rsidR="00483121">
        <w:t xml:space="preserve">se same </w:t>
      </w:r>
      <w:r w:rsidR="00827411">
        <w:t>o</w:t>
      </w:r>
      <w:r w:rsidR="00CB4686">
        <w:t>utputs from the</w:t>
      </w:r>
      <w:r w:rsidR="00AA13C7">
        <w:t xml:space="preserve"> </w:t>
      </w:r>
      <w:r w:rsidR="00C265E9">
        <w:t>individual cohorts</w:t>
      </w:r>
      <w:r w:rsidR="00F16E95">
        <w:t xml:space="preserve"> </w:t>
      </w:r>
      <w:r w:rsidR="00AA13C7">
        <w:t>which comprise them</w:t>
      </w:r>
      <w:r w:rsidR="00C265E9">
        <w:t>.</w:t>
      </w:r>
      <w:r w:rsidR="00541177">
        <w:t xml:space="preserve"> </w:t>
      </w:r>
      <w:r w:rsidR="00653335">
        <w:t>Thi</w:t>
      </w:r>
      <w:r w:rsidR="007A0002">
        <w:t>s method</w:t>
      </w:r>
      <w:r w:rsidR="00643818">
        <w:t xml:space="preserve"> creates conservative error ranges</w:t>
      </w:r>
      <w:r w:rsidR="00154DDF">
        <w:t>, particularly for the age/sex/race/ethnicity projections</w:t>
      </w:r>
      <w:r w:rsidR="00AA0563">
        <w:t xml:space="preserve">. </w:t>
      </w:r>
      <w:r w:rsidR="0099593F">
        <w:t xml:space="preserve">Because </w:t>
      </w:r>
      <w:r w:rsidR="00C74A08">
        <w:t xml:space="preserve">of our controls to age/sex projections </w:t>
      </w:r>
      <w:r w:rsidR="00506DFF">
        <w:t xml:space="preserve">for consistency and </w:t>
      </w:r>
      <w:r w:rsidR="00A74B3E">
        <w:t>improved overall accuracy</w:t>
      </w:r>
      <w:r w:rsidR="00F36A89">
        <w:t xml:space="preserve"> in our </w:t>
      </w:r>
      <w:r w:rsidR="00154DDF">
        <w:t>age/sex/race/ethnicity model</w:t>
      </w:r>
      <w:r w:rsidR="00B744CD">
        <w:t xml:space="preserve">, </w:t>
      </w:r>
      <w:r w:rsidR="0012069E">
        <w:t xml:space="preserve">covariance exists between </w:t>
      </w:r>
      <w:r w:rsidR="00841987">
        <w:t xml:space="preserve">different ethnicities and different races within a geography. </w:t>
      </w:r>
      <w:r w:rsidR="00F46362">
        <w:t xml:space="preserve">For example, as a person can only be categorized in this model as Hispanic or Not Hispanic, </w:t>
      </w:r>
      <w:r w:rsidR="00187A2F">
        <w:t xml:space="preserve"> the more </w:t>
      </w:r>
      <w:r w:rsidR="001661F7">
        <w:t>Hispanic people there are with</w:t>
      </w:r>
      <w:r w:rsidR="007316AC">
        <w:t xml:space="preserve">in </w:t>
      </w:r>
      <w:r w:rsidR="003920DA">
        <w:t xml:space="preserve">a geography </w:t>
      </w:r>
      <w:r w:rsidR="001F799E">
        <w:t>(</w:t>
      </w:r>
      <w:r w:rsidR="003920DA">
        <w:t xml:space="preserve">whose </w:t>
      </w:r>
      <w:r w:rsidR="00FC2A65">
        <w:t xml:space="preserve">combined </w:t>
      </w:r>
      <w:r w:rsidR="00D30E42">
        <w:t>Hispanic</w:t>
      </w:r>
      <w:r w:rsidR="00FC2A65">
        <w:t>/Not Hispanic population</w:t>
      </w:r>
      <w:r w:rsidR="003920DA">
        <w:t xml:space="preserve"> is dictated by the results of our </w:t>
      </w:r>
      <w:r w:rsidR="001F799E">
        <w:t>age/sex</w:t>
      </w:r>
      <w:r w:rsidR="003920DA">
        <w:t xml:space="preserve"> model</w:t>
      </w:r>
      <w:r w:rsidR="001F799E">
        <w:t>)</w:t>
      </w:r>
      <w:r w:rsidR="0027538F">
        <w:t>, the fewer no</w:t>
      </w:r>
      <w:r w:rsidR="00CB7CFB">
        <w:t xml:space="preserve">n-Hispanic people there must necessarily be, and vice versa. </w:t>
      </w:r>
      <w:r w:rsidR="007E6B95">
        <w:t xml:space="preserve">If we improve our </w:t>
      </w:r>
      <w:r w:rsidR="0033377C">
        <w:t xml:space="preserve">projection estimates with one demographic, this will </w:t>
      </w:r>
      <w:r w:rsidR="005B1958">
        <w:t>likely improve our projection of another demographic because of this interplay. Unfortunately, th</w:t>
      </w:r>
      <w:r w:rsidR="00A44112">
        <w:t xml:space="preserve">ese effects are difficult to quantify within the model, </w:t>
      </w:r>
      <w:r w:rsidR="00B0084B">
        <w:t>so, while error effects are not strictly additive, we have chosen to treat them as such</w:t>
      </w:r>
      <w:r w:rsidR="009E0870">
        <w:t xml:space="preserve">, knowing that </w:t>
      </w:r>
      <w:r w:rsidR="00A27D38">
        <w:t xml:space="preserve">this will produce a </w:t>
      </w:r>
      <w:r w:rsidR="00A27D38" w:rsidRPr="005E0E1F">
        <w:t>conservative estimate. Additionally,</w:t>
      </w:r>
      <w:r w:rsidR="006F16C7" w:rsidRPr="005E0E1F">
        <w:t xml:space="preserve"> </w:t>
      </w:r>
      <w:r w:rsidR="00935DF8" w:rsidRPr="005E0E1F">
        <w:t xml:space="preserve">rounding </w:t>
      </w:r>
      <w:r w:rsidR="00337510" w:rsidRPr="005E0E1F">
        <w:t xml:space="preserve">effects become more </w:t>
      </w:r>
      <w:r w:rsidR="001E2714" w:rsidRPr="005E0E1F">
        <w:t>visible as</w:t>
      </w:r>
      <w:r w:rsidR="00465517" w:rsidRPr="005E0E1F">
        <w:t xml:space="preserve"> we sum to broader characteristics</w:t>
      </w:r>
      <w:r w:rsidR="003F79CE" w:rsidRPr="005E0E1F">
        <w:t>.</w:t>
      </w:r>
      <w:r w:rsidR="0068190A" w:rsidRPr="005E0E1F">
        <w:t xml:space="preserve"> </w:t>
      </w:r>
      <w:r w:rsidR="00C41783" w:rsidRPr="005E0E1F">
        <w:t>During</w:t>
      </w:r>
      <w:r w:rsidR="00BE3D65" w:rsidRPr="005E0E1F">
        <w:t xml:space="preserve"> our </w:t>
      </w:r>
      <w:r w:rsidR="00D05455" w:rsidRPr="005E0E1F">
        <w:t xml:space="preserve">quality control </w:t>
      </w:r>
      <w:r w:rsidR="00BE3D65" w:rsidRPr="005E0E1F">
        <w:t>process, we found that t</w:t>
      </w:r>
      <w:r w:rsidR="00FB087B" w:rsidRPr="005E0E1F">
        <w:t>otals</w:t>
      </w:r>
      <w:r w:rsidR="001A5032" w:rsidRPr="005E0E1F">
        <w:t xml:space="preserve"> can be up to +/- 4 people </w:t>
      </w:r>
      <w:r w:rsidR="005A3EF7" w:rsidRPr="005E0E1F">
        <w:t xml:space="preserve">due to </w:t>
      </w:r>
      <w:r w:rsidR="00943F19" w:rsidRPr="005E0E1F">
        <w:t>differences in processing</w:t>
      </w:r>
      <w:r w:rsidR="00BE3D65" w:rsidRPr="005E0E1F">
        <w:t xml:space="preserve"> between R, Stata, and Exce</w:t>
      </w:r>
      <w:r w:rsidR="00C94790" w:rsidRPr="005E0E1F">
        <w:t>l, and dependent on</w:t>
      </w:r>
      <w:r w:rsidR="00E7619D" w:rsidRPr="005E0E1F">
        <w:t xml:space="preserve"> </w:t>
      </w:r>
      <w:r w:rsidR="00902B1F" w:rsidRPr="005E0E1F">
        <w:t>how many</w:t>
      </w:r>
      <w:r w:rsidR="00E7619D" w:rsidRPr="005E0E1F">
        <w:t xml:space="preserve"> variables were being summed.</w:t>
      </w:r>
      <w:r w:rsidR="00F64113" w:rsidRPr="005E0E1F">
        <w:t xml:space="preserve"> </w:t>
      </w:r>
      <w:r w:rsidR="00401B6E" w:rsidRPr="005E0E1F">
        <w:t>At a state level</w:t>
      </w:r>
      <w:r w:rsidR="00E671CE" w:rsidRPr="005E0E1F">
        <w:t>, we found a</w:t>
      </w:r>
      <w:r w:rsidR="00532D85" w:rsidRPr="005E0E1F">
        <w:t xml:space="preserve"> 345 person </w:t>
      </w:r>
      <w:r w:rsidR="00B5438B" w:rsidRPr="005E0E1F">
        <w:t>state-wide</w:t>
      </w:r>
      <w:r w:rsidR="00AD452B" w:rsidRPr="005E0E1F">
        <w:t xml:space="preserve"> </w:t>
      </w:r>
      <w:r w:rsidR="00532D85" w:rsidRPr="005E0E1F">
        <w:t>difference</w:t>
      </w:r>
      <w:r w:rsidR="00D124B7" w:rsidRPr="005E0E1F">
        <w:t xml:space="preserve"> between R and Excel</w:t>
      </w:r>
      <w:r w:rsidR="00012335" w:rsidRPr="005E0E1F">
        <w:t>/Stata</w:t>
      </w:r>
      <w:r w:rsidR="00B0529B" w:rsidRPr="005E0E1F">
        <w:t xml:space="preserve"> outputs</w:t>
      </w:r>
      <w:r w:rsidR="00DD0552" w:rsidRPr="005E0E1F">
        <w:t xml:space="preserve"> at the tract level</w:t>
      </w:r>
      <w:r w:rsidR="00D124B7" w:rsidRPr="005E0E1F">
        <w:t>, summing all characteristics</w:t>
      </w:r>
      <w:r w:rsidR="008557A9" w:rsidRPr="005E0E1F">
        <w:t>, which amounted to a 0.005</w:t>
      </w:r>
      <w:r w:rsidR="000A67FD" w:rsidRPr="005E0E1F">
        <w:t xml:space="preserve">% </w:t>
      </w:r>
      <w:r w:rsidR="008557A9" w:rsidRPr="005E0E1F">
        <w:t xml:space="preserve"> difference in total population.</w:t>
      </w:r>
    </w:p>
    <w:p w14:paraId="5F6FB872" w14:textId="2B250571" w:rsidR="00634DB2" w:rsidRPr="00B56F89" w:rsidRDefault="00612375" w:rsidP="00AD23A9">
      <w:pPr>
        <w:pStyle w:val="Heading1"/>
      </w:pPr>
      <w:bookmarkStart w:id="44" w:name="_Toc197520544"/>
      <w:r w:rsidRPr="00B56F89">
        <w:lastRenderedPageBreak/>
        <w:t xml:space="preserve">Projections </w:t>
      </w:r>
      <w:r w:rsidR="00AD23A9" w:rsidRPr="00B56F89">
        <w:t>Output</w:t>
      </w:r>
      <w:bookmarkEnd w:id="44"/>
    </w:p>
    <w:p w14:paraId="63961827" w14:textId="1C472C04" w:rsidR="004A6628" w:rsidRPr="000D5809" w:rsidRDefault="004A6628" w:rsidP="004A6628">
      <w:pPr>
        <w:spacing w:line="240" w:lineRule="auto"/>
        <w:rPr>
          <w:rFonts w:cstheme="minorHAnsi"/>
        </w:rPr>
      </w:pPr>
      <w:r w:rsidRPr="000D5809">
        <w:rPr>
          <w:rFonts w:eastAsia="Calibri" w:cstheme="minorHAnsi"/>
        </w:rPr>
        <w:t xml:space="preserve">Provided to MA DPH with this report are the population estimates files and a geographic crosswalk file. Estimate files are output by year and by </w:t>
      </w:r>
      <w:r w:rsidR="00735D4B" w:rsidRPr="000D5809">
        <w:rPr>
          <w:rFonts w:eastAsia="Calibri" w:cstheme="minorHAnsi"/>
        </w:rPr>
        <w:t xml:space="preserve">MCD and tract </w:t>
      </w:r>
      <w:r w:rsidRPr="000D5809">
        <w:rPr>
          <w:rFonts w:eastAsia="Calibri" w:cstheme="minorHAnsi"/>
        </w:rPr>
        <w:t xml:space="preserve">for years 2020-2030, for a total of 22 files: 11 at the MCD level and 11 at the tract level. Each of the estimate files includes the variables described in Table 4 below: </w:t>
      </w:r>
      <w:r w:rsidRPr="000D5809">
        <w:rPr>
          <w:rFonts w:cstheme="minorHAnsi"/>
        </w:rPr>
        <w:t>Geocode, Sex, Age_Group_Code, Age_Group,</w:t>
      </w:r>
      <w:r w:rsidR="00964B99" w:rsidRPr="000D5809">
        <w:rPr>
          <w:rFonts w:cstheme="minorHAnsi"/>
        </w:rPr>
        <w:t xml:space="preserve"> Race, Ethnicity,</w:t>
      </w:r>
      <w:r w:rsidRPr="000D5809">
        <w:rPr>
          <w:rFonts w:cstheme="minorHAnsi"/>
        </w:rPr>
        <w:t xml:space="preserve"> CCR_ESTIMATE, LOWER_POP, ADJ_ESTIMATE, UPPER_POP, </w:t>
      </w:r>
      <w:r w:rsidR="009521E0" w:rsidRPr="000D5809">
        <w:rPr>
          <w:rFonts w:cstheme="minorHAnsi"/>
        </w:rPr>
        <w:t>EST_YEA</w:t>
      </w:r>
      <w:r w:rsidR="007B2285" w:rsidRPr="000D5809">
        <w:rPr>
          <w:rFonts w:cstheme="minorHAnsi"/>
        </w:rPr>
        <w:t>R</w:t>
      </w:r>
      <w:r w:rsidR="008C462B" w:rsidRPr="000D5809">
        <w:rPr>
          <w:rFonts w:cstheme="minorHAnsi"/>
        </w:rPr>
        <w:t xml:space="preserve">, </w:t>
      </w:r>
      <w:r w:rsidRPr="000D5809">
        <w:rPr>
          <w:rFonts w:cstheme="minorHAnsi"/>
        </w:rPr>
        <w:t>and Series.</w:t>
      </w:r>
      <w:r w:rsidR="00574094" w:rsidRPr="000D5809">
        <w:rPr>
          <w:rFonts w:cstheme="minorHAnsi"/>
        </w:rPr>
        <w:t xml:space="preserve"> The tract file also includes the “col_flag” field.</w:t>
      </w:r>
    </w:p>
    <w:p w14:paraId="0C3BFD82" w14:textId="103720BC" w:rsidR="009B727E" w:rsidRPr="000D5809" w:rsidRDefault="009B727E" w:rsidP="009B727E">
      <w:pPr>
        <w:pStyle w:val="Caption"/>
        <w:rPr>
          <w:rFonts w:cstheme="minorHAnsi"/>
          <w:b w:val="0"/>
          <w:color w:val="auto"/>
        </w:rPr>
      </w:pPr>
      <w:bookmarkStart w:id="45" w:name="_Toc170212116"/>
      <w:bookmarkStart w:id="46" w:name="_Toc197520550"/>
      <w:r w:rsidRPr="000D5809">
        <w:rPr>
          <w:color w:val="auto"/>
        </w:rPr>
        <w:t xml:space="preserve">Table </w:t>
      </w:r>
      <w:r w:rsidRPr="000D5809">
        <w:rPr>
          <w:color w:val="auto"/>
        </w:rPr>
        <w:fldChar w:fldCharType="begin"/>
      </w:r>
      <w:r w:rsidRPr="000D5809">
        <w:rPr>
          <w:color w:val="auto"/>
        </w:rPr>
        <w:instrText xml:space="preserve"> SEQ Table \* ARABIC </w:instrText>
      </w:r>
      <w:r w:rsidRPr="000D5809">
        <w:rPr>
          <w:color w:val="auto"/>
        </w:rPr>
        <w:fldChar w:fldCharType="separate"/>
      </w:r>
      <w:r w:rsidR="00682CB2" w:rsidRPr="000D5809">
        <w:rPr>
          <w:color w:val="auto"/>
        </w:rPr>
        <w:t>4</w:t>
      </w:r>
      <w:r w:rsidRPr="000D5809">
        <w:rPr>
          <w:color w:val="auto"/>
        </w:rPr>
        <w:fldChar w:fldCharType="end"/>
      </w:r>
      <w:r w:rsidRPr="000D5809">
        <w:rPr>
          <w:color w:val="auto"/>
        </w:rPr>
        <w:t xml:space="preserve">. </w:t>
      </w:r>
      <w:r w:rsidRPr="000D5809">
        <w:rPr>
          <w:rFonts w:eastAsia="Calibri" w:cstheme="minorHAnsi"/>
          <w:color w:val="auto"/>
        </w:rPr>
        <w:t>Population Estimates Output Variable Names and Descriptions</w:t>
      </w:r>
      <w:bookmarkEnd w:id="45"/>
      <w:bookmarkEnd w:id="46"/>
    </w:p>
    <w:tbl>
      <w:tblPr>
        <w:tblW w:w="8995" w:type="dxa"/>
        <w:tblLook w:val="04A0" w:firstRow="1" w:lastRow="0" w:firstColumn="1" w:lastColumn="0" w:noHBand="0" w:noVBand="1"/>
      </w:tblPr>
      <w:tblGrid>
        <w:gridCol w:w="1797"/>
        <w:gridCol w:w="7198"/>
      </w:tblGrid>
      <w:tr w:rsidR="0061561A" w:rsidRPr="00D702DF" w14:paraId="2CAD1F07" w14:textId="77777777">
        <w:trPr>
          <w:trHeight w:val="288"/>
        </w:trPr>
        <w:tc>
          <w:tcPr>
            <w:tcW w:w="1797" w:type="dxa"/>
            <w:tcBorders>
              <w:top w:val="single" w:sz="4" w:space="0" w:color="auto"/>
              <w:left w:val="single" w:sz="4" w:space="0" w:color="auto"/>
              <w:bottom w:val="single" w:sz="4" w:space="0" w:color="auto"/>
              <w:right w:val="single" w:sz="4" w:space="0" w:color="auto"/>
            </w:tcBorders>
            <w:shd w:val="clear" w:color="000000" w:fill="FFFFFF"/>
            <w:noWrap/>
          </w:tcPr>
          <w:p w14:paraId="13E4003F" w14:textId="77777777" w:rsidR="0061561A" w:rsidRPr="00935A95" w:rsidRDefault="0061561A">
            <w:pPr>
              <w:spacing w:line="240" w:lineRule="auto"/>
              <w:rPr>
                <w:rFonts w:ascii="Calibri" w:hAnsi="Calibri" w:cs="Calibri"/>
                <w:i/>
                <w:iCs/>
              </w:rPr>
            </w:pPr>
            <w:r w:rsidRPr="00935A95">
              <w:rPr>
                <w:rFonts w:ascii="Calibri" w:hAnsi="Calibri" w:cs="Calibri"/>
                <w:i/>
                <w:iCs/>
              </w:rPr>
              <w:t xml:space="preserve">Variable Name </w:t>
            </w:r>
          </w:p>
        </w:tc>
        <w:tc>
          <w:tcPr>
            <w:tcW w:w="7198" w:type="dxa"/>
            <w:tcBorders>
              <w:top w:val="single" w:sz="4" w:space="0" w:color="auto"/>
              <w:left w:val="nil"/>
              <w:bottom w:val="single" w:sz="4" w:space="0" w:color="auto"/>
              <w:right w:val="single" w:sz="4" w:space="0" w:color="auto"/>
            </w:tcBorders>
            <w:shd w:val="clear" w:color="auto" w:fill="auto"/>
            <w:noWrap/>
            <w:vAlign w:val="bottom"/>
          </w:tcPr>
          <w:p w14:paraId="2CEA1ED2" w14:textId="77777777" w:rsidR="0061561A" w:rsidRPr="00935A95" w:rsidRDefault="0061561A">
            <w:pPr>
              <w:spacing w:line="240" w:lineRule="auto"/>
              <w:rPr>
                <w:rFonts w:ascii="Calibri" w:hAnsi="Calibri" w:cs="Calibri"/>
                <w:i/>
                <w:iCs/>
              </w:rPr>
            </w:pPr>
            <w:r w:rsidRPr="00935A95">
              <w:rPr>
                <w:rFonts w:ascii="Calibri" w:hAnsi="Calibri" w:cs="Calibri"/>
                <w:i/>
                <w:iCs/>
              </w:rPr>
              <w:t>Variable Description</w:t>
            </w:r>
          </w:p>
        </w:tc>
      </w:tr>
      <w:tr w:rsidR="0061561A" w:rsidRPr="00D702DF" w14:paraId="07BF2852" w14:textId="77777777">
        <w:trPr>
          <w:trHeight w:val="288"/>
        </w:trPr>
        <w:tc>
          <w:tcPr>
            <w:tcW w:w="1797" w:type="dxa"/>
            <w:tcBorders>
              <w:top w:val="single" w:sz="4" w:space="0" w:color="auto"/>
              <w:left w:val="single" w:sz="4" w:space="0" w:color="auto"/>
              <w:bottom w:val="single" w:sz="4" w:space="0" w:color="auto"/>
              <w:right w:val="single" w:sz="4" w:space="0" w:color="auto"/>
            </w:tcBorders>
            <w:shd w:val="clear" w:color="000000" w:fill="FFFFFF"/>
            <w:noWrap/>
            <w:hideMark/>
          </w:tcPr>
          <w:p w14:paraId="088C26FD" w14:textId="77777777" w:rsidR="0061561A" w:rsidRPr="00D702DF" w:rsidRDefault="0061561A">
            <w:pPr>
              <w:spacing w:line="240" w:lineRule="auto"/>
              <w:rPr>
                <w:rFonts w:ascii="Calibri" w:hAnsi="Calibri" w:cs="Calibri"/>
              </w:rPr>
            </w:pPr>
            <w:r w:rsidRPr="00D702DF">
              <w:rPr>
                <w:rFonts w:ascii="Calibri" w:hAnsi="Calibri" w:cs="Calibri"/>
              </w:rPr>
              <w:t>Geocode</w:t>
            </w:r>
          </w:p>
        </w:tc>
        <w:tc>
          <w:tcPr>
            <w:tcW w:w="7198" w:type="dxa"/>
            <w:tcBorders>
              <w:top w:val="single" w:sz="4" w:space="0" w:color="auto"/>
              <w:left w:val="nil"/>
              <w:bottom w:val="single" w:sz="4" w:space="0" w:color="auto"/>
              <w:right w:val="single" w:sz="4" w:space="0" w:color="auto"/>
            </w:tcBorders>
            <w:shd w:val="clear" w:color="auto" w:fill="auto"/>
            <w:noWrap/>
            <w:vAlign w:val="bottom"/>
            <w:hideMark/>
          </w:tcPr>
          <w:p w14:paraId="03C06A6A" w14:textId="77777777" w:rsidR="0061561A" w:rsidRPr="00D702DF" w:rsidRDefault="0061561A">
            <w:pPr>
              <w:spacing w:line="240" w:lineRule="auto"/>
              <w:rPr>
                <w:rFonts w:ascii="Calibri" w:hAnsi="Calibri" w:cs="Calibri"/>
              </w:rPr>
            </w:pPr>
            <w:r w:rsidRPr="00D702DF">
              <w:rPr>
                <w:rFonts w:ascii="Calibri" w:hAnsi="Calibri" w:cs="Calibri"/>
              </w:rPr>
              <w:t>Census 2020 Tract or MCD code as provided by NHGIS</w:t>
            </w:r>
          </w:p>
        </w:tc>
      </w:tr>
      <w:tr w:rsidR="0061561A" w:rsidRPr="00D702DF" w14:paraId="2B55DFBA" w14:textId="77777777">
        <w:trPr>
          <w:trHeight w:val="288"/>
        </w:trPr>
        <w:tc>
          <w:tcPr>
            <w:tcW w:w="1797" w:type="dxa"/>
            <w:tcBorders>
              <w:top w:val="nil"/>
              <w:left w:val="single" w:sz="4" w:space="0" w:color="auto"/>
              <w:bottom w:val="single" w:sz="4" w:space="0" w:color="auto"/>
              <w:right w:val="single" w:sz="4" w:space="0" w:color="auto"/>
            </w:tcBorders>
            <w:shd w:val="clear" w:color="000000" w:fill="FFFFFF"/>
            <w:noWrap/>
            <w:hideMark/>
          </w:tcPr>
          <w:p w14:paraId="4B7A9406" w14:textId="77777777" w:rsidR="0061561A" w:rsidRPr="00D702DF" w:rsidRDefault="0061561A">
            <w:pPr>
              <w:spacing w:line="240" w:lineRule="auto"/>
              <w:rPr>
                <w:rFonts w:ascii="Calibri" w:hAnsi="Calibri" w:cs="Calibri"/>
              </w:rPr>
            </w:pPr>
            <w:r w:rsidRPr="00D702DF">
              <w:rPr>
                <w:rFonts w:ascii="Calibri" w:hAnsi="Calibri" w:cs="Calibri"/>
              </w:rPr>
              <w:t>Sex</w:t>
            </w:r>
          </w:p>
        </w:tc>
        <w:tc>
          <w:tcPr>
            <w:tcW w:w="7198" w:type="dxa"/>
            <w:tcBorders>
              <w:top w:val="nil"/>
              <w:left w:val="nil"/>
              <w:bottom w:val="single" w:sz="4" w:space="0" w:color="auto"/>
              <w:right w:val="single" w:sz="4" w:space="0" w:color="auto"/>
            </w:tcBorders>
            <w:shd w:val="clear" w:color="auto" w:fill="auto"/>
            <w:noWrap/>
            <w:vAlign w:val="bottom"/>
            <w:hideMark/>
          </w:tcPr>
          <w:p w14:paraId="388D99E6" w14:textId="6DF2496C" w:rsidR="0061561A" w:rsidRPr="00D702DF" w:rsidRDefault="0061561A">
            <w:pPr>
              <w:spacing w:line="240" w:lineRule="auto"/>
              <w:rPr>
                <w:rFonts w:ascii="Calibri" w:hAnsi="Calibri" w:cs="Calibri"/>
              </w:rPr>
            </w:pPr>
            <w:r w:rsidRPr="00D702DF">
              <w:rPr>
                <w:rFonts w:ascii="Calibri" w:hAnsi="Calibri" w:cs="Calibri"/>
              </w:rPr>
              <w:t xml:space="preserve">"m" </w:t>
            </w:r>
            <w:r w:rsidR="00574094">
              <w:rPr>
                <w:rFonts w:ascii="Calibri" w:hAnsi="Calibri" w:cs="Calibri"/>
              </w:rPr>
              <w:t xml:space="preserve">for male, </w:t>
            </w:r>
            <w:r w:rsidRPr="00D702DF">
              <w:rPr>
                <w:rFonts w:ascii="Calibri" w:hAnsi="Calibri" w:cs="Calibri"/>
              </w:rPr>
              <w:t xml:space="preserve"> "f" for female</w:t>
            </w:r>
            <w:r w:rsidR="00574094">
              <w:rPr>
                <w:rFonts w:ascii="Calibri" w:hAnsi="Calibri" w:cs="Calibri"/>
              </w:rPr>
              <w:t>, “t” for all sexes</w:t>
            </w:r>
          </w:p>
        </w:tc>
      </w:tr>
      <w:tr w:rsidR="0061561A" w:rsidRPr="00D702DF" w14:paraId="4690C187" w14:textId="77777777">
        <w:trPr>
          <w:trHeight w:val="576"/>
        </w:trPr>
        <w:tc>
          <w:tcPr>
            <w:tcW w:w="1797" w:type="dxa"/>
            <w:tcBorders>
              <w:top w:val="nil"/>
              <w:left w:val="single" w:sz="4" w:space="0" w:color="auto"/>
              <w:bottom w:val="single" w:sz="4" w:space="0" w:color="auto"/>
              <w:right w:val="single" w:sz="4" w:space="0" w:color="auto"/>
            </w:tcBorders>
            <w:shd w:val="clear" w:color="000000" w:fill="FFFFFF"/>
            <w:noWrap/>
            <w:hideMark/>
          </w:tcPr>
          <w:p w14:paraId="1874ADE0" w14:textId="77777777" w:rsidR="0061561A" w:rsidRPr="00D702DF" w:rsidRDefault="0061561A">
            <w:pPr>
              <w:spacing w:line="240" w:lineRule="auto"/>
              <w:rPr>
                <w:rFonts w:ascii="Calibri" w:hAnsi="Calibri" w:cs="Calibri"/>
              </w:rPr>
            </w:pPr>
            <w:r w:rsidRPr="00D702DF">
              <w:rPr>
                <w:rFonts w:ascii="Calibri" w:hAnsi="Calibri" w:cs="Calibri"/>
              </w:rPr>
              <w:t>Age_Group_Code</w:t>
            </w:r>
          </w:p>
        </w:tc>
        <w:tc>
          <w:tcPr>
            <w:tcW w:w="7198" w:type="dxa"/>
            <w:tcBorders>
              <w:top w:val="nil"/>
              <w:left w:val="nil"/>
              <w:bottom w:val="single" w:sz="4" w:space="0" w:color="auto"/>
              <w:right w:val="single" w:sz="4" w:space="0" w:color="auto"/>
            </w:tcBorders>
            <w:shd w:val="clear" w:color="auto" w:fill="auto"/>
            <w:vAlign w:val="bottom"/>
            <w:hideMark/>
          </w:tcPr>
          <w:p w14:paraId="4F3F32E8" w14:textId="3CE5D55F" w:rsidR="0061561A" w:rsidRPr="00D702DF" w:rsidRDefault="00500534">
            <w:pPr>
              <w:spacing w:line="240" w:lineRule="auto"/>
              <w:rPr>
                <w:rFonts w:ascii="Calibri" w:hAnsi="Calibri" w:cs="Calibri"/>
              </w:rPr>
            </w:pPr>
            <w:r>
              <w:rPr>
                <w:rFonts w:ascii="Calibri" w:hAnsi="Calibri" w:cs="Calibri"/>
              </w:rPr>
              <w:t>C</w:t>
            </w:r>
            <w:r w:rsidR="0061561A" w:rsidRPr="00D702DF">
              <w:rPr>
                <w:rFonts w:ascii="Calibri" w:hAnsi="Calibri" w:cs="Calibri"/>
              </w:rPr>
              <w:t>oded age cohorts. 5-year age groups coded 101-118 for 0-4 through 85+; single-year age cohorts coded 201-22</w:t>
            </w:r>
            <w:r w:rsidR="0061561A">
              <w:rPr>
                <w:rFonts w:ascii="Calibri" w:hAnsi="Calibri" w:cs="Calibri"/>
              </w:rPr>
              <w:t>1</w:t>
            </w:r>
            <w:r w:rsidR="0061561A" w:rsidRPr="00D702DF">
              <w:rPr>
                <w:rFonts w:ascii="Calibri" w:hAnsi="Calibri" w:cs="Calibri"/>
              </w:rPr>
              <w:t xml:space="preserve"> for year 00 through 20</w:t>
            </w:r>
            <w:r w:rsidR="00607D8E">
              <w:rPr>
                <w:rFonts w:ascii="Calibri" w:hAnsi="Calibri" w:cs="Calibri"/>
              </w:rPr>
              <w:t>; all ages</w:t>
            </w:r>
            <w:r w:rsidR="00DA2307">
              <w:rPr>
                <w:rFonts w:ascii="Calibri" w:hAnsi="Calibri" w:cs="Calibri"/>
              </w:rPr>
              <w:t xml:space="preserve"> coded 301.</w:t>
            </w:r>
          </w:p>
        </w:tc>
      </w:tr>
      <w:tr w:rsidR="0061561A" w:rsidRPr="00D702DF" w14:paraId="16AACA5D" w14:textId="77777777">
        <w:trPr>
          <w:trHeight w:val="576"/>
        </w:trPr>
        <w:tc>
          <w:tcPr>
            <w:tcW w:w="1797" w:type="dxa"/>
            <w:tcBorders>
              <w:top w:val="nil"/>
              <w:left w:val="single" w:sz="4" w:space="0" w:color="auto"/>
              <w:bottom w:val="single" w:sz="4" w:space="0" w:color="auto"/>
              <w:right w:val="single" w:sz="4" w:space="0" w:color="auto"/>
            </w:tcBorders>
            <w:shd w:val="clear" w:color="000000" w:fill="FFFFFF"/>
            <w:noWrap/>
            <w:hideMark/>
          </w:tcPr>
          <w:p w14:paraId="3A5D2A51" w14:textId="77777777" w:rsidR="0061561A" w:rsidRPr="00D702DF" w:rsidRDefault="0061561A">
            <w:pPr>
              <w:spacing w:line="240" w:lineRule="auto"/>
              <w:rPr>
                <w:rFonts w:ascii="Calibri" w:hAnsi="Calibri" w:cs="Calibri"/>
              </w:rPr>
            </w:pPr>
            <w:r w:rsidRPr="00D702DF">
              <w:rPr>
                <w:rFonts w:ascii="Calibri" w:hAnsi="Calibri" w:cs="Calibri"/>
              </w:rPr>
              <w:t>Age_Group</w:t>
            </w:r>
          </w:p>
        </w:tc>
        <w:tc>
          <w:tcPr>
            <w:tcW w:w="7198" w:type="dxa"/>
            <w:tcBorders>
              <w:top w:val="nil"/>
              <w:left w:val="nil"/>
              <w:bottom w:val="single" w:sz="4" w:space="0" w:color="auto"/>
              <w:right w:val="single" w:sz="4" w:space="0" w:color="auto"/>
            </w:tcBorders>
            <w:shd w:val="clear" w:color="auto" w:fill="auto"/>
            <w:hideMark/>
          </w:tcPr>
          <w:p w14:paraId="232D29D6" w14:textId="1E2CF6E8" w:rsidR="0061561A" w:rsidRPr="00D702DF" w:rsidRDefault="00500534">
            <w:pPr>
              <w:spacing w:line="240" w:lineRule="auto"/>
              <w:rPr>
                <w:rFonts w:ascii="Calibri" w:hAnsi="Calibri" w:cs="Calibri"/>
              </w:rPr>
            </w:pPr>
            <w:r>
              <w:rPr>
                <w:rFonts w:ascii="Calibri" w:hAnsi="Calibri" w:cs="Calibri"/>
              </w:rPr>
              <w:t>A</w:t>
            </w:r>
            <w:r w:rsidR="0061561A" w:rsidRPr="00D702DF">
              <w:rPr>
                <w:rFonts w:ascii="Calibri" w:hAnsi="Calibri" w:cs="Calibri"/>
              </w:rPr>
              <w:t>ge of cohort expressed as 00</w:t>
            </w:r>
            <w:r w:rsidR="0061561A">
              <w:rPr>
                <w:rFonts w:ascii="Calibri" w:hAnsi="Calibri" w:cs="Calibri"/>
              </w:rPr>
              <w:t>_</w:t>
            </w:r>
            <w:r w:rsidR="0061561A" w:rsidRPr="00D702DF">
              <w:rPr>
                <w:rFonts w:ascii="Calibri" w:hAnsi="Calibri" w:cs="Calibri"/>
              </w:rPr>
              <w:t>04 through (top-coded) 85</w:t>
            </w:r>
            <w:r w:rsidR="0061561A">
              <w:rPr>
                <w:rFonts w:ascii="Calibri" w:hAnsi="Calibri" w:cs="Calibri"/>
              </w:rPr>
              <w:t>_</w:t>
            </w:r>
            <w:r w:rsidR="0061561A" w:rsidRPr="00D702DF">
              <w:rPr>
                <w:rFonts w:ascii="Calibri" w:hAnsi="Calibri" w:cs="Calibri"/>
              </w:rPr>
              <w:t>99. Note that 85</w:t>
            </w:r>
            <w:r w:rsidR="0061561A">
              <w:rPr>
                <w:rFonts w:ascii="Calibri" w:hAnsi="Calibri" w:cs="Calibri"/>
              </w:rPr>
              <w:t>_</w:t>
            </w:r>
            <w:r w:rsidR="0061561A" w:rsidRPr="00D702DF">
              <w:rPr>
                <w:rFonts w:ascii="Calibri" w:hAnsi="Calibri" w:cs="Calibri"/>
              </w:rPr>
              <w:t>99 includes persons over 99.</w:t>
            </w:r>
            <w:r w:rsidR="00574094">
              <w:rPr>
                <w:rFonts w:ascii="Calibri" w:hAnsi="Calibri" w:cs="Calibri"/>
              </w:rPr>
              <w:t xml:space="preserve"> </w:t>
            </w:r>
            <w:r w:rsidR="00607D8E">
              <w:rPr>
                <w:rFonts w:ascii="Calibri" w:hAnsi="Calibri" w:cs="Calibri"/>
              </w:rPr>
              <w:t>00_99 in the age/sex projections include all ages.</w:t>
            </w:r>
          </w:p>
        </w:tc>
      </w:tr>
      <w:tr w:rsidR="007F51C7" w:rsidRPr="00D702DF" w14:paraId="1475635E" w14:textId="77777777">
        <w:trPr>
          <w:trHeight w:val="576"/>
        </w:trPr>
        <w:tc>
          <w:tcPr>
            <w:tcW w:w="1797" w:type="dxa"/>
            <w:tcBorders>
              <w:top w:val="nil"/>
              <w:left w:val="single" w:sz="4" w:space="0" w:color="auto"/>
              <w:bottom w:val="single" w:sz="4" w:space="0" w:color="auto"/>
              <w:right w:val="single" w:sz="4" w:space="0" w:color="auto"/>
            </w:tcBorders>
            <w:shd w:val="clear" w:color="000000" w:fill="FFFFFF"/>
            <w:noWrap/>
          </w:tcPr>
          <w:p w14:paraId="689C33BC" w14:textId="73E684CD" w:rsidR="007F51C7" w:rsidRPr="00D702DF" w:rsidRDefault="00CE7C07">
            <w:pPr>
              <w:spacing w:line="240" w:lineRule="auto"/>
              <w:rPr>
                <w:rFonts w:ascii="Calibri" w:hAnsi="Calibri" w:cs="Calibri"/>
              </w:rPr>
            </w:pPr>
            <w:r>
              <w:rPr>
                <w:rFonts w:ascii="Calibri" w:hAnsi="Calibri" w:cs="Calibri"/>
              </w:rPr>
              <w:t>Race</w:t>
            </w:r>
            <w:r w:rsidR="00F11F43">
              <w:rPr>
                <w:rFonts w:ascii="Calibri" w:hAnsi="Calibri" w:cs="Calibri"/>
              </w:rPr>
              <w:t xml:space="preserve"> (age/sex/race/ ethnicity model only)</w:t>
            </w:r>
          </w:p>
        </w:tc>
        <w:tc>
          <w:tcPr>
            <w:tcW w:w="7198" w:type="dxa"/>
            <w:tcBorders>
              <w:top w:val="nil"/>
              <w:left w:val="nil"/>
              <w:bottom w:val="single" w:sz="4" w:space="0" w:color="auto"/>
              <w:right w:val="single" w:sz="4" w:space="0" w:color="auto"/>
            </w:tcBorders>
            <w:shd w:val="clear" w:color="auto" w:fill="auto"/>
          </w:tcPr>
          <w:p w14:paraId="4B79A32A" w14:textId="140639BF" w:rsidR="007F51C7" w:rsidRPr="00D702DF" w:rsidRDefault="00FA5743">
            <w:pPr>
              <w:spacing w:line="240" w:lineRule="auto"/>
              <w:rPr>
                <w:rFonts w:ascii="Calibri" w:hAnsi="Calibri" w:cs="Calibri"/>
              </w:rPr>
            </w:pPr>
            <w:r>
              <w:rPr>
                <w:rFonts w:ascii="Calibri" w:hAnsi="Calibri" w:cs="Calibri"/>
              </w:rPr>
              <w:t xml:space="preserve">Census defined </w:t>
            </w:r>
            <w:r w:rsidR="00A84B67">
              <w:rPr>
                <w:rFonts w:ascii="Calibri" w:hAnsi="Calibri" w:cs="Calibri"/>
              </w:rPr>
              <w:t xml:space="preserve">race groups: </w:t>
            </w:r>
            <w:r w:rsidR="00C23EE9" w:rsidRPr="00C23EE9">
              <w:rPr>
                <w:rFonts w:ascii="Calibri" w:hAnsi="Calibri" w:cs="Calibri"/>
              </w:rPr>
              <w:t>American Indian or Alaska Native</w:t>
            </w:r>
            <w:r w:rsidR="00C23EE9">
              <w:rPr>
                <w:rFonts w:ascii="Calibri" w:hAnsi="Calibri" w:cs="Calibri"/>
              </w:rPr>
              <w:t xml:space="preserve"> (“AIAN”</w:t>
            </w:r>
            <w:r w:rsidR="00EE33CB">
              <w:rPr>
                <w:rFonts w:ascii="Calibri" w:hAnsi="Calibri" w:cs="Calibri"/>
              </w:rPr>
              <w:t>)</w:t>
            </w:r>
            <w:r w:rsidR="00C23EE9" w:rsidRPr="00C23EE9">
              <w:rPr>
                <w:rFonts w:ascii="Calibri" w:hAnsi="Calibri" w:cs="Calibri"/>
              </w:rPr>
              <w:t>, Asian</w:t>
            </w:r>
            <w:r w:rsidR="00EE33CB">
              <w:rPr>
                <w:rFonts w:ascii="Calibri" w:hAnsi="Calibri" w:cs="Calibri"/>
              </w:rPr>
              <w:t xml:space="preserve"> (“A”)</w:t>
            </w:r>
            <w:r w:rsidR="00C23EE9" w:rsidRPr="00C23EE9">
              <w:rPr>
                <w:rFonts w:ascii="Calibri" w:hAnsi="Calibri" w:cs="Calibri"/>
              </w:rPr>
              <w:t>, Black or African American</w:t>
            </w:r>
            <w:r w:rsidR="00EE33CB">
              <w:rPr>
                <w:rFonts w:ascii="Calibri" w:hAnsi="Calibri" w:cs="Calibri"/>
              </w:rPr>
              <w:t xml:space="preserve"> (“B”) </w:t>
            </w:r>
            <w:r w:rsidR="00C23EE9" w:rsidRPr="00C23EE9">
              <w:rPr>
                <w:rFonts w:ascii="Calibri" w:hAnsi="Calibri" w:cs="Calibri"/>
              </w:rPr>
              <w:t>, Native Hawaiian or Other Pacific Islander</w:t>
            </w:r>
            <w:r w:rsidR="00EE33CB">
              <w:rPr>
                <w:rFonts w:ascii="Calibri" w:hAnsi="Calibri" w:cs="Calibri"/>
              </w:rPr>
              <w:t xml:space="preserve"> (“NH</w:t>
            </w:r>
            <w:r w:rsidR="008B5DBB">
              <w:rPr>
                <w:rFonts w:ascii="Calibri" w:hAnsi="Calibri" w:cs="Calibri"/>
              </w:rPr>
              <w:t>PI”)</w:t>
            </w:r>
            <w:r w:rsidR="00C23EE9" w:rsidRPr="00C23EE9">
              <w:rPr>
                <w:rFonts w:ascii="Calibri" w:hAnsi="Calibri" w:cs="Calibri"/>
              </w:rPr>
              <w:t>, White</w:t>
            </w:r>
            <w:r w:rsidR="008B5DBB">
              <w:rPr>
                <w:rFonts w:ascii="Calibri" w:hAnsi="Calibri" w:cs="Calibri"/>
              </w:rPr>
              <w:t xml:space="preserve"> (“W”)</w:t>
            </w:r>
            <w:r w:rsidR="00C23EE9" w:rsidRPr="00C23EE9">
              <w:rPr>
                <w:rFonts w:ascii="Calibri" w:hAnsi="Calibri" w:cs="Calibri"/>
              </w:rPr>
              <w:t xml:space="preserve">, </w:t>
            </w:r>
            <w:r w:rsidR="008B5DBB">
              <w:rPr>
                <w:rFonts w:ascii="Calibri" w:hAnsi="Calibri" w:cs="Calibri"/>
              </w:rPr>
              <w:t xml:space="preserve"> T</w:t>
            </w:r>
            <w:r w:rsidR="00C23EE9" w:rsidRPr="00C23EE9">
              <w:rPr>
                <w:rFonts w:ascii="Calibri" w:hAnsi="Calibri" w:cs="Calibri"/>
              </w:rPr>
              <w:t xml:space="preserve">wo or </w:t>
            </w:r>
            <w:r w:rsidR="008B5DBB">
              <w:rPr>
                <w:rFonts w:ascii="Calibri" w:hAnsi="Calibri" w:cs="Calibri"/>
              </w:rPr>
              <w:t>M</w:t>
            </w:r>
            <w:r w:rsidR="00C23EE9" w:rsidRPr="00C23EE9">
              <w:rPr>
                <w:rFonts w:ascii="Calibri" w:hAnsi="Calibri" w:cs="Calibri"/>
              </w:rPr>
              <w:t xml:space="preserve">ore </w:t>
            </w:r>
            <w:r w:rsidR="008B5DBB">
              <w:rPr>
                <w:rFonts w:ascii="Calibri" w:hAnsi="Calibri" w:cs="Calibri"/>
              </w:rPr>
              <w:t>R</w:t>
            </w:r>
            <w:r w:rsidR="00C23EE9" w:rsidRPr="00C23EE9">
              <w:rPr>
                <w:rFonts w:ascii="Calibri" w:hAnsi="Calibri" w:cs="Calibri"/>
              </w:rPr>
              <w:t>aces</w:t>
            </w:r>
            <w:r w:rsidR="00C5395C">
              <w:rPr>
                <w:rFonts w:ascii="Calibri" w:hAnsi="Calibri" w:cs="Calibri"/>
              </w:rPr>
              <w:t xml:space="preserve"> (“TOM”)</w:t>
            </w:r>
            <w:r w:rsidR="00980D64">
              <w:rPr>
                <w:rFonts w:ascii="Calibri" w:hAnsi="Calibri" w:cs="Calibri"/>
              </w:rPr>
              <w:t>. Also includes any race group (“ALL”)</w:t>
            </w:r>
            <w:r w:rsidR="007E712D">
              <w:rPr>
                <w:rFonts w:ascii="Calibri" w:hAnsi="Calibri" w:cs="Calibri"/>
              </w:rPr>
              <w:t>,</w:t>
            </w:r>
          </w:p>
        </w:tc>
      </w:tr>
      <w:tr w:rsidR="00CE7C07" w:rsidRPr="00D702DF" w14:paraId="75F617C5" w14:textId="77777777">
        <w:trPr>
          <w:trHeight w:val="576"/>
        </w:trPr>
        <w:tc>
          <w:tcPr>
            <w:tcW w:w="1797" w:type="dxa"/>
            <w:tcBorders>
              <w:top w:val="nil"/>
              <w:left w:val="single" w:sz="4" w:space="0" w:color="auto"/>
              <w:bottom w:val="single" w:sz="4" w:space="0" w:color="auto"/>
              <w:right w:val="single" w:sz="4" w:space="0" w:color="auto"/>
            </w:tcBorders>
            <w:shd w:val="clear" w:color="000000" w:fill="FFFFFF"/>
            <w:noWrap/>
          </w:tcPr>
          <w:p w14:paraId="578970AC" w14:textId="1E7C375E" w:rsidR="00CE7C07" w:rsidRDefault="00CE7C07">
            <w:pPr>
              <w:spacing w:line="240" w:lineRule="auto"/>
              <w:rPr>
                <w:rFonts w:ascii="Calibri" w:hAnsi="Calibri" w:cs="Calibri"/>
              </w:rPr>
            </w:pPr>
            <w:r>
              <w:rPr>
                <w:rFonts w:ascii="Calibri" w:hAnsi="Calibri" w:cs="Calibri"/>
              </w:rPr>
              <w:t>Ethnicity</w:t>
            </w:r>
            <w:r w:rsidR="00F11F43">
              <w:rPr>
                <w:rFonts w:ascii="Calibri" w:hAnsi="Calibri" w:cs="Calibri"/>
              </w:rPr>
              <w:t xml:space="preserve"> (age/sex/race/ ethnicity model only)</w:t>
            </w:r>
          </w:p>
        </w:tc>
        <w:tc>
          <w:tcPr>
            <w:tcW w:w="7198" w:type="dxa"/>
            <w:tcBorders>
              <w:top w:val="nil"/>
              <w:left w:val="nil"/>
              <w:bottom w:val="single" w:sz="4" w:space="0" w:color="auto"/>
              <w:right w:val="single" w:sz="4" w:space="0" w:color="auto"/>
            </w:tcBorders>
            <w:shd w:val="clear" w:color="auto" w:fill="auto"/>
          </w:tcPr>
          <w:p w14:paraId="4EB44CE0" w14:textId="10B961E1" w:rsidR="00CE7C07" w:rsidRPr="00D702DF" w:rsidRDefault="00A84B67">
            <w:pPr>
              <w:spacing w:line="240" w:lineRule="auto"/>
              <w:rPr>
                <w:rFonts w:ascii="Calibri" w:hAnsi="Calibri" w:cs="Calibri"/>
              </w:rPr>
            </w:pPr>
            <w:r>
              <w:rPr>
                <w:rFonts w:ascii="Calibri" w:hAnsi="Calibri" w:cs="Calibri"/>
              </w:rPr>
              <w:t>Census defined ethnicity groups: Hispanic (“H”)</w:t>
            </w:r>
            <w:r w:rsidR="00980D64">
              <w:rPr>
                <w:rFonts w:ascii="Calibri" w:hAnsi="Calibri" w:cs="Calibri"/>
              </w:rPr>
              <w:t xml:space="preserve"> and </w:t>
            </w:r>
            <w:r w:rsidR="00E05399">
              <w:rPr>
                <w:rFonts w:ascii="Calibri" w:hAnsi="Calibri" w:cs="Calibri"/>
              </w:rPr>
              <w:t>Not Hispanic (“NH”)</w:t>
            </w:r>
            <w:r w:rsidR="009C031D">
              <w:rPr>
                <w:rFonts w:ascii="Calibri" w:hAnsi="Calibri" w:cs="Calibri"/>
              </w:rPr>
              <w:t xml:space="preserve">. Also includes </w:t>
            </w:r>
            <w:r w:rsidR="00E05399">
              <w:rPr>
                <w:rFonts w:ascii="Calibri" w:hAnsi="Calibri" w:cs="Calibri"/>
              </w:rPr>
              <w:t>any ethnicity (“ALL”)</w:t>
            </w:r>
            <w:r w:rsidR="007E712D">
              <w:rPr>
                <w:rFonts w:ascii="Calibri" w:hAnsi="Calibri" w:cs="Calibri"/>
              </w:rPr>
              <w:t>.</w:t>
            </w:r>
          </w:p>
        </w:tc>
      </w:tr>
      <w:tr w:rsidR="0061561A" w:rsidRPr="00D702DF" w14:paraId="0F88B5AF" w14:textId="77777777">
        <w:trPr>
          <w:trHeight w:val="288"/>
        </w:trPr>
        <w:tc>
          <w:tcPr>
            <w:tcW w:w="1797" w:type="dxa"/>
            <w:tcBorders>
              <w:top w:val="nil"/>
              <w:left w:val="single" w:sz="4" w:space="0" w:color="auto"/>
              <w:bottom w:val="single" w:sz="4" w:space="0" w:color="auto"/>
              <w:right w:val="single" w:sz="4" w:space="0" w:color="auto"/>
            </w:tcBorders>
            <w:shd w:val="clear" w:color="000000" w:fill="FFFFFF"/>
            <w:noWrap/>
            <w:hideMark/>
          </w:tcPr>
          <w:p w14:paraId="31222089" w14:textId="77777777" w:rsidR="0061561A" w:rsidRPr="00D702DF" w:rsidRDefault="0061561A">
            <w:pPr>
              <w:spacing w:line="240" w:lineRule="auto"/>
              <w:rPr>
                <w:rFonts w:ascii="Calibri" w:hAnsi="Calibri" w:cs="Calibri"/>
              </w:rPr>
            </w:pPr>
            <w:r w:rsidRPr="00D702DF">
              <w:rPr>
                <w:rFonts w:ascii="Calibri" w:hAnsi="Calibri" w:cs="Calibri"/>
              </w:rPr>
              <w:t>CCR_ESTIMATE</w:t>
            </w:r>
          </w:p>
        </w:tc>
        <w:tc>
          <w:tcPr>
            <w:tcW w:w="7198" w:type="dxa"/>
            <w:tcBorders>
              <w:top w:val="nil"/>
              <w:left w:val="nil"/>
              <w:bottom w:val="single" w:sz="4" w:space="0" w:color="auto"/>
              <w:right w:val="single" w:sz="4" w:space="0" w:color="auto"/>
            </w:tcBorders>
            <w:shd w:val="clear" w:color="auto" w:fill="auto"/>
            <w:hideMark/>
          </w:tcPr>
          <w:p w14:paraId="0546FDF1" w14:textId="77777777" w:rsidR="0061561A" w:rsidRPr="00D702DF" w:rsidRDefault="0061561A">
            <w:pPr>
              <w:spacing w:line="240" w:lineRule="auto"/>
              <w:rPr>
                <w:rFonts w:ascii="Calibri" w:hAnsi="Calibri" w:cs="Calibri"/>
              </w:rPr>
            </w:pPr>
            <w:r w:rsidRPr="00D702DF">
              <w:rPr>
                <w:rFonts w:ascii="Calibri" w:hAnsi="Calibri" w:cs="Calibri"/>
              </w:rPr>
              <w:t>Estimated population without accounting for historic model error. Use for most cases.</w:t>
            </w:r>
          </w:p>
        </w:tc>
      </w:tr>
      <w:tr w:rsidR="0061561A" w:rsidRPr="00D702DF" w14:paraId="5DA929FA" w14:textId="77777777">
        <w:trPr>
          <w:trHeight w:val="1152"/>
        </w:trPr>
        <w:tc>
          <w:tcPr>
            <w:tcW w:w="1797" w:type="dxa"/>
            <w:tcBorders>
              <w:top w:val="nil"/>
              <w:left w:val="single" w:sz="4" w:space="0" w:color="auto"/>
              <w:bottom w:val="single" w:sz="4" w:space="0" w:color="auto"/>
              <w:right w:val="single" w:sz="4" w:space="0" w:color="auto"/>
            </w:tcBorders>
            <w:shd w:val="clear" w:color="000000" w:fill="FFFFFF"/>
            <w:noWrap/>
            <w:hideMark/>
          </w:tcPr>
          <w:p w14:paraId="0AAEB7B8" w14:textId="77777777" w:rsidR="0061561A" w:rsidRPr="00D702DF" w:rsidRDefault="0061561A">
            <w:pPr>
              <w:spacing w:line="240" w:lineRule="auto"/>
              <w:rPr>
                <w:rFonts w:ascii="Calibri" w:hAnsi="Calibri" w:cs="Calibri"/>
              </w:rPr>
            </w:pPr>
            <w:r w:rsidRPr="00D702DF">
              <w:rPr>
                <w:rFonts w:ascii="Calibri" w:hAnsi="Calibri" w:cs="Calibri"/>
              </w:rPr>
              <w:t>LOWER_POP</w:t>
            </w:r>
          </w:p>
        </w:tc>
        <w:tc>
          <w:tcPr>
            <w:tcW w:w="7198" w:type="dxa"/>
            <w:tcBorders>
              <w:top w:val="nil"/>
              <w:left w:val="nil"/>
              <w:bottom w:val="single" w:sz="4" w:space="0" w:color="auto"/>
              <w:right w:val="single" w:sz="4" w:space="0" w:color="auto"/>
            </w:tcBorders>
            <w:shd w:val="clear" w:color="auto" w:fill="auto"/>
            <w:hideMark/>
          </w:tcPr>
          <w:p w14:paraId="6BCAC9B6" w14:textId="77777777" w:rsidR="0061561A" w:rsidRPr="00D702DF" w:rsidRDefault="0061561A">
            <w:pPr>
              <w:spacing w:line="240" w:lineRule="auto"/>
              <w:rPr>
                <w:rFonts w:ascii="Calibri" w:hAnsi="Calibri" w:cs="Calibri"/>
              </w:rPr>
            </w:pPr>
            <w:r w:rsidRPr="00D702DF">
              <w:rPr>
                <w:rFonts w:ascii="Calibri" w:hAnsi="Calibri" w:cs="Calibri"/>
              </w:rPr>
              <w:t xml:space="preserve">The CCR estimate with the </w:t>
            </w:r>
            <w:r w:rsidRPr="00D702DF">
              <w:rPr>
                <w:rFonts w:ascii="Calibri" w:hAnsi="Calibri" w:cs="Calibri"/>
                <w:i/>
              </w:rPr>
              <w:t>mean percent error</w:t>
            </w:r>
            <w:r w:rsidRPr="00D702DF">
              <w:rPr>
                <w:rFonts w:ascii="Calibri" w:hAnsi="Calibri" w:cs="Calibri"/>
              </w:rPr>
              <w:t xml:space="preserve"> and the </w:t>
            </w:r>
            <w:r w:rsidRPr="00D702DF">
              <w:rPr>
                <w:rFonts w:ascii="Calibri" w:hAnsi="Calibri" w:cs="Calibri"/>
                <w:i/>
              </w:rPr>
              <w:t>standard deviation</w:t>
            </w:r>
            <w:r w:rsidRPr="00D702DF">
              <w:rPr>
                <w:rFonts w:ascii="Calibri" w:hAnsi="Calibri" w:cs="Calibri"/>
              </w:rPr>
              <w:t xml:space="preserve"> applied to it</w:t>
            </w:r>
            <w:r>
              <w:rPr>
                <w:rFonts w:ascii="Calibri" w:hAnsi="Calibri" w:cs="Calibri"/>
              </w:rPr>
              <w:t xml:space="preserve"> to create a lower population bound</w:t>
            </w:r>
            <w:r w:rsidRPr="00D702DF">
              <w:rPr>
                <w:rFonts w:ascii="Calibri" w:hAnsi="Calibri" w:cs="Calibri"/>
              </w:rPr>
              <w:t xml:space="preserve">. The </w:t>
            </w:r>
            <w:r w:rsidRPr="00D702DF">
              <w:rPr>
                <w:rFonts w:ascii="Calibri" w:hAnsi="Calibri" w:cs="Calibri"/>
                <w:b/>
                <w:i/>
              </w:rPr>
              <w:t>mean percent error</w:t>
            </w:r>
            <w:r w:rsidRPr="00D702DF">
              <w:rPr>
                <w:rFonts w:ascii="Calibri" w:hAnsi="Calibri" w:cs="Calibri"/>
              </w:rPr>
              <w:t xml:space="preserve"> (MPE) and the </w:t>
            </w:r>
            <w:r w:rsidRPr="00D702DF">
              <w:rPr>
                <w:rFonts w:ascii="Calibri" w:hAnsi="Calibri" w:cs="Calibri"/>
                <w:b/>
                <w:i/>
              </w:rPr>
              <w:t xml:space="preserve">standard deviation </w:t>
            </w:r>
            <w:r w:rsidRPr="00D702DF">
              <w:rPr>
                <w:rFonts w:ascii="Calibri" w:hAnsi="Calibri" w:cs="Calibri"/>
              </w:rPr>
              <w:t xml:space="preserve">(STD-DEV) are both associated with each age/size cohort according to retrospective 2020 model estimates compared to the (adjusted) Census 2020 count. They capture the directionality and extent of the over/underestimate in the 2020 test. Use in cases which assume </w:t>
            </w:r>
            <w:r w:rsidRPr="00D702DF">
              <w:rPr>
                <w:rFonts w:ascii="Calibri" w:hAnsi="Calibri" w:cs="Calibri"/>
              </w:rPr>
              <w:lastRenderedPageBreak/>
              <w:t>that the model will over or underpredict the 2030 cohort population with the same directional bias it had when predicting 2020 population.</w:t>
            </w:r>
          </w:p>
        </w:tc>
      </w:tr>
      <w:tr w:rsidR="0061561A" w:rsidRPr="00D702DF" w14:paraId="7ACF2DC0" w14:textId="77777777">
        <w:trPr>
          <w:trHeight w:val="864"/>
        </w:trPr>
        <w:tc>
          <w:tcPr>
            <w:tcW w:w="1797" w:type="dxa"/>
            <w:tcBorders>
              <w:top w:val="nil"/>
              <w:left w:val="single" w:sz="4" w:space="0" w:color="auto"/>
              <w:bottom w:val="single" w:sz="4" w:space="0" w:color="auto"/>
              <w:right w:val="single" w:sz="4" w:space="0" w:color="auto"/>
            </w:tcBorders>
            <w:shd w:val="clear" w:color="000000" w:fill="FFFFFF"/>
            <w:noWrap/>
            <w:hideMark/>
          </w:tcPr>
          <w:p w14:paraId="3DBC3429" w14:textId="77777777" w:rsidR="0061561A" w:rsidRPr="00D702DF" w:rsidRDefault="0061561A">
            <w:pPr>
              <w:spacing w:line="240" w:lineRule="auto"/>
              <w:rPr>
                <w:rFonts w:ascii="Calibri" w:hAnsi="Calibri" w:cs="Calibri"/>
              </w:rPr>
            </w:pPr>
            <w:r w:rsidRPr="00D702DF">
              <w:rPr>
                <w:rFonts w:ascii="Calibri" w:hAnsi="Calibri" w:cs="Calibri"/>
              </w:rPr>
              <w:lastRenderedPageBreak/>
              <w:t>ADJ_ESTIMATE</w:t>
            </w:r>
          </w:p>
        </w:tc>
        <w:tc>
          <w:tcPr>
            <w:tcW w:w="7198" w:type="dxa"/>
            <w:tcBorders>
              <w:top w:val="nil"/>
              <w:left w:val="nil"/>
              <w:bottom w:val="single" w:sz="4" w:space="0" w:color="auto"/>
              <w:right w:val="single" w:sz="4" w:space="0" w:color="auto"/>
            </w:tcBorders>
            <w:shd w:val="clear" w:color="auto" w:fill="auto"/>
            <w:hideMark/>
          </w:tcPr>
          <w:p w14:paraId="7829E8A6" w14:textId="77777777" w:rsidR="0061561A" w:rsidRPr="00D702DF" w:rsidRDefault="0061561A">
            <w:pPr>
              <w:spacing w:line="240" w:lineRule="auto"/>
              <w:rPr>
                <w:rFonts w:ascii="Calibri" w:hAnsi="Calibri" w:cs="Calibri"/>
              </w:rPr>
            </w:pPr>
            <w:r w:rsidRPr="00D702DF">
              <w:rPr>
                <w:rFonts w:ascii="Calibri" w:hAnsi="Calibri" w:cs="Calibri"/>
              </w:rPr>
              <w:t xml:space="preserve">CCR estimate with the MPE applied to it. Population estimate that is adjusted to reflect the over- or under- estimate according to the historic "error" generated by the retrospective 2020 model estimates compared to the (adjusted) Census 2020 count. </w:t>
            </w:r>
          </w:p>
        </w:tc>
      </w:tr>
      <w:tr w:rsidR="0061561A" w:rsidRPr="00D702DF" w14:paraId="642BCE2B" w14:textId="77777777">
        <w:trPr>
          <w:trHeight w:val="1152"/>
        </w:trPr>
        <w:tc>
          <w:tcPr>
            <w:tcW w:w="1797" w:type="dxa"/>
            <w:tcBorders>
              <w:top w:val="nil"/>
              <w:left w:val="single" w:sz="4" w:space="0" w:color="auto"/>
              <w:bottom w:val="single" w:sz="4" w:space="0" w:color="auto"/>
              <w:right w:val="single" w:sz="4" w:space="0" w:color="auto"/>
            </w:tcBorders>
            <w:shd w:val="clear" w:color="000000" w:fill="FFFFFF"/>
            <w:noWrap/>
            <w:hideMark/>
          </w:tcPr>
          <w:p w14:paraId="791B0BEB" w14:textId="77777777" w:rsidR="0061561A" w:rsidRPr="00D702DF" w:rsidRDefault="0061561A">
            <w:pPr>
              <w:spacing w:line="240" w:lineRule="auto"/>
              <w:rPr>
                <w:rFonts w:ascii="Calibri" w:hAnsi="Calibri" w:cs="Calibri"/>
              </w:rPr>
            </w:pPr>
            <w:r w:rsidRPr="00D702DF">
              <w:rPr>
                <w:rFonts w:ascii="Calibri" w:hAnsi="Calibri" w:cs="Calibri"/>
              </w:rPr>
              <w:t>UPPER_POP</w:t>
            </w:r>
          </w:p>
        </w:tc>
        <w:tc>
          <w:tcPr>
            <w:tcW w:w="7198" w:type="dxa"/>
            <w:tcBorders>
              <w:top w:val="nil"/>
              <w:left w:val="nil"/>
              <w:bottom w:val="single" w:sz="4" w:space="0" w:color="auto"/>
              <w:right w:val="single" w:sz="4" w:space="0" w:color="auto"/>
            </w:tcBorders>
            <w:shd w:val="clear" w:color="auto" w:fill="auto"/>
            <w:hideMark/>
          </w:tcPr>
          <w:p w14:paraId="1DA5293D" w14:textId="489D8479" w:rsidR="0061561A" w:rsidRPr="00D702DF" w:rsidRDefault="0061561A">
            <w:pPr>
              <w:spacing w:line="240" w:lineRule="auto"/>
              <w:rPr>
                <w:rFonts w:ascii="Calibri" w:hAnsi="Calibri" w:cs="Calibri"/>
              </w:rPr>
            </w:pPr>
            <w:r w:rsidRPr="00D702DF">
              <w:rPr>
                <w:rFonts w:ascii="Calibri" w:hAnsi="Calibri" w:cs="Calibri"/>
              </w:rPr>
              <w:t xml:space="preserve">The CCR estimate with the </w:t>
            </w:r>
            <w:r w:rsidRPr="00D702DF">
              <w:rPr>
                <w:rFonts w:ascii="Calibri" w:hAnsi="Calibri" w:cs="Calibri"/>
                <w:i/>
              </w:rPr>
              <w:t>mean percent error</w:t>
            </w:r>
            <w:r w:rsidRPr="00D702DF">
              <w:rPr>
                <w:rFonts w:ascii="Calibri" w:hAnsi="Calibri" w:cs="Calibri"/>
              </w:rPr>
              <w:t xml:space="preserve"> and the </w:t>
            </w:r>
            <w:r w:rsidRPr="00D702DF">
              <w:rPr>
                <w:rFonts w:ascii="Calibri" w:hAnsi="Calibri" w:cs="Calibri"/>
                <w:i/>
              </w:rPr>
              <w:t>standard deviation</w:t>
            </w:r>
            <w:r w:rsidRPr="00D702DF">
              <w:rPr>
                <w:rFonts w:ascii="Calibri" w:hAnsi="Calibri" w:cs="Calibri"/>
              </w:rPr>
              <w:t xml:space="preserve"> applied to it</w:t>
            </w:r>
            <w:r>
              <w:rPr>
                <w:rFonts w:ascii="Calibri" w:hAnsi="Calibri" w:cs="Calibri"/>
              </w:rPr>
              <w:t xml:space="preserve"> to create an upper population bound</w:t>
            </w:r>
            <w:r w:rsidR="00BD2CC7" w:rsidRPr="00D702DF">
              <w:rPr>
                <w:rFonts w:ascii="Calibri" w:hAnsi="Calibri" w:cs="Calibri"/>
              </w:rPr>
              <w:t xml:space="preserve">. </w:t>
            </w:r>
            <w:r>
              <w:rPr>
                <w:rFonts w:ascii="Calibri" w:hAnsi="Calibri" w:cs="Calibri"/>
              </w:rPr>
              <w:t>B</w:t>
            </w:r>
            <w:r w:rsidRPr="00D702DF">
              <w:rPr>
                <w:rFonts w:ascii="Calibri" w:hAnsi="Calibri" w:cs="Calibri"/>
              </w:rPr>
              <w:t xml:space="preserve">ased on the 2020 retrospective model performance compared to the adjusted Census 2020 count. </w:t>
            </w:r>
            <w:r>
              <w:rPr>
                <w:rFonts w:ascii="Calibri" w:hAnsi="Calibri" w:cs="Calibri"/>
              </w:rPr>
              <w:t xml:space="preserve">See “LOWER_POP” note for more detail. </w:t>
            </w:r>
            <w:r w:rsidRPr="00D702DF">
              <w:rPr>
                <w:rFonts w:ascii="Calibri" w:hAnsi="Calibri" w:cs="Calibri"/>
              </w:rPr>
              <w:t>Use in cases which assume that the model will over or underpredict the 2030 cohort population with the same directional bias it had when predicting 2020 population.</w:t>
            </w:r>
          </w:p>
        </w:tc>
      </w:tr>
      <w:tr w:rsidR="0061561A" w:rsidRPr="00D702DF" w14:paraId="1881924F" w14:textId="77777777">
        <w:trPr>
          <w:trHeight w:val="1152"/>
        </w:trPr>
        <w:tc>
          <w:tcPr>
            <w:tcW w:w="1797" w:type="dxa"/>
            <w:tcBorders>
              <w:top w:val="single" w:sz="4" w:space="0" w:color="auto"/>
              <w:left w:val="single" w:sz="4" w:space="0" w:color="auto"/>
              <w:bottom w:val="single" w:sz="4" w:space="0" w:color="auto"/>
              <w:right w:val="single" w:sz="4" w:space="0" w:color="auto"/>
            </w:tcBorders>
            <w:shd w:val="clear" w:color="000000" w:fill="FFFFFF"/>
            <w:noWrap/>
          </w:tcPr>
          <w:p w14:paraId="7F912C9F" w14:textId="77777777" w:rsidR="0061561A" w:rsidRPr="00D702DF" w:rsidRDefault="0061561A">
            <w:pPr>
              <w:spacing w:line="240" w:lineRule="auto"/>
              <w:rPr>
                <w:rFonts w:ascii="Calibri" w:hAnsi="Calibri" w:cs="Calibri"/>
              </w:rPr>
            </w:pPr>
            <w:r>
              <w:rPr>
                <w:rFonts w:ascii="Calibri" w:hAnsi="Calibri" w:cs="Calibri"/>
              </w:rPr>
              <w:t>EST_YEAR</w:t>
            </w:r>
          </w:p>
        </w:tc>
        <w:tc>
          <w:tcPr>
            <w:tcW w:w="7198" w:type="dxa"/>
            <w:tcBorders>
              <w:top w:val="single" w:sz="4" w:space="0" w:color="auto"/>
              <w:left w:val="nil"/>
              <w:bottom w:val="single" w:sz="4" w:space="0" w:color="auto"/>
              <w:right w:val="single" w:sz="4" w:space="0" w:color="auto"/>
            </w:tcBorders>
            <w:shd w:val="clear" w:color="auto" w:fill="auto"/>
          </w:tcPr>
          <w:p w14:paraId="7F69CA44" w14:textId="77777777" w:rsidR="0061561A" w:rsidRPr="00D702DF" w:rsidRDefault="0061561A">
            <w:pPr>
              <w:spacing w:line="240" w:lineRule="auto"/>
              <w:rPr>
                <w:rFonts w:ascii="Calibri" w:hAnsi="Calibri" w:cs="Calibri"/>
              </w:rPr>
            </w:pPr>
            <w:r>
              <w:rPr>
                <w:rFonts w:ascii="Calibri" w:hAnsi="Calibri" w:cs="Calibri"/>
              </w:rPr>
              <w:t>The year of the population estimate.</w:t>
            </w:r>
          </w:p>
        </w:tc>
      </w:tr>
      <w:tr w:rsidR="0061561A" w:rsidRPr="009D191F" w14:paraId="54964266" w14:textId="77777777">
        <w:trPr>
          <w:trHeight w:val="720"/>
        </w:trPr>
        <w:tc>
          <w:tcPr>
            <w:tcW w:w="1797" w:type="dxa"/>
            <w:tcBorders>
              <w:top w:val="single" w:sz="4" w:space="0" w:color="auto"/>
              <w:left w:val="single" w:sz="4" w:space="0" w:color="auto"/>
              <w:bottom w:val="single" w:sz="4" w:space="0" w:color="auto"/>
              <w:right w:val="single" w:sz="4" w:space="0" w:color="auto"/>
            </w:tcBorders>
            <w:shd w:val="clear" w:color="000000" w:fill="FFFFFF"/>
            <w:noWrap/>
          </w:tcPr>
          <w:p w14:paraId="3DD6A110" w14:textId="77777777" w:rsidR="0061561A" w:rsidRPr="00D702DF" w:rsidRDefault="0061561A">
            <w:pPr>
              <w:spacing w:line="240" w:lineRule="auto"/>
              <w:rPr>
                <w:rFonts w:ascii="Calibri" w:hAnsi="Calibri" w:cs="Calibri"/>
              </w:rPr>
            </w:pPr>
            <w:r w:rsidRPr="00D702DF">
              <w:rPr>
                <w:rFonts w:ascii="Calibri" w:hAnsi="Calibri" w:cs="Calibri"/>
              </w:rPr>
              <w:t>Series</w:t>
            </w:r>
          </w:p>
        </w:tc>
        <w:tc>
          <w:tcPr>
            <w:tcW w:w="7198" w:type="dxa"/>
            <w:tcBorders>
              <w:top w:val="single" w:sz="4" w:space="0" w:color="auto"/>
              <w:left w:val="nil"/>
              <w:bottom w:val="single" w:sz="4" w:space="0" w:color="auto"/>
              <w:right w:val="single" w:sz="4" w:space="0" w:color="auto"/>
            </w:tcBorders>
            <w:shd w:val="clear" w:color="auto" w:fill="auto"/>
          </w:tcPr>
          <w:p w14:paraId="6DEDBDC6" w14:textId="5D02C815" w:rsidR="0061561A" w:rsidRPr="009D191F" w:rsidRDefault="0061561A">
            <w:pPr>
              <w:spacing w:line="240" w:lineRule="auto"/>
              <w:rPr>
                <w:rFonts w:ascii="Calibri" w:hAnsi="Calibri" w:cs="Calibri"/>
              </w:rPr>
            </w:pPr>
            <w:r w:rsidRPr="00D702DF">
              <w:rPr>
                <w:rFonts w:ascii="Calibri" w:hAnsi="Calibri" w:cs="Calibri"/>
              </w:rPr>
              <w:t>Refers to the vintage of the estimate value, in this case: 202</w:t>
            </w:r>
            <w:r>
              <w:rPr>
                <w:rFonts w:ascii="Calibri" w:hAnsi="Calibri" w:cs="Calibri"/>
              </w:rPr>
              <w:t>5.</w:t>
            </w:r>
            <w:r w:rsidRPr="00D702DF">
              <w:rPr>
                <w:rFonts w:ascii="Calibri" w:hAnsi="Calibri" w:cs="Calibri"/>
              </w:rPr>
              <w:t>0</w:t>
            </w:r>
            <w:r>
              <w:rPr>
                <w:rFonts w:ascii="Calibri" w:hAnsi="Calibri" w:cs="Calibri"/>
              </w:rPr>
              <w:t>1</w:t>
            </w:r>
            <w:r w:rsidRPr="00D702DF">
              <w:rPr>
                <w:rFonts w:ascii="Calibri" w:hAnsi="Calibri" w:cs="Calibri"/>
              </w:rPr>
              <w:t xml:space="preserve"> for the </w:t>
            </w:r>
            <w:r>
              <w:rPr>
                <w:rFonts w:ascii="Calibri" w:hAnsi="Calibri" w:cs="Calibri"/>
              </w:rPr>
              <w:t>January</w:t>
            </w:r>
            <w:r w:rsidRPr="00D702DF">
              <w:rPr>
                <w:rFonts w:ascii="Calibri" w:hAnsi="Calibri" w:cs="Calibri"/>
              </w:rPr>
              <w:t xml:space="preserve"> 202</w:t>
            </w:r>
            <w:r>
              <w:rPr>
                <w:rFonts w:ascii="Calibri" w:hAnsi="Calibri" w:cs="Calibri"/>
              </w:rPr>
              <w:t>5</w:t>
            </w:r>
            <w:r w:rsidRPr="00D702DF">
              <w:rPr>
                <w:rFonts w:ascii="Calibri" w:hAnsi="Calibri" w:cs="Calibri"/>
              </w:rPr>
              <w:t xml:space="preserve"> series.</w:t>
            </w:r>
          </w:p>
        </w:tc>
      </w:tr>
      <w:tr w:rsidR="0061561A" w:rsidRPr="009D191F" w14:paraId="68658C76" w14:textId="77777777">
        <w:trPr>
          <w:trHeight w:val="720"/>
        </w:trPr>
        <w:tc>
          <w:tcPr>
            <w:tcW w:w="1797" w:type="dxa"/>
            <w:tcBorders>
              <w:top w:val="single" w:sz="4" w:space="0" w:color="auto"/>
              <w:left w:val="single" w:sz="4" w:space="0" w:color="auto"/>
              <w:bottom w:val="single" w:sz="4" w:space="0" w:color="auto"/>
              <w:right w:val="single" w:sz="4" w:space="0" w:color="auto"/>
            </w:tcBorders>
            <w:shd w:val="clear" w:color="000000" w:fill="FFFFFF"/>
            <w:noWrap/>
          </w:tcPr>
          <w:p w14:paraId="237E2B6F" w14:textId="77777777" w:rsidR="0061561A" w:rsidRPr="00D702DF" w:rsidRDefault="0061561A">
            <w:pPr>
              <w:spacing w:line="240" w:lineRule="auto"/>
              <w:rPr>
                <w:rFonts w:ascii="Calibri" w:hAnsi="Calibri" w:cs="Calibri"/>
              </w:rPr>
            </w:pPr>
            <w:r>
              <w:rPr>
                <w:rFonts w:ascii="Calibri" w:hAnsi="Calibri" w:cs="Calibri"/>
              </w:rPr>
              <w:t>col_flag (tract only)</w:t>
            </w:r>
          </w:p>
        </w:tc>
        <w:tc>
          <w:tcPr>
            <w:tcW w:w="7198" w:type="dxa"/>
            <w:tcBorders>
              <w:top w:val="single" w:sz="4" w:space="0" w:color="auto"/>
              <w:left w:val="nil"/>
              <w:bottom w:val="single" w:sz="4" w:space="0" w:color="auto"/>
              <w:right w:val="single" w:sz="4" w:space="0" w:color="auto"/>
            </w:tcBorders>
            <w:shd w:val="clear" w:color="auto" w:fill="auto"/>
          </w:tcPr>
          <w:p w14:paraId="3A54F5C6" w14:textId="58145F30" w:rsidR="0061561A" w:rsidRPr="00D702DF" w:rsidRDefault="0061561A">
            <w:pPr>
              <w:spacing w:line="240" w:lineRule="auto"/>
              <w:rPr>
                <w:rFonts w:ascii="Calibri" w:hAnsi="Calibri" w:cs="Calibri"/>
              </w:rPr>
            </w:pPr>
            <w:r>
              <w:rPr>
                <w:rFonts w:ascii="Calibri" w:hAnsi="Calibri" w:cs="Calibri"/>
              </w:rPr>
              <w:t>College flag. “TRUE” indicates this tract and cohort combination is associated with MPE values derived from tracts that contain college student dormitories and their associated populations (ages 15-29)</w:t>
            </w:r>
            <w:r w:rsidR="00BD2CC7">
              <w:rPr>
                <w:rFonts w:ascii="Calibri" w:hAnsi="Calibri" w:cs="Calibri"/>
              </w:rPr>
              <w:t xml:space="preserve">. </w:t>
            </w:r>
            <w:r>
              <w:rPr>
                <w:rFonts w:ascii="Calibri" w:hAnsi="Calibri" w:cs="Calibri"/>
              </w:rPr>
              <w:t>LOWER_POP, ADJ_POP, and UPPER_POP values may greatly from the projected value due to large uncertainties in projecting college populations using this method.</w:t>
            </w:r>
          </w:p>
        </w:tc>
      </w:tr>
    </w:tbl>
    <w:p w14:paraId="0F100EDA" w14:textId="77777777" w:rsidR="004A6628" w:rsidRPr="00F617B1" w:rsidRDefault="004A6628" w:rsidP="004A6628">
      <w:pPr>
        <w:pStyle w:val="BodyText"/>
        <w:rPr>
          <w:rFonts w:eastAsia="Calibri"/>
          <w:color w:val="0053BE" w:themeColor="accent6" w:themeTint="BF"/>
        </w:rPr>
      </w:pPr>
    </w:p>
    <w:p w14:paraId="76166EF9" w14:textId="5550BF9C" w:rsidR="004A6628" w:rsidRPr="00B57F49" w:rsidRDefault="004A6628" w:rsidP="004A6628">
      <w:pPr>
        <w:spacing w:line="240" w:lineRule="auto"/>
        <w:rPr>
          <w:rFonts w:ascii="Calibri" w:eastAsia="Calibri" w:hAnsi="Calibri"/>
        </w:rPr>
      </w:pPr>
      <w:r w:rsidRPr="00B57F49">
        <w:rPr>
          <w:rFonts w:ascii="Calibri" w:eastAsia="Calibri" w:hAnsi="Calibri"/>
        </w:rPr>
        <w:t>Finally, the series output includes a geographic crosswalk file that displays the geographic code provided by NHGIS along with U.S. Census Bureau Census 2020 geographic codes so that the dataset may be joined to other GIS-based applications.</w:t>
      </w:r>
    </w:p>
    <w:p w14:paraId="01CC5BC2" w14:textId="54F1DE81" w:rsidR="00304478" w:rsidRPr="00697F8D" w:rsidRDefault="00304478" w:rsidP="004A6628">
      <w:pPr>
        <w:spacing w:line="240" w:lineRule="auto"/>
        <w:rPr>
          <w:rFonts w:ascii="Calibri" w:eastAsia="Calibri" w:hAnsi="Calibri"/>
        </w:rPr>
      </w:pPr>
      <w:r w:rsidRPr="00697F8D">
        <w:rPr>
          <w:rFonts w:ascii="Calibri" w:eastAsia="Calibri" w:hAnsi="Calibri"/>
        </w:rPr>
        <w:t xml:space="preserve">As described in </w:t>
      </w:r>
      <w:r w:rsidRPr="00697F8D">
        <w:rPr>
          <w:rFonts w:ascii="Calibri" w:eastAsia="Calibri" w:hAnsi="Calibri"/>
          <w:i/>
        </w:rPr>
        <w:t>the Detailed Methodology</w:t>
      </w:r>
      <w:r w:rsidRPr="00697F8D">
        <w:rPr>
          <w:rFonts w:ascii="Calibri" w:eastAsia="Calibri" w:hAnsi="Calibri"/>
        </w:rPr>
        <w:t xml:space="preserve"> section of this report,</w:t>
      </w:r>
      <w:r w:rsidR="00130842" w:rsidRPr="00697F8D">
        <w:rPr>
          <w:rFonts w:ascii="Calibri" w:eastAsia="Calibri" w:hAnsi="Calibri"/>
        </w:rPr>
        <w:t xml:space="preserve"> </w:t>
      </w:r>
      <w:r w:rsidRPr="00697F8D">
        <w:rPr>
          <w:rFonts w:ascii="Calibri" w:eastAsia="Calibri" w:hAnsi="Calibri"/>
        </w:rPr>
        <w:t xml:space="preserve">estimates for years 2021 </w:t>
      </w:r>
      <w:r w:rsidR="0040597A" w:rsidRPr="00697F8D">
        <w:rPr>
          <w:rFonts w:ascii="Calibri" w:eastAsia="Calibri" w:hAnsi="Calibri"/>
        </w:rPr>
        <w:t>through 2023</w:t>
      </w:r>
      <w:r w:rsidRPr="00697F8D">
        <w:rPr>
          <w:rFonts w:ascii="Calibri" w:eastAsia="Calibri" w:hAnsi="Calibri"/>
        </w:rPr>
        <w:t xml:space="preserve"> </w:t>
      </w:r>
      <w:r w:rsidR="00130842" w:rsidRPr="00697F8D">
        <w:rPr>
          <w:rFonts w:ascii="Calibri" w:eastAsia="Calibri" w:hAnsi="Calibri"/>
        </w:rPr>
        <w:t xml:space="preserve">in the </w:t>
      </w:r>
      <w:r w:rsidR="00DF65A9" w:rsidRPr="00697F8D">
        <w:rPr>
          <w:rFonts w:ascii="Calibri" w:eastAsia="Calibri" w:hAnsi="Calibri"/>
        </w:rPr>
        <w:t>V2025</w:t>
      </w:r>
      <w:r w:rsidR="00130842" w:rsidRPr="00697F8D">
        <w:rPr>
          <w:rFonts w:ascii="Calibri" w:eastAsia="Calibri" w:hAnsi="Calibri"/>
        </w:rPr>
        <w:t xml:space="preserve"> output </w:t>
      </w:r>
      <w:r w:rsidRPr="00697F8D">
        <w:rPr>
          <w:rFonts w:ascii="Calibri" w:eastAsia="Calibri" w:hAnsi="Calibri"/>
        </w:rPr>
        <w:t>are controlled to current</w:t>
      </w:r>
      <w:r w:rsidR="00130842" w:rsidRPr="00697F8D">
        <w:rPr>
          <w:rFonts w:ascii="Calibri" w:eastAsia="Calibri" w:hAnsi="Calibri"/>
        </w:rPr>
        <w:t xml:space="preserve"> U.S. </w:t>
      </w:r>
      <w:r w:rsidRPr="00697F8D">
        <w:rPr>
          <w:rFonts w:ascii="Calibri" w:eastAsia="Calibri" w:hAnsi="Calibri"/>
        </w:rPr>
        <w:t xml:space="preserve">Census Bureau annual county-level </w:t>
      </w:r>
      <w:r w:rsidR="00130842" w:rsidRPr="00697F8D">
        <w:rPr>
          <w:rFonts w:ascii="Calibri" w:eastAsia="Calibri" w:hAnsi="Calibri"/>
        </w:rPr>
        <w:t xml:space="preserve">population </w:t>
      </w:r>
      <w:r w:rsidRPr="00697F8D">
        <w:rPr>
          <w:rFonts w:ascii="Calibri" w:eastAsia="Calibri" w:hAnsi="Calibri"/>
        </w:rPr>
        <w:t>estimates by age</w:t>
      </w:r>
      <w:r w:rsidR="00712472" w:rsidRPr="00697F8D">
        <w:rPr>
          <w:rFonts w:ascii="Calibri" w:eastAsia="Calibri" w:hAnsi="Calibri"/>
        </w:rPr>
        <w:t xml:space="preserve">, </w:t>
      </w:r>
      <w:r w:rsidRPr="00697F8D">
        <w:rPr>
          <w:rFonts w:ascii="Calibri" w:eastAsia="Calibri" w:hAnsi="Calibri"/>
        </w:rPr>
        <w:t>sex</w:t>
      </w:r>
      <w:r w:rsidR="00712472" w:rsidRPr="00697F8D">
        <w:rPr>
          <w:rFonts w:ascii="Calibri" w:eastAsia="Calibri" w:hAnsi="Calibri"/>
        </w:rPr>
        <w:t>, race, and ethnicity</w:t>
      </w:r>
      <w:r w:rsidRPr="00697F8D">
        <w:rPr>
          <w:rFonts w:ascii="Calibri" w:eastAsia="Calibri" w:hAnsi="Calibri"/>
        </w:rPr>
        <w:t xml:space="preserve">. Estimates for </w:t>
      </w:r>
      <w:r w:rsidR="00130842" w:rsidRPr="00697F8D">
        <w:rPr>
          <w:rFonts w:ascii="Calibri" w:eastAsia="Calibri" w:hAnsi="Calibri"/>
        </w:rPr>
        <w:t>the years</w:t>
      </w:r>
      <w:r w:rsidRPr="00697F8D">
        <w:rPr>
          <w:rFonts w:ascii="Calibri" w:eastAsia="Calibri" w:hAnsi="Calibri"/>
        </w:rPr>
        <w:t xml:space="preserve"> 202</w:t>
      </w:r>
      <w:r w:rsidR="0040597A" w:rsidRPr="00697F8D">
        <w:rPr>
          <w:rFonts w:ascii="Calibri" w:eastAsia="Calibri" w:hAnsi="Calibri"/>
        </w:rPr>
        <w:t>4</w:t>
      </w:r>
      <w:r w:rsidRPr="00697F8D">
        <w:rPr>
          <w:rFonts w:ascii="Calibri" w:eastAsia="Calibri" w:hAnsi="Calibri"/>
        </w:rPr>
        <w:t xml:space="preserve"> through 2030 are “uncontrolled”</w:t>
      </w:r>
      <w:r w:rsidR="00130842" w:rsidRPr="00697F8D">
        <w:rPr>
          <w:rFonts w:ascii="Calibri" w:eastAsia="Calibri" w:hAnsi="Calibri"/>
        </w:rPr>
        <w:t xml:space="preserve"> because </w:t>
      </w:r>
      <w:r w:rsidRPr="00697F8D">
        <w:rPr>
          <w:rFonts w:ascii="Calibri" w:eastAsia="Calibri" w:hAnsi="Calibri"/>
        </w:rPr>
        <w:t xml:space="preserve">county-level estimates </w:t>
      </w:r>
      <w:r w:rsidR="00130842" w:rsidRPr="00697F8D">
        <w:rPr>
          <w:rFonts w:ascii="Calibri" w:eastAsia="Calibri" w:hAnsi="Calibri"/>
        </w:rPr>
        <w:t xml:space="preserve">for these years </w:t>
      </w:r>
      <w:r w:rsidRPr="00697F8D">
        <w:rPr>
          <w:rFonts w:ascii="Calibri" w:eastAsia="Calibri" w:hAnsi="Calibri"/>
        </w:rPr>
        <w:t>ha</w:t>
      </w:r>
      <w:r w:rsidR="00130842" w:rsidRPr="00697F8D">
        <w:rPr>
          <w:rFonts w:ascii="Calibri" w:eastAsia="Calibri" w:hAnsi="Calibri"/>
        </w:rPr>
        <w:t>d</w:t>
      </w:r>
      <w:r w:rsidRPr="00697F8D">
        <w:rPr>
          <w:rFonts w:ascii="Calibri" w:eastAsia="Calibri" w:hAnsi="Calibri"/>
        </w:rPr>
        <w:t xml:space="preserve"> not yet been released at the time of the V202</w:t>
      </w:r>
      <w:r w:rsidR="00697F8D" w:rsidRPr="00697F8D">
        <w:rPr>
          <w:rFonts w:ascii="Calibri" w:eastAsia="Calibri" w:hAnsi="Calibri"/>
        </w:rPr>
        <w:t>5</w:t>
      </w:r>
      <w:r w:rsidRPr="00697F8D">
        <w:rPr>
          <w:rFonts w:ascii="Calibri" w:eastAsia="Calibri" w:hAnsi="Calibri"/>
        </w:rPr>
        <w:t xml:space="preserve"> series production. Before use, estimates for </w:t>
      </w:r>
      <w:r w:rsidR="00130842" w:rsidRPr="00697F8D">
        <w:rPr>
          <w:rFonts w:ascii="Calibri" w:eastAsia="Calibri" w:hAnsi="Calibri"/>
        </w:rPr>
        <w:t>the years</w:t>
      </w:r>
      <w:r w:rsidRPr="00697F8D">
        <w:rPr>
          <w:rFonts w:ascii="Calibri" w:eastAsia="Calibri" w:hAnsi="Calibri"/>
        </w:rPr>
        <w:t xml:space="preserve"> 202</w:t>
      </w:r>
      <w:r w:rsidR="0040597A" w:rsidRPr="00697F8D">
        <w:rPr>
          <w:rFonts w:ascii="Calibri" w:eastAsia="Calibri" w:hAnsi="Calibri"/>
        </w:rPr>
        <w:t>4</w:t>
      </w:r>
      <w:r w:rsidRPr="00697F8D">
        <w:rPr>
          <w:rFonts w:ascii="Calibri" w:eastAsia="Calibri" w:hAnsi="Calibri"/>
        </w:rPr>
        <w:t xml:space="preserve"> through 2030 should be controlled to Census county estimates as they are released. In the meantime, users will note a break in </w:t>
      </w:r>
      <w:r w:rsidR="00660164" w:rsidRPr="00697F8D">
        <w:rPr>
          <w:rFonts w:ascii="Calibri" w:eastAsia="Calibri" w:hAnsi="Calibri"/>
        </w:rPr>
        <w:t>the time</w:t>
      </w:r>
      <w:r w:rsidRPr="00697F8D">
        <w:rPr>
          <w:rFonts w:ascii="Calibri" w:eastAsia="Calibri" w:hAnsi="Calibri"/>
        </w:rPr>
        <w:t>-series</w:t>
      </w:r>
      <w:r w:rsidR="00130842" w:rsidRPr="00697F8D">
        <w:rPr>
          <w:rFonts w:ascii="Calibri" w:eastAsia="Calibri" w:hAnsi="Calibri"/>
        </w:rPr>
        <w:t>, showing abrupt changes in cohort populations, when comparing year</w:t>
      </w:r>
      <w:r w:rsidR="003016D5">
        <w:rPr>
          <w:rFonts w:ascii="Calibri" w:eastAsia="Calibri" w:hAnsi="Calibri"/>
        </w:rPr>
        <w:t>s</w:t>
      </w:r>
      <w:r w:rsidR="00130842" w:rsidRPr="00697F8D">
        <w:rPr>
          <w:rFonts w:ascii="Calibri" w:eastAsia="Calibri" w:hAnsi="Calibri"/>
        </w:rPr>
        <w:t xml:space="preserve"> 202</w:t>
      </w:r>
      <w:r w:rsidR="0040597A" w:rsidRPr="00697F8D">
        <w:rPr>
          <w:rFonts w:ascii="Calibri" w:eastAsia="Calibri" w:hAnsi="Calibri"/>
        </w:rPr>
        <w:t>3</w:t>
      </w:r>
      <w:r w:rsidR="00130842" w:rsidRPr="00697F8D">
        <w:rPr>
          <w:rFonts w:ascii="Calibri" w:eastAsia="Calibri" w:hAnsi="Calibri"/>
        </w:rPr>
        <w:t xml:space="preserve"> </w:t>
      </w:r>
      <w:r w:rsidR="003016D5">
        <w:rPr>
          <w:rFonts w:ascii="Calibri" w:eastAsia="Calibri" w:hAnsi="Calibri"/>
        </w:rPr>
        <w:t>and</w:t>
      </w:r>
      <w:r w:rsidR="00130842" w:rsidRPr="00697F8D">
        <w:rPr>
          <w:rFonts w:ascii="Calibri" w:eastAsia="Calibri" w:hAnsi="Calibri"/>
        </w:rPr>
        <w:t xml:space="preserve"> 202</w:t>
      </w:r>
      <w:r w:rsidR="0040597A" w:rsidRPr="00697F8D">
        <w:rPr>
          <w:rFonts w:ascii="Calibri" w:eastAsia="Calibri" w:hAnsi="Calibri"/>
        </w:rPr>
        <w:t>4</w:t>
      </w:r>
      <w:r w:rsidR="00130842" w:rsidRPr="00697F8D">
        <w:rPr>
          <w:rFonts w:ascii="Calibri" w:eastAsia="Calibri" w:hAnsi="Calibri"/>
        </w:rPr>
        <w:t>.</w:t>
      </w:r>
    </w:p>
    <w:p w14:paraId="219F07C5" w14:textId="263ABE88" w:rsidR="00227A6E" w:rsidRDefault="008E538C" w:rsidP="00D710E1">
      <w:pPr>
        <w:pStyle w:val="Heading1"/>
      </w:pPr>
      <w:bookmarkStart w:id="47" w:name="_Toc197520545"/>
      <w:r>
        <w:lastRenderedPageBreak/>
        <w:t>Appendix A</w:t>
      </w:r>
      <w:bookmarkEnd w:id="47"/>
    </w:p>
    <w:p w14:paraId="076A7614" w14:textId="4B6C0EF2" w:rsidR="009B727E" w:rsidRPr="009B727E" w:rsidRDefault="009B727E" w:rsidP="009B727E">
      <w:pPr>
        <w:pStyle w:val="Caption"/>
      </w:pPr>
      <w:bookmarkStart w:id="48" w:name="_Toc170212117"/>
      <w:bookmarkStart w:id="49" w:name="_Toc197520551"/>
      <w:r>
        <w:t xml:space="preserve">Table </w:t>
      </w:r>
      <w:r w:rsidR="00C3267C">
        <w:t>A</w:t>
      </w:r>
      <w:r w:rsidR="002A5026">
        <w:fldChar w:fldCharType="begin"/>
      </w:r>
      <w:r w:rsidR="002A5026">
        <w:instrText xml:space="preserve"> SEQ Table \* ARABIC </w:instrText>
      </w:r>
      <w:r w:rsidR="002A709D">
        <w:instrText xml:space="preserve">\r </w:instrText>
      </w:r>
      <w:r w:rsidR="00BA76E0">
        <w:instrText>A</w:instrText>
      </w:r>
      <w:r w:rsidR="002A709D">
        <w:instrText xml:space="preserve">1 </w:instrText>
      </w:r>
      <w:r w:rsidR="002A5026">
        <w:fldChar w:fldCharType="separate"/>
      </w:r>
      <w:r w:rsidR="00682CB2">
        <w:t>1</w:t>
      </w:r>
      <w:r w:rsidR="002A5026">
        <w:fldChar w:fldCharType="end"/>
      </w:r>
      <w:r w:rsidR="0069033E">
        <w:t>.</w:t>
      </w:r>
      <w:r>
        <w:t xml:space="preserve"> </w:t>
      </w:r>
      <w:r w:rsidRPr="00430E91">
        <w:t>Age/Sex Share of Census 2020 Massachusetts Group Quarters Population by Type</w:t>
      </w:r>
      <w:bookmarkEnd w:id="48"/>
      <w:bookmarkEnd w:id="49"/>
    </w:p>
    <w:tbl>
      <w:tblPr>
        <w:tblW w:w="8688" w:type="dxa"/>
        <w:tblLayout w:type="fixed"/>
        <w:tblLook w:val="04A0" w:firstRow="1" w:lastRow="0" w:firstColumn="1" w:lastColumn="0" w:noHBand="0" w:noVBand="1"/>
      </w:tblPr>
      <w:tblGrid>
        <w:gridCol w:w="710"/>
        <w:gridCol w:w="865"/>
        <w:gridCol w:w="1778"/>
        <w:gridCol w:w="1778"/>
        <w:gridCol w:w="1778"/>
        <w:gridCol w:w="1779"/>
      </w:tblGrid>
      <w:tr w:rsidR="00766396" w:rsidRPr="005A17D7" w14:paraId="320A737A" w14:textId="77777777" w:rsidTr="007F6696">
        <w:trPr>
          <w:trHeight w:hRule="exact" w:val="505"/>
        </w:trPr>
        <w:tc>
          <w:tcPr>
            <w:tcW w:w="7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24E6DA" w14:textId="77777777" w:rsidR="00766396" w:rsidRPr="005A17D7" w:rsidRDefault="00766396">
            <w:pPr>
              <w:spacing w:line="240" w:lineRule="auto"/>
              <w:jc w:val="center"/>
              <w:rPr>
                <w:rFonts w:cstheme="minorHAnsi"/>
                <w:b/>
                <w:bCs/>
                <w:color w:val="000000"/>
                <w:sz w:val="20"/>
                <w:szCs w:val="20"/>
              </w:rPr>
            </w:pPr>
            <w:r w:rsidRPr="005A17D7">
              <w:rPr>
                <w:rFonts w:cstheme="minorHAnsi"/>
                <w:b/>
                <w:bCs/>
                <w:color w:val="000000"/>
                <w:sz w:val="20"/>
                <w:szCs w:val="20"/>
              </w:rPr>
              <w:t>Sex</w:t>
            </w:r>
          </w:p>
        </w:tc>
        <w:tc>
          <w:tcPr>
            <w:tcW w:w="865" w:type="dxa"/>
            <w:tcBorders>
              <w:top w:val="single" w:sz="4" w:space="0" w:color="auto"/>
              <w:left w:val="nil"/>
              <w:bottom w:val="single" w:sz="4" w:space="0" w:color="auto"/>
              <w:right w:val="single" w:sz="4" w:space="0" w:color="auto"/>
            </w:tcBorders>
            <w:shd w:val="clear" w:color="000000" w:fill="FFFFFF"/>
            <w:noWrap/>
            <w:vAlign w:val="center"/>
            <w:hideMark/>
          </w:tcPr>
          <w:p w14:paraId="05B90C85" w14:textId="77777777" w:rsidR="00766396" w:rsidRPr="005A17D7" w:rsidRDefault="00766396">
            <w:pPr>
              <w:spacing w:line="240" w:lineRule="auto"/>
              <w:jc w:val="center"/>
              <w:rPr>
                <w:rFonts w:cstheme="minorHAnsi"/>
                <w:b/>
                <w:bCs/>
                <w:color w:val="000000"/>
                <w:sz w:val="20"/>
                <w:szCs w:val="20"/>
              </w:rPr>
            </w:pPr>
            <w:r w:rsidRPr="005A17D7">
              <w:rPr>
                <w:rFonts w:cstheme="minorHAnsi"/>
                <w:b/>
                <w:bCs/>
                <w:color w:val="000000"/>
                <w:sz w:val="20"/>
                <w:szCs w:val="20"/>
              </w:rPr>
              <w:t>Age Group</w:t>
            </w:r>
          </w:p>
        </w:tc>
        <w:tc>
          <w:tcPr>
            <w:tcW w:w="1778" w:type="dxa"/>
            <w:tcBorders>
              <w:top w:val="single" w:sz="4" w:space="0" w:color="auto"/>
              <w:left w:val="nil"/>
              <w:bottom w:val="single" w:sz="4" w:space="0" w:color="auto"/>
              <w:right w:val="nil"/>
            </w:tcBorders>
            <w:shd w:val="clear" w:color="000000" w:fill="FFFFFF"/>
            <w:vAlign w:val="center"/>
            <w:hideMark/>
          </w:tcPr>
          <w:p w14:paraId="2721FD32" w14:textId="77777777" w:rsidR="00766396" w:rsidRPr="005A17D7" w:rsidRDefault="00766396">
            <w:pPr>
              <w:spacing w:line="240" w:lineRule="auto"/>
              <w:jc w:val="center"/>
              <w:rPr>
                <w:rFonts w:cstheme="minorHAnsi"/>
                <w:b/>
                <w:bCs/>
                <w:color w:val="000000"/>
                <w:sz w:val="20"/>
                <w:szCs w:val="20"/>
              </w:rPr>
            </w:pPr>
            <w:r w:rsidRPr="005A17D7">
              <w:rPr>
                <w:rFonts w:cstheme="minorHAnsi"/>
                <w:b/>
                <w:bCs/>
                <w:color w:val="000000"/>
                <w:sz w:val="20"/>
                <w:szCs w:val="20"/>
              </w:rPr>
              <w:t>GQ1: Correctional Facilities</w:t>
            </w:r>
          </w:p>
        </w:tc>
        <w:tc>
          <w:tcPr>
            <w:tcW w:w="17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FB2773" w14:textId="77777777" w:rsidR="00766396" w:rsidRPr="005A17D7" w:rsidRDefault="00766396">
            <w:pPr>
              <w:spacing w:line="240" w:lineRule="auto"/>
              <w:jc w:val="center"/>
              <w:rPr>
                <w:rFonts w:cstheme="minorHAnsi"/>
                <w:b/>
                <w:bCs/>
                <w:color w:val="000000"/>
                <w:sz w:val="20"/>
                <w:szCs w:val="20"/>
              </w:rPr>
            </w:pPr>
            <w:r w:rsidRPr="005A17D7">
              <w:rPr>
                <w:rFonts w:cstheme="minorHAnsi"/>
                <w:b/>
                <w:bCs/>
                <w:color w:val="000000"/>
                <w:sz w:val="20"/>
                <w:szCs w:val="20"/>
              </w:rPr>
              <w:t xml:space="preserve">GQ3: </w:t>
            </w:r>
            <w:r w:rsidRPr="00D5561D">
              <w:rPr>
                <w:rFonts w:cstheme="minorHAnsi"/>
                <w:b/>
                <w:bCs/>
                <w:color w:val="000000"/>
                <w:sz w:val="20"/>
                <w:szCs w:val="20"/>
              </w:rPr>
              <w:t>Nursing</w:t>
            </w:r>
            <w:r w:rsidRPr="005A17D7">
              <w:rPr>
                <w:rFonts w:cstheme="minorHAnsi"/>
                <w:b/>
                <w:bCs/>
                <w:color w:val="000000"/>
                <w:sz w:val="20"/>
                <w:szCs w:val="20"/>
              </w:rPr>
              <w:t xml:space="preserve"> Homes</w:t>
            </w:r>
          </w:p>
        </w:tc>
        <w:tc>
          <w:tcPr>
            <w:tcW w:w="1778" w:type="dxa"/>
            <w:tcBorders>
              <w:top w:val="single" w:sz="4" w:space="0" w:color="auto"/>
              <w:left w:val="nil"/>
              <w:bottom w:val="single" w:sz="4" w:space="0" w:color="auto"/>
              <w:right w:val="single" w:sz="4" w:space="0" w:color="auto"/>
            </w:tcBorders>
            <w:shd w:val="clear" w:color="000000" w:fill="FFFFFF"/>
            <w:vAlign w:val="center"/>
            <w:hideMark/>
          </w:tcPr>
          <w:p w14:paraId="07256124" w14:textId="77777777" w:rsidR="00766396" w:rsidRPr="005A17D7" w:rsidRDefault="00766396">
            <w:pPr>
              <w:spacing w:line="240" w:lineRule="auto"/>
              <w:jc w:val="center"/>
              <w:rPr>
                <w:rFonts w:cstheme="minorHAnsi"/>
                <w:b/>
                <w:bCs/>
                <w:color w:val="000000"/>
                <w:sz w:val="20"/>
                <w:szCs w:val="20"/>
              </w:rPr>
            </w:pPr>
            <w:r w:rsidRPr="005A17D7">
              <w:rPr>
                <w:rFonts w:cstheme="minorHAnsi"/>
                <w:b/>
                <w:bCs/>
                <w:color w:val="000000"/>
                <w:sz w:val="20"/>
                <w:szCs w:val="20"/>
              </w:rPr>
              <w:t>GQ5: College Housing</w:t>
            </w:r>
          </w:p>
        </w:tc>
        <w:tc>
          <w:tcPr>
            <w:tcW w:w="1779" w:type="dxa"/>
            <w:tcBorders>
              <w:top w:val="single" w:sz="4" w:space="0" w:color="auto"/>
              <w:left w:val="nil"/>
              <w:bottom w:val="single" w:sz="4" w:space="0" w:color="auto"/>
              <w:right w:val="single" w:sz="4" w:space="0" w:color="auto"/>
            </w:tcBorders>
            <w:shd w:val="clear" w:color="000000" w:fill="FFFFFF"/>
            <w:vAlign w:val="center"/>
            <w:hideMark/>
          </w:tcPr>
          <w:p w14:paraId="400C46F1" w14:textId="77777777" w:rsidR="00766396" w:rsidRPr="005A17D7" w:rsidRDefault="00766396">
            <w:pPr>
              <w:spacing w:line="240" w:lineRule="auto"/>
              <w:jc w:val="center"/>
              <w:rPr>
                <w:rFonts w:cstheme="minorHAnsi"/>
                <w:b/>
                <w:bCs/>
                <w:color w:val="000000"/>
                <w:sz w:val="20"/>
                <w:szCs w:val="20"/>
              </w:rPr>
            </w:pPr>
            <w:r w:rsidRPr="005A17D7">
              <w:rPr>
                <w:rFonts w:cstheme="minorHAnsi"/>
                <w:b/>
                <w:bCs/>
                <w:color w:val="000000"/>
                <w:sz w:val="20"/>
                <w:szCs w:val="20"/>
              </w:rPr>
              <w:t>GQ7: Other Non-Institutional</w:t>
            </w:r>
          </w:p>
        </w:tc>
      </w:tr>
      <w:tr w:rsidR="00766396" w:rsidRPr="005A17D7" w14:paraId="7F975826"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55FCE6B0"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622ABFD5"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Under 5</w:t>
            </w:r>
          </w:p>
        </w:tc>
        <w:tc>
          <w:tcPr>
            <w:tcW w:w="1778" w:type="dxa"/>
            <w:tcBorders>
              <w:top w:val="nil"/>
              <w:left w:val="nil"/>
              <w:bottom w:val="nil"/>
              <w:right w:val="nil"/>
            </w:tcBorders>
            <w:shd w:val="clear" w:color="000000" w:fill="D9D9D9"/>
            <w:noWrap/>
            <w:vAlign w:val="bottom"/>
            <w:hideMark/>
          </w:tcPr>
          <w:p w14:paraId="1D0E3CA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nil"/>
              <w:left w:val="single" w:sz="4" w:space="0" w:color="auto"/>
              <w:bottom w:val="nil"/>
              <w:right w:val="single" w:sz="4" w:space="0" w:color="auto"/>
            </w:tcBorders>
            <w:shd w:val="clear" w:color="000000" w:fill="D9D9D9"/>
            <w:noWrap/>
            <w:vAlign w:val="bottom"/>
            <w:hideMark/>
          </w:tcPr>
          <w:p w14:paraId="463A7AB6"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nil"/>
              <w:left w:val="nil"/>
              <w:bottom w:val="nil"/>
              <w:right w:val="single" w:sz="4" w:space="0" w:color="auto"/>
            </w:tcBorders>
            <w:shd w:val="clear" w:color="000000" w:fill="D9D9D9"/>
            <w:noWrap/>
            <w:vAlign w:val="bottom"/>
            <w:hideMark/>
          </w:tcPr>
          <w:p w14:paraId="4C8264FE"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nil"/>
              <w:right w:val="single" w:sz="4" w:space="0" w:color="auto"/>
            </w:tcBorders>
            <w:shd w:val="clear" w:color="000000" w:fill="FFFFFF"/>
            <w:noWrap/>
            <w:vAlign w:val="bottom"/>
            <w:hideMark/>
          </w:tcPr>
          <w:p w14:paraId="41694C0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0.9%</w:t>
            </w:r>
          </w:p>
        </w:tc>
      </w:tr>
      <w:tr w:rsidR="00766396" w:rsidRPr="005A17D7" w14:paraId="7B3E5D55"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6C1DAA4E"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491B5FF5"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5 to 9</w:t>
            </w:r>
          </w:p>
        </w:tc>
        <w:tc>
          <w:tcPr>
            <w:tcW w:w="1778" w:type="dxa"/>
            <w:tcBorders>
              <w:top w:val="nil"/>
              <w:left w:val="nil"/>
              <w:bottom w:val="nil"/>
              <w:right w:val="nil"/>
            </w:tcBorders>
            <w:shd w:val="clear" w:color="000000" w:fill="D9D9D9"/>
            <w:noWrap/>
            <w:vAlign w:val="bottom"/>
            <w:hideMark/>
          </w:tcPr>
          <w:p w14:paraId="3A3D09F4"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nil"/>
              <w:left w:val="single" w:sz="4" w:space="0" w:color="auto"/>
              <w:bottom w:val="nil"/>
              <w:right w:val="single" w:sz="4" w:space="0" w:color="auto"/>
            </w:tcBorders>
            <w:shd w:val="clear" w:color="000000" w:fill="D9D9D9"/>
            <w:noWrap/>
            <w:vAlign w:val="bottom"/>
            <w:hideMark/>
          </w:tcPr>
          <w:p w14:paraId="52B3A836"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nil"/>
              <w:left w:val="nil"/>
              <w:bottom w:val="nil"/>
              <w:right w:val="single" w:sz="4" w:space="0" w:color="auto"/>
            </w:tcBorders>
            <w:shd w:val="clear" w:color="000000" w:fill="D9D9D9"/>
            <w:noWrap/>
            <w:vAlign w:val="bottom"/>
            <w:hideMark/>
          </w:tcPr>
          <w:p w14:paraId="5148FFE6"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nil"/>
              <w:right w:val="single" w:sz="4" w:space="0" w:color="auto"/>
            </w:tcBorders>
            <w:shd w:val="clear" w:color="000000" w:fill="FFFFFF"/>
            <w:noWrap/>
            <w:vAlign w:val="bottom"/>
            <w:hideMark/>
          </w:tcPr>
          <w:p w14:paraId="788E040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0.4%</w:t>
            </w:r>
          </w:p>
        </w:tc>
      </w:tr>
      <w:tr w:rsidR="00766396" w:rsidRPr="005A17D7" w14:paraId="658EEF28"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228F7466"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747143E5"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10 to 14</w:t>
            </w:r>
          </w:p>
        </w:tc>
        <w:tc>
          <w:tcPr>
            <w:tcW w:w="1778" w:type="dxa"/>
            <w:tcBorders>
              <w:top w:val="nil"/>
              <w:left w:val="nil"/>
              <w:bottom w:val="nil"/>
              <w:right w:val="nil"/>
            </w:tcBorders>
            <w:shd w:val="clear" w:color="000000" w:fill="D9D9D9"/>
            <w:noWrap/>
            <w:vAlign w:val="bottom"/>
            <w:hideMark/>
          </w:tcPr>
          <w:p w14:paraId="38469609"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nil"/>
              <w:left w:val="single" w:sz="4" w:space="0" w:color="auto"/>
              <w:bottom w:val="nil"/>
              <w:right w:val="single" w:sz="4" w:space="0" w:color="auto"/>
            </w:tcBorders>
            <w:shd w:val="clear" w:color="000000" w:fill="D9D9D9"/>
            <w:noWrap/>
            <w:vAlign w:val="bottom"/>
            <w:hideMark/>
          </w:tcPr>
          <w:p w14:paraId="06F6BC34"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nil"/>
              <w:left w:val="nil"/>
              <w:bottom w:val="nil"/>
              <w:right w:val="single" w:sz="4" w:space="0" w:color="auto"/>
            </w:tcBorders>
            <w:shd w:val="clear" w:color="000000" w:fill="D9D9D9"/>
            <w:noWrap/>
            <w:vAlign w:val="bottom"/>
            <w:hideMark/>
          </w:tcPr>
          <w:p w14:paraId="429EBDB4"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nil"/>
              <w:right w:val="single" w:sz="4" w:space="0" w:color="auto"/>
            </w:tcBorders>
            <w:shd w:val="clear" w:color="000000" w:fill="FFFFFF"/>
            <w:noWrap/>
            <w:vAlign w:val="bottom"/>
            <w:hideMark/>
          </w:tcPr>
          <w:p w14:paraId="5EE07FA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0.4%</w:t>
            </w:r>
          </w:p>
        </w:tc>
      </w:tr>
      <w:tr w:rsidR="00766396" w:rsidRPr="005A17D7" w14:paraId="3841D81A"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3779AD2B"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51F52A14"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15 to 19</w:t>
            </w:r>
          </w:p>
        </w:tc>
        <w:tc>
          <w:tcPr>
            <w:tcW w:w="1778" w:type="dxa"/>
            <w:tcBorders>
              <w:top w:val="nil"/>
              <w:left w:val="nil"/>
              <w:bottom w:val="nil"/>
              <w:right w:val="nil"/>
            </w:tcBorders>
            <w:shd w:val="clear" w:color="000000" w:fill="FFFFFF"/>
            <w:noWrap/>
            <w:vAlign w:val="bottom"/>
            <w:hideMark/>
          </w:tcPr>
          <w:p w14:paraId="455C2AD7"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1.1%</w:t>
            </w:r>
          </w:p>
        </w:tc>
        <w:tc>
          <w:tcPr>
            <w:tcW w:w="1778" w:type="dxa"/>
            <w:tcBorders>
              <w:top w:val="nil"/>
              <w:left w:val="single" w:sz="4" w:space="0" w:color="auto"/>
              <w:bottom w:val="nil"/>
              <w:right w:val="single" w:sz="4" w:space="0" w:color="auto"/>
            </w:tcBorders>
            <w:shd w:val="clear" w:color="000000" w:fill="D9D9D9"/>
            <w:noWrap/>
            <w:vAlign w:val="bottom"/>
            <w:hideMark/>
          </w:tcPr>
          <w:p w14:paraId="7BE45152"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nil"/>
              <w:left w:val="nil"/>
              <w:bottom w:val="nil"/>
              <w:right w:val="single" w:sz="4" w:space="0" w:color="auto"/>
            </w:tcBorders>
            <w:shd w:val="clear" w:color="000000" w:fill="FFFFFF"/>
            <w:noWrap/>
            <w:vAlign w:val="bottom"/>
            <w:hideMark/>
          </w:tcPr>
          <w:p w14:paraId="0110A11E"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15.9%</w:t>
            </w:r>
          </w:p>
        </w:tc>
        <w:tc>
          <w:tcPr>
            <w:tcW w:w="1779" w:type="dxa"/>
            <w:tcBorders>
              <w:top w:val="nil"/>
              <w:left w:val="nil"/>
              <w:bottom w:val="nil"/>
              <w:right w:val="single" w:sz="4" w:space="0" w:color="auto"/>
            </w:tcBorders>
            <w:shd w:val="clear" w:color="000000" w:fill="FFFFFF"/>
            <w:noWrap/>
            <w:vAlign w:val="bottom"/>
            <w:hideMark/>
          </w:tcPr>
          <w:p w14:paraId="7601A5C8"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2.3%</w:t>
            </w:r>
          </w:p>
        </w:tc>
      </w:tr>
      <w:tr w:rsidR="00766396" w:rsidRPr="005A17D7" w14:paraId="057BC178"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510C38C8"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5CEB3A9A"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20 to 24</w:t>
            </w:r>
          </w:p>
        </w:tc>
        <w:tc>
          <w:tcPr>
            <w:tcW w:w="1778" w:type="dxa"/>
            <w:tcBorders>
              <w:top w:val="nil"/>
              <w:left w:val="nil"/>
              <w:bottom w:val="nil"/>
              <w:right w:val="nil"/>
            </w:tcBorders>
            <w:shd w:val="clear" w:color="000000" w:fill="FFFFFF"/>
            <w:noWrap/>
            <w:vAlign w:val="bottom"/>
            <w:hideMark/>
          </w:tcPr>
          <w:p w14:paraId="47342001"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8.1%</w:t>
            </w:r>
          </w:p>
        </w:tc>
        <w:tc>
          <w:tcPr>
            <w:tcW w:w="1778" w:type="dxa"/>
            <w:tcBorders>
              <w:top w:val="nil"/>
              <w:left w:val="single" w:sz="4" w:space="0" w:color="auto"/>
              <w:bottom w:val="nil"/>
              <w:right w:val="single" w:sz="4" w:space="0" w:color="auto"/>
            </w:tcBorders>
            <w:shd w:val="clear" w:color="000000" w:fill="FFFFFF"/>
            <w:noWrap/>
            <w:vAlign w:val="bottom"/>
            <w:hideMark/>
          </w:tcPr>
          <w:p w14:paraId="35BC9C15"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8" w:type="dxa"/>
            <w:tcBorders>
              <w:top w:val="nil"/>
              <w:left w:val="nil"/>
              <w:bottom w:val="nil"/>
              <w:right w:val="single" w:sz="4" w:space="0" w:color="auto"/>
            </w:tcBorders>
            <w:shd w:val="clear" w:color="000000" w:fill="FFFFFF"/>
            <w:noWrap/>
            <w:vAlign w:val="bottom"/>
            <w:hideMark/>
          </w:tcPr>
          <w:p w14:paraId="1FBCA3A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25.6%</w:t>
            </w:r>
          </w:p>
        </w:tc>
        <w:tc>
          <w:tcPr>
            <w:tcW w:w="1779" w:type="dxa"/>
            <w:tcBorders>
              <w:top w:val="nil"/>
              <w:left w:val="nil"/>
              <w:bottom w:val="nil"/>
              <w:right w:val="single" w:sz="4" w:space="0" w:color="auto"/>
            </w:tcBorders>
            <w:shd w:val="clear" w:color="000000" w:fill="FFFFFF"/>
            <w:noWrap/>
            <w:vAlign w:val="bottom"/>
            <w:hideMark/>
          </w:tcPr>
          <w:p w14:paraId="22DFF9B8"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3.1%</w:t>
            </w:r>
          </w:p>
        </w:tc>
      </w:tr>
      <w:tr w:rsidR="00766396" w:rsidRPr="005A17D7" w14:paraId="588B1432"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77B9BFDA"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2C02154B"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25 to 29</w:t>
            </w:r>
          </w:p>
        </w:tc>
        <w:tc>
          <w:tcPr>
            <w:tcW w:w="1778" w:type="dxa"/>
            <w:tcBorders>
              <w:top w:val="nil"/>
              <w:left w:val="nil"/>
              <w:bottom w:val="nil"/>
              <w:right w:val="nil"/>
            </w:tcBorders>
            <w:shd w:val="clear" w:color="000000" w:fill="FFFFFF"/>
            <w:noWrap/>
            <w:vAlign w:val="bottom"/>
            <w:hideMark/>
          </w:tcPr>
          <w:p w14:paraId="66F7A4E7"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14.8%</w:t>
            </w:r>
          </w:p>
        </w:tc>
        <w:tc>
          <w:tcPr>
            <w:tcW w:w="1778" w:type="dxa"/>
            <w:tcBorders>
              <w:top w:val="nil"/>
              <w:left w:val="single" w:sz="4" w:space="0" w:color="auto"/>
              <w:bottom w:val="nil"/>
              <w:right w:val="single" w:sz="4" w:space="0" w:color="auto"/>
            </w:tcBorders>
            <w:shd w:val="clear" w:color="000000" w:fill="FFFFFF"/>
            <w:noWrap/>
            <w:vAlign w:val="bottom"/>
            <w:hideMark/>
          </w:tcPr>
          <w:p w14:paraId="457E16C5"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0.2%</w:t>
            </w:r>
          </w:p>
        </w:tc>
        <w:tc>
          <w:tcPr>
            <w:tcW w:w="1778" w:type="dxa"/>
            <w:tcBorders>
              <w:top w:val="nil"/>
              <w:left w:val="nil"/>
              <w:bottom w:val="nil"/>
              <w:right w:val="single" w:sz="4" w:space="0" w:color="auto"/>
            </w:tcBorders>
            <w:shd w:val="clear" w:color="000000" w:fill="FFFFFF"/>
            <w:noWrap/>
            <w:vAlign w:val="bottom"/>
            <w:hideMark/>
          </w:tcPr>
          <w:p w14:paraId="113C7024"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2.3%</w:t>
            </w:r>
          </w:p>
        </w:tc>
        <w:tc>
          <w:tcPr>
            <w:tcW w:w="1779" w:type="dxa"/>
            <w:tcBorders>
              <w:top w:val="nil"/>
              <w:left w:val="nil"/>
              <w:bottom w:val="nil"/>
              <w:right w:val="single" w:sz="4" w:space="0" w:color="auto"/>
            </w:tcBorders>
            <w:shd w:val="clear" w:color="000000" w:fill="FFFFFF"/>
            <w:noWrap/>
            <w:vAlign w:val="bottom"/>
            <w:hideMark/>
          </w:tcPr>
          <w:p w14:paraId="56A6D01F"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4.0%</w:t>
            </w:r>
          </w:p>
        </w:tc>
      </w:tr>
      <w:tr w:rsidR="00766396" w:rsidRPr="005A17D7" w14:paraId="2E311F0D"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6A92A152"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1643BADB"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30 to 34</w:t>
            </w:r>
          </w:p>
        </w:tc>
        <w:tc>
          <w:tcPr>
            <w:tcW w:w="1778" w:type="dxa"/>
            <w:tcBorders>
              <w:top w:val="nil"/>
              <w:left w:val="nil"/>
              <w:bottom w:val="nil"/>
              <w:right w:val="nil"/>
            </w:tcBorders>
            <w:shd w:val="clear" w:color="000000" w:fill="FFFFFF"/>
            <w:noWrap/>
            <w:vAlign w:val="bottom"/>
            <w:hideMark/>
          </w:tcPr>
          <w:p w14:paraId="3F6424E5"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16.1%</w:t>
            </w:r>
          </w:p>
        </w:tc>
        <w:tc>
          <w:tcPr>
            <w:tcW w:w="1778" w:type="dxa"/>
            <w:tcBorders>
              <w:top w:val="nil"/>
              <w:left w:val="single" w:sz="4" w:space="0" w:color="auto"/>
              <w:bottom w:val="nil"/>
              <w:right w:val="single" w:sz="4" w:space="0" w:color="auto"/>
            </w:tcBorders>
            <w:shd w:val="clear" w:color="000000" w:fill="FFFFFF"/>
            <w:noWrap/>
            <w:vAlign w:val="bottom"/>
            <w:hideMark/>
          </w:tcPr>
          <w:p w14:paraId="7FE84E03"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8" w:type="dxa"/>
            <w:tcBorders>
              <w:top w:val="nil"/>
              <w:left w:val="nil"/>
              <w:bottom w:val="nil"/>
              <w:right w:val="single" w:sz="4" w:space="0" w:color="auto"/>
            </w:tcBorders>
            <w:shd w:val="clear" w:color="000000" w:fill="FFFFFF"/>
            <w:noWrap/>
            <w:vAlign w:val="bottom"/>
            <w:hideMark/>
          </w:tcPr>
          <w:p w14:paraId="0E05CDB7"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0.8%</w:t>
            </w:r>
          </w:p>
        </w:tc>
        <w:tc>
          <w:tcPr>
            <w:tcW w:w="1779" w:type="dxa"/>
            <w:tcBorders>
              <w:top w:val="nil"/>
              <w:left w:val="nil"/>
              <w:bottom w:val="nil"/>
              <w:right w:val="single" w:sz="4" w:space="0" w:color="auto"/>
            </w:tcBorders>
            <w:shd w:val="clear" w:color="000000" w:fill="FFFFFF"/>
            <w:noWrap/>
            <w:vAlign w:val="bottom"/>
            <w:hideMark/>
          </w:tcPr>
          <w:p w14:paraId="0FB1AC71"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4.6%</w:t>
            </w:r>
          </w:p>
        </w:tc>
      </w:tr>
      <w:tr w:rsidR="00766396" w:rsidRPr="005A17D7" w14:paraId="3C5111F1"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2D8111D0"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4B95151B"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35 to 39</w:t>
            </w:r>
          </w:p>
        </w:tc>
        <w:tc>
          <w:tcPr>
            <w:tcW w:w="1778" w:type="dxa"/>
            <w:tcBorders>
              <w:top w:val="nil"/>
              <w:left w:val="nil"/>
              <w:bottom w:val="nil"/>
              <w:right w:val="nil"/>
            </w:tcBorders>
            <w:shd w:val="clear" w:color="000000" w:fill="FFFFFF"/>
            <w:noWrap/>
            <w:vAlign w:val="bottom"/>
            <w:hideMark/>
          </w:tcPr>
          <w:p w14:paraId="31577DA8"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13.8%</w:t>
            </w:r>
          </w:p>
        </w:tc>
        <w:tc>
          <w:tcPr>
            <w:tcW w:w="1778" w:type="dxa"/>
            <w:tcBorders>
              <w:top w:val="nil"/>
              <w:left w:val="single" w:sz="4" w:space="0" w:color="auto"/>
              <w:bottom w:val="nil"/>
              <w:right w:val="single" w:sz="4" w:space="0" w:color="auto"/>
            </w:tcBorders>
            <w:shd w:val="clear" w:color="000000" w:fill="FFFFFF"/>
            <w:noWrap/>
            <w:vAlign w:val="bottom"/>
            <w:hideMark/>
          </w:tcPr>
          <w:p w14:paraId="047C6F80"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0.2%</w:t>
            </w:r>
          </w:p>
        </w:tc>
        <w:tc>
          <w:tcPr>
            <w:tcW w:w="1778" w:type="dxa"/>
            <w:tcBorders>
              <w:top w:val="nil"/>
              <w:left w:val="nil"/>
              <w:bottom w:val="nil"/>
              <w:right w:val="single" w:sz="4" w:space="0" w:color="auto"/>
            </w:tcBorders>
            <w:shd w:val="clear" w:color="000000" w:fill="FFFFFF"/>
            <w:noWrap/>
            <w:vAlign w:val="bottom"/>
            <w:hideMark/>
          </w:tcPr>
          <w:p w14:paraId="34CE3055"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0.3%</w:t>
            </w:r>
          </w:p>
        </w:tc>
        <w:tc>
          <w:tcPr>
            <w:tcW w:w="1779" w:type="dxa"/>
            <w:tcBorders>
              <w:top w:val="nil"/>
              <w:left w:val="nil"/>
              <w:bottom w:val="nil"/>
              <w:right w:val="single" w:sz="4" w:space="0" w:color="auto"/>
            </w:tcBorders>
            <w:shd w:val="clear" w:color="000000" w:fill="FFFFFF"/>
            <w:noWrap/>
            <w:vAlign w:val="bottom"/>
            <w:hideMark/>
          </w:tcPr>
          <w:p w14:paraId="6520F482"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4.4%</w:t>
            </w:r>
          </w:p>
        </w:tc>
      </w:tr>
      <w:tr w:rsidR="00766396" w:rsidRPr="005A17D7" w14:paraId="63451D45"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0D2A27EA"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2549FBEC"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40 to 44</w:t>
            </w:r>
          </w:p>
        </w:tc>
        <w:tc>
          <w:tcPr>
            <w:tcW w:w="1778" w:type="dxa"/>
            <w:tcBorders>
              <w:top w:val="nil"/>
              <w:left w:val="nil"/>
              <w:bottom w:val="nil"/>
              <w:right w:val="nil"/>
            </w:tcBorders>
            <w:shd w:val="clear" w:color="000000" w:fill="FFFFFF"/>
            <w:noWrap/>
            <w:vAlign w:val="bottom"/>
            <w:hideMark/>
          </w:tcPr>
          <w:p w14:paraId="22526441"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10.9%</w:t>
            </w:r>
          </w:p>
        </w:tc>
        <w:tc>
          <w:tcPr>
            <w:tcW w:w="1778" w:type="dxa"/>
            <w:tcBorders>
              <w:top w:val="nil"/>
              <w:left w:val="single" w:sz="4" w:space="0" w:color="auto"/>
              <w:bottom w:val="nil"/>
              <w:right w:val="single" w:sz="4" w:space="0" w:color="auto"/>
            </w:tcBorders>
            <w:shd w:val="clear" w:color="000000" w:fill="FFFFFF"/>
            <w:noWrap/>
            <w:vAlign w:val="bottom"/>
            <w:hideMark/>
          </w:tcPr>
          <w:p w14:paraId="4DDCCB15"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0.3%</w:t>
            </w:r>
          </w:p>
        </w:tc>
        <w:tc>
          <w:tcPr>
            <w:tcW w:w="1778" w:type="dxa"/>
            <w:tcBorders>
              <w:top w:val="nil"/>
              <w:left w:val="nil"/>
              <w:bottom w:val="nil"/>
              <w:right w:val="single" w:sz="4" w:space="0" w:color="auto"/>
            </w:tcBorders>
            <w:shd w:val="clear" w:color="000000" w:fill="FFFFFF"/>
            <w:noWrap/>
            <w:vAlign w:val="bottom"/>
            <w:hideMark/>
          </w:tcPr>
          <w:p w14:paraId="2A67CAAF"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0.2%</w:t>
            </w:r>
          </w:p>
        </w:tc>
        <w:tc>
          <w:tcPr>
            <w:tcW w:w="1779" w:type="dxa"/>
            <w:tcBorders>
              <w:top w:val="nil"/>
              <w:left w:val="nil"/>
              <w:bottom w:val="nil"/>
              <w:right w:val="single" w:sz="4" w:space="0" w:color="auto"/>
            </w:tcBorders>
            <w:shd w:val="clear" w:color="000000" w:fill="FFFFFF"/>
            <w:noWrap/>
            <w:vAlign w:val="bottom"/>
            <w:hideMark/>
          </w:tcPr>
          <w:p w14:paraId="6AD75E2F"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4.2%</w:t>
            </w:r>
          </w:p>
        </w:tc>
      </w:tr>
      <w:tr w:rsidR="00766396" w:rsidRPr="005A17D7" w14:paraId="0549BDC1"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6D80C4FE"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001237D1"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45 to 49</w:t>
            </w:r>
          </w:p>
        </w:tc>
        <w:tc>
          <w:tcPr>
            <w:tcW w:w="1778" w:type="dxa"/>
            <w:tcBorders>
              <w:top w:val="nil"/>
              <w:left w:val="nil"/>
              <w:bottom w:val="nil"/>
              <w:right w:val="nil"/>
            </w:tcBorders>
            <w:shd w:val="clear" w:color="000000" w:fill="FFFFFF"/>
            <w:noWrap/>
            <w:vAlign w:val="bottom"/>
            <w:hideMark/>
          </w:tcPr>
          <w:p w14:paraId="55F403FF"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8.4%</w:t>
            </w:r>
          </w:p>
        </w:tc>
        <w:tc>
          <w:tcPr>
            <w:tcW w:w="1778" w:type="dxa"/>
            <w:tcBorders>
              <w:top w:val="nil"/>
              <w:left w:val="single" w:sz="4" w:space="0" w:color="auto"/>
              <w:bottom w:val="nil"/>
              <w:right w:val="single" w:sz="4" w:space="0" w:color="auto"/>
            </w:tcBorders>
            <w:shd w:val="clear" w:color="000000" w:fill="FFFFFF"/>
            <w:noWrap/>
            <w:vAlign w:val="bottom"/>
            <w:hideMark/>
          </w:tcPr>
          <w:p w14:paraId="0D4A3AE3"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0.4%</w:t>
            </w:r>
          </w:p>
        </w:tc>
        <w:tc>
          <w:tcPr>
            <w:tcW w:w="1778" w:type="dxa"/>
            <w:tcBorders>
              <w:top w:val="nil"/>
              <w:left w:val="nil"/>
              <w:bottom w:val="nil"/>
              <w:right w:val="single" w:sz="4" w:space="0" w:color="auto"/>
            </w:tcBorders>
            <w:shd w:val="clear" w:color="000000" w:fill="FFFFFF"/>
            <w:noWrap/>
            <w:vAlign w:val="bottom"/>
            <w:hideMark/>
          </w:tcPr>
          <w:p w14:paraId="73C1D122"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9" w:type="dxa"/>
            <w:tcBorders>
              <w:top w:val="nil"/>
              <w:left w:val="nil"/>
              <w:bottom w:val="nil"/>
              <w:right w:val="single" w:sz="4" w:space="0" w:color="auto"/>
            </w:tcBorders>
            <w:shd w:val="clear" w:color="000000" w:fill="FFFFFF"/>
            <w:noWrap/>
            <w:vAlign w:val="bottom"/>
            <w:hideMark/>
          </w:tcPr>
          <w:p w14:paraId="6D80E7CE"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4.4%</w:t>
            </w:r>
          </w:p>
        </w:tc>
      </w:tr>
      <w:tr w:rsidR="00766396" w:rsidRPr="005A17D7" w14:paraId="1FA27DBB"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79014896"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414A9A87"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50 to 54</w:t>
            </w:r>
          </w:p>
        </w:tc>
        <w:tc>
          <w:tcPr>
            <w:tcW w:w="1778" w:type="dxa"/>
            <w:tcBorders>
              <w:top w:val="nil"/>
              <w:left w:val="nil"/>
              <w:bottom w:val="nil"/>
              <w:right w:val="nil"/>
            </w:tcBorders>
            <w:shd w:val="clear" w:color="000000" w:fill="FFFFFF"/>
            <w:noWrap/>
            <w:vAlign w:val="bottom"/>
            <w:hideMark/>
          </w:tcPr>
          <w:p w14:paraId="66170695"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7.7%</w:t>
            </w:r>
          </w:p>
        </w:tc>
        <w:tc>
          <w:tcPr>
            <w:tcW w:w="1778" w:type="dxa"/>
            <w:tcBorders>
              <w:top w:val="nil"/>
              <w:left w:val="single" w:sz="4" w:space="0" w:color="auto"/>
              <w:bottom w:val="nil"/>
              <w:right w:val="single" w:sz="4" w:space="0" w:color="auto"/>
            </w:tcBorders>
            <w:shd w:val="clear" w:color="000000" w:fill="FFFFFF"/>
            <w:noWrap/>
            <w:vAlign w:val="bottom"/>
            <w:hideMark/>
          </w:tcPr>
          <w:p w14:paraId="1C645E4B"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0.9%</w:t>
            </w:r>
          </w:p>
        </w:tc>
        <w:tc>
          <w:tcPr>
            <w:tcW w:w="1778" w:type="dxa"/>
            <w:tcBorders>
              <w:top w:val="nil"/>
              <w:left w:val="nil"/>
              <w:bottom w:val="nil"/>
              <w:right w:val="single" w:sz="4" w:space="0" w:color="auto"/>
            </w:tcBorders>
            <w:shd w:val="clear" w:color="000000" w:fill="FFFFFF"/>
            <w:noWrap/>
            <w:vAlign w:val="bottom"/>
            <w:hideMark/>
          </w:tcPr>
          <w:p w14:paraId="518226C1"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9" w:type="dxa"/>
            <w:tcBorders>
              <w:top w:val="nil"/>
              <w:left w:val="nil"/>
              <w:bottom w:val="nil"/>
              <w:right w:val="single" w:sz="4" w:space="0" w:color="auto"/>
            </w:tcBorders>
            <w:shd w:val="clear" w:color="000000" w:fill="FFFFFF"/>
            <w:noWrap/>
            <w:vAlign w:val="bottom"/>
            <w:hideMark/>
          </w:tcPr>
          <w:p w14:paraId="0915AD35"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5.5%</w:t>
            </w:r>
          </w:p>
        </w:tc>
      </w:tr>
      <w:tr w:rsidR="00766396" w:rsidRPr="005A17D7" w14:paraId="6796F28F"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37BE409B"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18C153B3"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55 to 59</w:t>
            </w:r>
          </w:p>
        </w:tc>
        <w:tc>
          <w:tcPr>
            <w:tcW w:w="1778" w:type="dxa"/>
            <w:tcBorders>
              <w:top w:val="nil"/>
              <w:left w:val="nil"/>
              <w:bottom w:val="nil"/>
              <w:right w:val="nil"/>
            </w:tcBorders>
            <w:shd w:val="clear" w:color="000000" w:fill="FFFFFF"/>
            <w:noWrap/>
            <w:vAlign w:val="bottom"/>
            <w:hideMark/>
          </w:tcPr>
          <w:p w14:paraId="4BB4C841"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6.1%</w:t>
            </w:r>
          </w:p>
        </w:tc>
        <w:tc>
          <w:tcPr>
            <w:tcW w:w="1778" w:type="dxa"/>
            <w:tcBorders>
              <w:top w:val="nil"/>
              <w:left w:val="single" w:sz="4" w:space="0" w:color="auto"/>
              <w:bottom w:val="nil"/>
              <w:right w:val="single" w:sz="4" w:space="0" w:color="auto"/>
            </w:tcBorders>
            <w:shd w:val="clear" w:color="000000" w:fill="FFFFFF"/>
            <w:noWrap/>
            <w:vAlign w:val="bottom"/>
            <w:hideMark/>
          </w:tcPr>
          <w:p w14:paraId="7173315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1.8%</w:t>
            </w:r>
          </w:p>
        </w:tc>
        <w:tc>
          <w:tcPr>
            <w:tcW w:w="1778" w:type="dxa"/>
            <w:tcBorders>
              <w:top w:val="nil"/>
              <w:left w:val="nil"/>
              <w:bottom w:val="nil"/>
              <w:right w:val="single" w:sz="4" w:space="0" w:color="auto"/>
            </w:tcBorders>
            <w:shd w:val="clear" w:color="000000" w:fill="FFFFFF"/>
            <w:noWrap/>
            <w:vAlign w:val="bottom"/>
            <w:hideMark/>
          </w:tcPr>
          <w:p w14:paraId="6B39AF20"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9" w:type="dxa"/>
            <w:tcBorders>
              <w:top w:val="nil"/>
              <w:left w:val="nil"/>
              <w:bottom w:val="nil"/>
              <w:right w:val="single" w:sz="4" w:space="0" w:color="auto"/>
            </w:tcBorders>
            <w:shd w:val="clear" w:color="000000" w:fill="FFFFFF"/>
            <w:noWrap/>
            <w:vAlign w:val="bottom"/>
            <w:hideMark/>
          </w:tcPr>
          <w:p w14:paraId="1F003FA9"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6.5%</w:t>
            </w:r>
          </w:p>
        </w:tc>
      </w:tr>
      <w:tr w:rsidR="00766396" w:rsidRPr="005A17D7" w14:paraId="0360D29E"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24E452AF"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6644CB47"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60 to 64</w:t>
            </w:r>
          </w:p>
        </w:tc>
        <w:tc>
          <w:tcPr>
            <w:tcW w:w="1778" w:type="dxa"/>
            <w:tcBorders>
              <w:top w:val="nil"/>
              <w:left w:val="nil"/>
              <w:bottom w:val="nil"/>
              <w:right w:val="nil"/>
            </w:tcBorders>
            <w:shd w:val="clear" w:color="000000" w:fill="FFFFFF"/>
            <w:noWrap/>
            <w:vAlign w:val="bottom"/>
            <w:hideMark/>
          </w:tcPr>
          <w:p w14:paraId="78375C79"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3.7%</w:t>
            </w:r>
          </w:p>
        </w:tc>
        <w:tc>
          <w:tcPr>
            <w:tcW w:w="1778" w:type="dxa"/>
            <w:tcBorders>
              <w:top w:val="nil"/>
              <w:left w:val="single" w:sz="4" w:space="0" w:color="auto"/>
              <w:bottom w:val="nil"/>
              <w:right w:val="single" w:sz="4" w:space="0" w:color="auto"/>
            </w:tcBorders>
            <w:shd w:val="clear" w:color="000000" w:fill="FFFFFF"/>
            <w:noWrap/>
            <w:vAlign w:val="bottom"/>
            <w:hideMark/>
          </w:tcPr>
          <w:p w14:paraId="7EE38D8E"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3.1%</w:t>
            </w:r>
          </w:p>
        </w:tc>
        <w:tc>
          <w:tcPr>
            <w:tcW w:w="1778" w:type="dxa"/>
            <w:tcBorders>
              <w:top w:val="nil"/>
              <w:left w:val="nil"/>
              <w:bottom w:val="nil"/>
              <w:right w:val="single" w:sz="4" w:space="0" w:color="auto"/>
            </w:tcBorders>
            <w:shd w:val="clear" w:color="000000" w:fill="FFFFFF"/>
            <w:noWrap/>
            <w:vAlign w:val="bottom"/>
            <w:hideMark/>
          </w:tcPr>
          <w:p w14:paraId="7ABA8DAC"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9" w:type="dxa"/>
            <w:tcBorders>
              <w:top w:val="nil"/>
              <w:left w:val="nil"/>
              <w:bottom w:val="nil"/>
              <w:right w:val="single" w:sz="4" w:space="0" w:color="auto"/>
            </w:tcBorders>
            <w:shd w:val="clear" w:color="000000" w:fill="FFFFFF"/>
            <w:noWrap/>
            <w:vAlign w:val="bottom"/>
            <w:hideMark/>
          </w:tcPr>
          <w:p w14:paraId="61DA00E2"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5.7%</w:t>
            </w:r>
          </w:p>
        </w:tc>
      </w:tr>
      <w:tr w:rsidR="00766396" w:rsidRPr="005A17D7" w14:paraId="5B3585B1"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347CBC2F"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304C272D"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65 to 69</w:t>
            </w:r>
          </w:p>
        </w:tc>
        <w:tc>
          <w:tcPr>
            <w:tcW w:w="1778" w:type="dxa"/>
            <w:tcBorders>
              <w:top w:val="nil"/>
              <w:left w:val="nil"/>
              <w:bottom w:val="nil"/>
              <w:right w:val="nil"/>
            </w:tcBorders>
            <w:shd w:val="clear" w:color="000000" w:fill="FFFFFF"/>
            <w:noWrap/>
            <w:vAlign w:val="bottom"/>
            <w:hideMark/>
          </w:tcPr>
          <w:p w14:paraId="7487A37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2.4%</w:t>
            </w:r>
          </w:p>
        </w:tc>
        <w:tc>
          <w:tcPr>
            <w:tcW w:w="1778" w:type="dxa"/>
            <w:tcBorders>
              <w:top w:val="nil"/>
              <w:left w:val="single" w:sz="4" w:space="0" w:color="auto"/>
              <w:bottom w:val="nil"/>
              <w:right w:val="single" w:sz="4" w:space="0" w:color="auto"/>
            </w:tcBorders>
            <w:shd w:val="clear" w:color="000000" w:fill="FFFFFF"/>
            <w:noWrap/>
            <w:vAlign w:val="bottom"/>
            <w:hideMark/>
          </w:tcPr>
          <w:p w14:paraId="1297F0D1"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3.7%</w:t>
            </w:r>
          </w:p>
        </w:tc>
        <w:tc>
          <w:tcPr>
            <w:tcW w:w="1778" w:type="dxa"/>
            <w:tcBorders>
              <w:top w:val="nil"/>
              <w:left w:val="nil"/>
              <w:bottom w:val="nil"/>
              <w:right w:val="single" w:sz="4" w:space="0" w:color="auto"/>
            </w:tcBorders>
            <w:shd w:val="clear" w:color="000000" w:fill="FFFFFF"/>
            <w:noWrap/>
            <w:vAlign w:val="bottom"/>
            <w:hideMark/>
          </w:tcPr>
          <w:p w14:paraId="69FE45E2"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0.0%</w:t>
            </w:r>
          </w:p>
        </w:tc>
        <w:tc>
          <w:tcPr>
            <w:tcW w:w="1779" w:type="dxa"/>
            <w:tcBorders>
              <w:top w:val="nil"/>
              <w:left w:val="nil"/>
              <w:bottom w:val="nil"/>
              <w:right w:val="single" w:sz="4" w:space="0" w:color="auto"/>
            </w:tcBorders>
            <w:shd w:val="clear" w:color="000000" w:fill="FFFFFF"/>
            <w:noWrap/>
            <w:vAlign w:val="bottom"/>
            <w:hideMark/>
          </w:tcPr>
          <w:p w14:paraId="5ACBE5A3"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3.7%</w:t>
            </w:r>
          </w:p>
        </w:tc>
      </w:tr>
      <w:tr w:rsidR="00766396" w:rsidRPr="005A17D7" w14:paraId="7784488E"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2F56AB39"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2AF36DF8"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70 to 74</w:t>
            </w:r>
          </w:p>
        </w:tc>
        <w:tc>
          <w:tcPr>
            <w:tcW w:w="1778" w:type="dxa"/>
            <w:tcBorders>
              <w:top w:val="nil"/>
              <w:left w:val="nil"/>
              <w:bottom w:val="nil"/>
              <w:right w:val="nil"/>
            </w:tcBorders>
            <w:shd w:val="clear" w:color="000000" w:fill="FFFFFF"/>
            <w:noWrap/>
            <w:vAlign w:val="bottom"/>
            <w:hideMark/>
          </w:tcPr>
          <w:p w14:paraId="57CE88C7"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1.3%</w:t>
            </w:r>
          </w:p>
        </w:tc>
        <w:tc>
          <w:tcPr>
            <w:tcW w:w="1778" w:type="dxa"/>
            <w:tcBorders>
              <w:top w:val="nil"/>
              <w:left w:val="single" w:sz="4" w:space="0" w:color="auto"/>
              <w:bottom w:val="nil"/>
              <w:right w:val="single" w:sz="4" w:space="0" w:color="auto"/>
            </w:tcBorders>
            <w:shd w:val="clear" w:color="000000" w:fill="FFFFFF"/>
            <w:noWrap/>
            <w:vAlign w:val="bottom"/>
            <w:hideMark/>
          </w:tcPr>
          <w:p w14:paraId="29621149"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4.5%</w:t>
            </w:r>
          </w:p>
        </w:tc>
        <w:tc>
          <w:tcPr>
            <w:tcW w:w="1778" w:type="dxa"/>
            <w:tcBorders>
              <w:top w:val="nil"/>
              <w:left w:val="nil"/>
              <w:bottom w:val="nil"/>
              <w:right w:val="single" w:sz="4" w:space="0" w:color="auto"/>
            </w:tcBorders>
            <w:shd w:val="clear" w:color="000000" w:fill="D9D9D9"/>
            <w:noWrap/>
            <w:vAlign w:val="bottom"/>
            <w:hideMark/>
          </w:tcPr>
          <w:p w14:paraId="323DF2F0"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nil"/>
              <w:right w:val="single" w:sz="4" w:space="0" w:color="auto"/>
            </w:tcBorders>
            <w:shd w:val="clear" w:color="000000" w:fill="FFFFFF"/>
            <w:noWrap/>
            <w:vAlign w:val="bottom"/>
            <w:hideMark/>
          </w:tcPr>
          <w:p w14:paraId="0D9DBDBA"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2.5%</w:t>
            </w:r>
          </w:p>
        </w:tc>
      </w:tr>
      <w:tr w:rsidR="00766396" w:rsidRPr="005A17D7" w14:paraId="27F0DF75"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28E0746F"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45DFA21D"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75 to 79</w:t>
            </w:r>
          </w:p>
        </w:tc>
        <w:tc>
          <w:tcPr>
            <w:tcW w:w="1778" w:type="dxa"/>
            <w:tcBorders>
              <w:top w:val="nil"/>
              <w:left w:val="nil"/>
              <w:bottom w:val="nil"/>
              <w:right w:val="nil"/>
            </w:tcBorders>
            <w:shd w:val="clear" w:color="000000" w:fill="FFFFFF"/>
            <w:noWrap/>
            <w:vAlign w:val="bottom"/>
            <w:hideMark/>
          </w:tcPr>
          <w:p w14:paraId="2F5AF992"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0.6%</w:t>
            </w:r>
          </w:p>
        </w:tc>
        <w:tc>
          <w:tcPr>
            <w:tcW w:w="1778" w:type="dxa"/>
            <w:tcBorders>
              <w:top w:val="nil"/>
              <w:left w:val="single" w:sz="4" w:space="0" w:color="auto"/>
              <w:bottom w:val="nil"/>
              <w:right w:val="single" w:sz="4" w:space="0" w:color="auto"/>
            </w:tcBorders>
            <w:shd w:val="clear" w:color="000000" w:fill="FFFFFF"/>
            <w:noWrap/>
            <w:vAlign w:val="bottom"/>
            <w:hideMark/>
          </w:tcPr>
          <w:p w14:paraId="50251102"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4.7%</w:t>
            </w:r>
          </w:p>
        </w:tc>
        <w:tc>
          <w:tcPr>
            <w:tcW w:w="1778" w:type="dxa"/>
            <w:tcBorders>
              <w:top w:val="nil"/>
              <w:left w:val="nil"/>
              <w:bottom w:val="nil"/>
              <w:right w:val="single" w:sz="4" w:space="0" w:color="auto"/>
            </w:tcBorders>
            <w:shd w:val="clear" w:color="000000" w:fill="D9D9D9"/>
            <w:noWrap/>
            <w:vAlign w:val="bottom"/>
            <w:hideMark/>
          </w:tcPr>
          <w:p w14:paraId="390A51B1"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nil"/>
              <w:right w:val="single" w:sz="4" w:space="0" w:color="auto"/>
            </w:tcBorders>
            <w:shd w:val="clear" w:color="000000" w:fill="FFFFFF"/>
            <w:noWrap/>
            <w:vAlign w:val="bottom"/>
            <w:hideMark/>
          </w:tcPr>
          <w:p w14:paraId="5BECD694"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1.5%</w:t>
            </w:r>
          </w:p>
        </w:tc>
      </w:tr>
      <w:tr w:rsidR="00766396" w:rsidRPr="005A17D7" w14:paraId="364B4298"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5EB9505D"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064CD6DB"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80 to 84</w:t>
            </w:r>
          </w:p>
        </w:tc>
        <w:tc>
          <w:tcPr>
            <w:tcW w:w="1778" w:type="dxa"/>
            <w:tcBorders>
              <w:top w:val="nil"/>
              <w:left w:val="nil"/>
              <w:bottom w:val="nil"/>
              <w:right w:val="nil"/>
            </w:tcBorders>
            <w:shd w:val="clear" w:color="000000" w:fill="FFFFFF"/>
            <w:noWrap/>
            <w:vAlign w:val="bottom"/>
            <w:hideMark/>
          </w:tcPr>
          <w:p w14:paraId="4CDB4595"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8" w:type="dxa"/>
            <w:tcBorders>
              <w:top w:val="nil"/>
              <w:left w:val="single" w:sz="4" w:space="0" w:color="auto"/>
              <w:bottom w:val="nil"/>
              <w:right w:val="single" w:sz="4" w:space="0" w:color="auto"/>
            </w:tcBorders>
            <w:shd w:val="clear" w:color="000000" w:fill="FFFFFF"/>
            <w:noWrap/>
            <w:vAlign w:val="bottom"/>
            <w:hideMark/>
          </w:tcPr>
          <w:p w14:paraId="13093D8C"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4.6%</w:t>
            </w:r>
          </w:p>
        </w:tc>
        <w:tc>
          <w:tcPr>
            <w:tcW w:w="1778" w:type="dxa"/>
            <w:tcBorders>
              <w:top w:val="nil"/>
              <w:left w:val="nil"/>
              <w:bottom w:val="nil"/>
              <w:right w:val="single" w:sz="4" w:space="0" w:color="auto"/>
            </w:tcBorders>
            <w:shd w:val="clear" w:color="000000" w:fill="D9D9D9"/>
            <w:noWrap/>
            <w:vAlign w:val="bottom"/>
            <w:hideMark/>
          </w:tcPr>
          <w:p w14:paraId="648AE439"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nil"/>
              <w:right w:val="single" w:sz="4" w:space="0" w:color="auto"/>
            </w:tcBorders>
            <w:shd w:val="clear" w:color="000000" w:fill="FFFFFF"/>
            <w:noWrap/>
            <w:vAlign w:val="bottom"/>
            <w:hideMark/>
          </w:tcPr>
          <w:p w14:paraId="3F6239AC"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1.0%</w:t>
            </w:r>
          </w:p>
        </w:tc>
      </w:tr>
      <w:tr w:rsidR="00766396" w:rsidRPr="005A17D7" w14:paraId="2DE0125F"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00468329"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Male</w:t>
            </w:r>
          </w:p>
        </w:tc>
        <w:tc>
          <w:tcPr>
            <w:tcW w:w="865" w:type="dxa"/>
            <w:tcBorders>
              <w:top w:val="nil"/>
              <w:left w:val="nil"/>
              <w:bottom w:val="single" w:sz="4" w:space="0" w:color="auto"/>
              <w:right w:val="single" w:sz="4" w:space="0" w:color="auto"/>
            </w:tcBorders>
            <w:shd w:val="clear" w:color="000000" w:fill="FFFFFF"/>
            <w:noWrap/>
            <w:vAlign w:val="bottom"/>
            <w:hideMark/>
          </w:tcPr>
          <w:p w14:paraId="2C226961"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 xml:space="preserve">85 </w:t>
            </w:r>
            <w:r>
              <w:rPr>
                <w:rFonts w:cstheme="minorHAnsi"/>
                <w:color w:val="000000"/>
                <w:sz w:val="20"/>
                <w:szCs w:val="20"/>
              </w:rPr>
              <w:t>plus</w:t>
            </w:r>
          </w:p>
        </w:tc>
        <w:tc>
          <w:tcPr>
            <w:tcW w:w="1778" w:type="dxa"/>
            <w:tcBorders>
              <w:top w:val="nil"/>
              <w:left w:val="nil"/>
              <w:bottom w:val="single" w:sz="4" w:space="0" w:color="auto"/>
              <w:right w:val="nil"/>
            </w:tcBorders>
            <w:shd w:val="clear" w:color="000000" w:fill="FFFFFF"/>
            <w:noWrap/>
            <w:vAlign w:val="bottom"/>
            <w:hideMark/>
          </w:tcPr>
          <w:p w14:paraId="3F316B88"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8" w:type="dxa"/>
            <w:tcBorders>
              <w:top w:val="nil"/>
              <w:left w:val="single" w:sz="4" w:space="0" w:color="auto"/>
              <w:bottom w:val="single" w:sz="4" w:space="0" w:color="auto"/>
              <w:right w:val="single" w:sz="4" w:space="0" w:color="auto"/>
            </w:tcBorders>
            <w:shd w:val="clear" w:color="000000" w:fill="FFFFFF"/>
            <w:noWrap/>
            <w:vAlign w:val="bottom"/>
            <w:hideMark/>
          </w:tcPr>
          <w:p w14:paraId="65F71898"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10.1%</w:t>
            </w:r>
          </w:p>
        </w:tc>
        <w:tc>
          <w:tcPr>
            <w:tcW w:w="1778" w:type="dxa"/>
            <w:tcBorders>
              <w:top w:val="nil"/>
              <w:left w:val="nil"/>
              <w:bottom w:val="single" w:sz="4" w:space="0" w:color="auto"/>
              <w:right w:val="single" w:sz="4" w:space="0" w:color="auto"/>
            </w:tcBorders>
            <w:shd w:val="clear" w:color="000000" w:fill="D9D9D9"/>
            <w:noWrap/>
            <w:vAlign w:val="bottom"/>
            <w:hideMark/>
          </w:tcPr>
          <w:p w14:paraId="53777767"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single" w:sz="4" w:space="0" w:color="auto"/>
              <w:right w:val="single" w:sz="4" w:space="0" w:color="auto"/>
            </w:tcBorders>
            <w:shd w:val="clear" w:color="000000" w:fill="FFFFFF"/>
            <w:noWrap/>
            <w:vAlign w:val="bottom"/>
            <w:hideMark/>
          </w:tcPr>
          <w:p w14:paraId="292C91BF"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2.1%</w:t>
            </w:r>
          </w:p>
        </w:tc>
      </w:tr>
      <w:tr w:rsidR="00766396" w:rsidRPr="005A17D7" w14:paraId="7CE5358A" w14:textId="77777777" w:rsidTr="007F6696">
        <w:trPr>
          <w:trHeight w:hRule="exact" w:val="252"/>
        </w:trPr>
        <w:tc>
          <w:tcPr>
            <w:tcW w:w="71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2D9304"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single" w:sz="4" w:space="0" w:color="auto"/>
              <w:left w:val="nil"/>
              <w:bottom w:val="single" w:sz="4" w:space="0" w:color="auto"/>
              <w:right w:val="single" w:sz="4" w:space="0" w:color="auto"/>
            </w:tcBorders>
            <w:shd w:val="clear" w:color="000000" w:fill="FFFFFF"/>
            <w:noWrap/>
            <w:vAlign w:val="bottom"/>
            <w:hideMark/>
          </w:tcPr>
          <w:p w14:paraId="576DC563"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Under 5</w:t>
            </w:r>
          </w:p>
        </w:tc>
        <w:tc>
          <w:tcPr>
            <w:tcW w:w="1778" w:type="dxa"/>
            <w:tcBorders>
              <w:top w:val="single" w:sz="4" w:space="0" w:color="auto"/>
              <w:left w:val="nil"/>
              <w:bottom w:val="nil"/>
              <w:right w:val="nil"/>
            </w:tcBorders>
            <w:shd w:val="clear" w:color="000000" w:fill="D9D9D9"/>
            <w:noWrap/>
            <w:vAlign w:val="bottom"/>
            <w:hideMark/>
          </w:tcPr>
          <w:p w14:paraId="293A4500"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single" w:sz="4" w:space="0" w:color="auto"/>
              <w:left w:val="single" w:sz="4" w:space="0" w:color="auto"/>
              <w:bottom w:val="nil"/>
              <w:right w:val="single" w:sz="4" w:space="0" w:color="auto"/>
            </w:tcBorders>
            <w:shd w:val="clear" w:color="000000" w:fill="D9D9D9"/>
            <w:noWrap/>
            <w:vAlign w:val="bottom"/>
            <w:hideMark/>
          </w:tcPr>
          <w:p w14:paraId="3B75E944"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single" w:sz="4" w:space="0" w:color="auto"/>
              <w:left w:val="nil"/>
              <w:bottom w:val="nil"/>
              <w:right w:val="single" w:sz="4" w:space="0" w:color="auto"/>
            </w:tcBorders>
            <w:shd w:val="clear" w:color="000000" w:fill="D9D9D9"/>
            <w:noWrap/>
            <w:vAlign w:val="bottom"/>
            <w:hideMark/>
          </w:tcPr>
          <w:p w14:paraId="3582AE7E"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single" w:sz="4" w:space="0" w:color="auto"/>
              <w:left w:val="nil"/>
              <w:bottom w:val="nil"/>
              <w:right w:val="single" w:sz="4" w:space="0" w:color="auto"/>
            </w:tcBorders>
            <w:shd w:val="clear" w:color="000000" w:fill="FFFFFF"/>
            <w:noWrap/>
            <w:vAlign w:val="bottom"/>
            <w:hideMark/>
          </w:tcPr>
          <w:p w14:paraId="716CFAFA"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0.7%</w:t>
            </w:r>
          </w:p>
        </w:tc>
      </w:tr>
      <w:tr w:rsidR="00766396" w:rsidRPr="005A17D7" w14:paraId="4259F8C6"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0043DE8E"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46BDA4F5"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5 to 9</w:t>
            </w:r>
          </w:p>
        </w:tc>
        <w:tc>
          <w:tcPr>
            <w:tcW w:w="1778" w:type="dxa"/>
            <w:tcBorders>
              <w:top w:val="nil"/>
              <w:left w:val="nil"/>
              <w:bottom w:val="nil"/>
              <w:right w:val="nil"/>
            </w:tcBorders>
            <w:shd w:val="clear" w:color="000000" w:fill="D9D9D9"/>
            <w:noWrap/>
            <w:vAlign w:val="bottom"/>
            <w:hideMark/>
          </w:tcPr>
          <w:p w14:paraId="746E2DC2"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nil"/>
              <w:left w:val="single" w:sz="4" w:space="0" w:color="auto"/>
              <w:bottom w:val="nil"/>
              <w:right w:val="single" w:sz="4" w:space="0" w:color="auto"/>
            </w:tcBorders>
            <w:shd w:val="clear" w:color="000000" w:fill="D9D9D9"/>
            <w:noWrap/>
            <w:vAlign w:val="bottom"/>
            <w:hideMark/>
          </w:tcPr>
          <w:p w14:paraId="41DE6323"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nil"/>
              <w:left w:val="nil"/>
              <w:bottom w:val="nil"/>
              <w:right w:val="single" w:sz="4" w:space="0" w:color="auto"/>
            </w:tcBorders>
            <w:shd w:val="clear" w:color="000000" w:fill="D9D9D9"/>
            <w:noWrap/>
            <w:vAlign w:val="bottom"/>
            <w:hideMark/>
          </w:tcPr>
          <w:p w14:paraId="0B8E12B4"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nil"/>
              <w:right w:val="single" w:sz="4" w:space="0" w:color="auto"/>
            </w:tcBorders>
            <w:shd w:val="clear" w:color="000000" w:fill="FFFFFF"/>
            <w:noWrap/>
            <w:vAlign w:val="bottom"/>
            <w:hideMark/>
          </w:tcPr>
          <w:p w14:paraId="647046D3"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0.3%</w:t>
            </w:r>
          </w:p>
        </w:tc>
      </w:tr>
      <w:tr w:rsidR="00766396" w:rsidRPr="005A17D7" w14:paraId="0161C90F"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10A9A1E5"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56B47920"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10 to 14</w:t>
            </w:r>
          </w:p>
        </w:tc>
        <w:tc>
          <w:tcPr>
            <w:tcW w:w="1778" w:type="dxa"/>
            <w:tcBorders>
              <w:top w:val="nil"/>
              <w:left w:val="nil"/>
              <w:bottom w:val="nil"/>
              <w:right w:val="nil"/>
            </w:tcBorders>
            <w:shd w:val="clear" w:color="000000" w:fill="D9D9D9"/>
            <w:noWrap/>
            <w:vAlign w:val="bottom"/>
            <w:hideMark/>
          </w:tcPr>
          <w:p w14:paraId="64979D89"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nil"/>
              <w:left w:val="single" w:sz="4" w:space="0" w:color="auto"/>
              <w:bottom w:val="nil"/>
              <w:right w:val="single" w:sz="4" w:space="0" w:color="auto"/>
            </w:tcBorders>
            <w:shd w:val="clear" w:color="000000" w:fill="D9D9D9"/>
            <w:noWrap/>
            <w:vAlign w:val="bottom"/>
            <w:hideMark/>
          </w:tcPr>
          <w:p w14:paraId="2783739A"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nil"/>
              <w:left w:val="nil"/>
              <w:bottom w:val="nil"/>
              <w:right w:val="single" w:sz="4" w:space="0" w:color="auto"/>
            </w:tcBorders>
            <w:shd w:val="clear" w:color="000000" w:fill="D9D9D9"/>
            <w:noWrap/>
            <w:vAlign w:val="bottom"/>
            <w:hideMark/>
          </w:tcPr>
          <w:p w14:paraId="78F6A4D2"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nil"/>
              <w:right w:val="single" w:sz="4" w:space="0" w:color="auto"/>
            </w:tcBorders>
            <w:shd w:val="clear" w:color="000000" w:fill="FFFFFF"/>
            <w:noWrap/>
            <w:vAlign w:val="bottom"/>
            <w:hideMark/>
          </w:tcPr>
          <w:p w14:paraId="291E103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0.3%</w:t>
            </w:r>
          </w:p>
        </w:tc>
      </w:tr>
      <w:tr w:rsidR="00766396" w:rsidRPr="005A17D7" w14:paraId="034879AD"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1F6AF036"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648DFE17"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15 to 19</w:t>
            </w:r>
          </w:p>
        </w:tc>
        <w:tc>
          <w:tcPr>
            <w:tcW w:w="1778" w:type="dxa"/>
            <w:tcBorders>
              <w:top w:val="nil"/>
              <w:left w:val="nil"/>
              <w:bottom w:val="nil"/>
              <w:right w:val="nil"/>
            </w:tcBorders>
            <w:shd w:val="clear" w:color="000000" w:fill="FFFFFF"/>
            <w:noWrap/>
            <w:vAlign w:val="bottom"/>
            <w:hideMark/>
          </w:tcPr>
          <w:p w14:paraId="36599FB8"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0.0%</w:t>
            </w:r>
          </w:p>
        </w:tc>
        <w:tc>
          <w:tcPr>
            <w:tcW w:w="1778" w:type="dxa"/>
            <w:tcBorders>
              <w:top w:val="nil"/>
              <w:left w:val="single" w:sz="4" w:space="0" w:color="auto"/>
              <w:bottom w:val="nil"/>
              <w:right w:val="single" w:sz="4" w:space="0" w:color="auto"/>
            </w:tcBorders>
            <w:shd w:val="clear" w:color="000000" w:fill="D9D9D9"/>
            <w:noWrap/>
            <w:vAlign w:val="bottom"/>
            <w:hideMark/>
          </w:tcPr>
          <w:p w14:paraId="27513275"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8" w:type="dxa"/>
            <w:tcBorders>
              <w:top w:val="nil"/>
              <w:left w:val="nil"/>
              <w:bottom w:val="nil"/>
              <w:right w:val="single" w:sz="4" w:space="0" w:color="auto"/>
            </w:tcBorders>
            <w:shd w:val="clear" w:color="000000" w:fill="FFFFFF"/>
            <w:noWrap/>
            <w:vAlign w:val="bottom"/>
            <w:hideMark/>
          </w:tcPr>
          <w:p w14:paraId="71097975"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21.7%</w:t>
            </w:r>
          </w:p>
        </w:tc>
        <w:tc>
          <w:tcPr>
            <w:tcW w:w="1779" w:type="dxa"/>
            <w:tcBorders>
              <w:top w:val="nil"/>
              <w:left w:val="nil"/>
              <w:bottom w:val="nil"/>
              <w:right w:val="single" w:sz="4" w:space="0" w:color="auto"/>
            </w:tcBorders>
            <w:shd w:val="clear" w:color="000000" w:fill="FFFFFF"/>
            <w:noWrap/>
            <w:vAlign w:val="bottom"/>
            <w:hideMark/>
          </w:tcPr>
          <w:p w14:paraId="13857E3C"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1.5%</w:t>
            </w:r>
          </w:p>
        </w:tc>
      </w:tr>
      <w:tr w:rsidR="00766396" w:rsidRPr="005A17D7" w14:paraId="298873F8"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0E7085F7"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0DD01D57"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20 to 24</w:t>
            </w:r>
          </w:p>
        </w:tc>
        <w:tc>
          <w:tcPr>
            <w:tcW w:w="1778" w:type="dxa"/>
            <w:tcBorders>
              <w:top w:val="nil"/>
              <w:left w:val="nil"/>
              <w:bottom w:val="nil"/>
              <w:right w:val="nil"/>
            </w:tcBorders>
            <w:shd w:val="clear" w:color="000000" w:fill="FFFFFF"/>
            <w:noWrap/>
            <w:vAlign w:val="bottom"/>
            <w:hideMark/>
          </w:tcPr>
          <w:p w14:paraId="04025D76"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0.4%</w:t>
            </w:r>
          </w:p>
        </w:tc>
        <w:tc>
          <w:tcPr>
            <w:tcW w:w="1778" w:type="dxa"/>
            <w:tcBorders>
              <w:top w:val="nil"/>
              <w:left w:val="single" w:sz="4" w:space="0" w:color="auto"/>
              <w:bottom w:val="nil"/>
              <w:right w:val="single" w:sz="4" w:space="0" w:color="auto"/>
            </w:tcBorders>
            <w:shd w:val="clear" w:color="000000" w:fill="FFFFFF"/>
            <w:noWrap/>
            <w:vAlign w:val="bottom"/>
            <w:hideMark/>
          </w:tcPr>
          <w:p w14:paraId="69C83CF3"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8" w:type="dxa"/>
            <w:tcBorders>
              <w:top w:val="nil"/>
              <w:left w:val="nil"/>
              <w:bottom w:val="nil"/>
              <w:right w:val="single" w:sz="4" w:space="0" w:color="auto"/>
            </w:tcBorders>
            <w:shd w:val="clear" w:color="000000" w:fill="FFFFFF"/>
            <w:noWrap/>
            <w:vAlign w:val="bottom"/>
            <w:hideMark/>
          </w:tcPr>
          <w:p w14:paraId="41D72240"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30.1%</w:t>
            </w:r>
          </w:p>
        </w:tc>
        <w:tc>
          <w:tcPr>
            <w:tcW w:w="1779" w:type="dxa"/>
            <w:tcBorders>
              <w:top w:val="nil"/>
              <w:left w:val="nil"/>
              <w:bottom w:val="nil"/>
              <w:right w:val="single" w:sz="4" w:space="0" w:color="auto"/>
            </w:tcBorders>
            <w:shd w:val="clear" w:color="000000" w:fill="FFFFFF"/>
            <w:noWrap/>
            <w:vAlign w:val="bottom"/>
            <w:hideMark/>
          </w:tcPr>
          <w:p w14:paraId="7549C145"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2.5%</w:t>
            </w:r>
          </w:p>
        </w:tc>
      </w:tr>
      <w:tr w:rsidR="00766396" w:rsidRPr="005A17D7" w14:paraId="699D9D22"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72D5CD54"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0F33005C"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25 to 29</w:t>
            </w:r>
          </w:p>
        </w:tc>
        <w:tc>
          <w:tcPr>
            <w:tcW w:w="1778" w:type="dxa"/>
            <w:tcBorders>
              <w:top w:val="nil"/>
              <w:left w:val="nil"/>
              <w:bottom w:val="nil"/>
              <w:right w:val="nil"/>
            </w:tcBorders>
            <w:shd w:val="clear" w:color="000000" w:fill="FFFFFF"/>
            <w:noWrap/>
            <w:vAlign w:val="bottom"/>
            <w:hideMark/>
          </w:tcPr>
          <w:p w14:paraId="32A1922E"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0.7%</w:t>
            </w:r>
          </w:p>
        </w:tc>
        <w:tc>
          <w:tcPr>
            <w:tcW w:w="1778" w:type="dxa"/>
            <w:tcBorders>
              <w:top w:val="nil"/>
              <w:left w:val="single" w:sz="4" w:space="0" w:color="auto"/>
              <w:bottom w:val="nil"/>
              <w:right w:val="single" w:sz="4" w:space="0" w:color="auto"/>
            </w:tcBorders>
            <w:shd w:val="clear" w:color="000000" w:fill="FFFFFF"/>
            <w:noWrap/>
            <w:vAlign w:val="bottom"/>
            <w:hideMark/>
          </w:tcPr>
          <w:p w14:paraId="7B71B07F"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8" w:type="dxa"/>
            <w:tcBorders>
              <w:top w:val="nil"/>
              <w:left w:val="nil"/>
              <w:bottom w:val="nil"/>
              <w:right w:val="single" w:sz="4" w:space="0" w:color="auto"/>
            </w:tcBorders>
            <w:shd w:val="clear" w:color="000000" w:fill="FFFFFF"/>
            <w:noWrap/>
            <w:vAlign w:val="bottom"/>
            <w:hideMark/>
          </w:tcPr>
          <w:p w14:paraId="538CE468"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1.8%</w:t>
            </w:r>
          </w:p>
        </w:tc>
        <w:tc>
          <w:tcPr>
            <w:tcW w:w="1779" w:type="dxa"/>
            <w:tcBorders>
              <w:top w:val="nil"/>
              <w:left w:val="nil"/>
              <w:bottom w:val="nil"/>
              <w:right w:val="single" w:sz="4" w:space="0" w:color="auto"/>
            </w:tcBorders>
            <w:shd w:val="clear" w:color="000000" w:fill="FFFFFF"/>
            <w:noWrap/>
            <w:vAlign w:val="bottom"/>
            <w:hideMark/>
          </w:tcPr>
          <w:p w14:paraId="5F2355C0"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3.0%</w:t>
            </w:r>
          </w:p>
        </w:tc>
      </w:tr>
      <w:tr w:rsidR="00766396" w:rsidRPr="005A17D7" w14:paraId="4F5EAE7F"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5EA22141"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0CE296C7"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30 to 34</w:t>
            </w:r>
          </w:p>
        </w:tc>
        <w:tc>
          <w:tcPr>
            <w:tcW w:w="1778" w:type="dxa"/>
            <w:tcBorders>
              <w:top w:val="nil"/>
              <w:left w:val="nil"/>
              <w:bottom w:val="nil"/>
              <w:right w:val="nil"/>
            </w:tcBorders>
            <w:shd w:val="clear" w:color="000000" w:fill="FFFFFF"/>
            <w:noWrap/>
            <w:vAlign w:val="bottom"/>
            <w:hideMark/>
          </w:tcPr>
          <w:p w14:paraId="6BBF13C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0.9%</w:t>
            </w:r>
          </w:p>
        </w:tc>
        <w:tc>
          <w:tcPr>
            <w:tcW w:w="1778" w:type="dxa"/>
            <w:tcBorders>
              <w:top w:val="nil"/>
              <w:left w:val="single" w:sz="4" w:space="0" w:color="auto"/>
              <w:bottom w:val="nil"/>
              <w:right w:val="single" w:sz="4" w:space="0" w:color="auto"/>
            </w:tcBorders>
            <w:shd w:val="clear" w:color="000000" w:fill="FFFFFF"/>
            <w:noWrap/>
            <w:vAlign w:val="bottom"/>
            <w:hideMark/>
          </w:tcPr>
          <w:p w14:paraId="1C679291"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8" w:type="dxa"/>
            <w:tcBorders>
              <w:top w:val="nil"/>
              <w:left w:val="nil"/>
              <w:bottom w:val="nil"/>
              <w:right w:val="single" w:sz="4" w:space="0" w:color="auto"/>
            </w:tcBorders>
            <w:shd w:val="clear" w:color="000000" w:fill="FFFFFF"/>
            <w:noWrap/>
            <w:vAlign w:val="bottom"/>
            <w:hideMark/>
          </w:tcPr>
          <w:p w14:paraId="4C6E7827"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0.5%</w:t>
            </w:r>
          </w:p>
        </w:tc>
        <w:tc>
          <w:tcPr>
            <w:tcW w:w="1779" w:type="dxa"/>
            <w:tcBorders>
              <w:top w:val="nil"/>
              <w:left w:val="nil"/>
              <w:bottom w:val="nil"/>
              <w:right w:val="single" w:sz="4" w:space="0" w:color="auto"/>
            </w:tcBorders>
            <w:shd w:val="clear" w:color="000000" w:fill="FFFFFF"/>
            <w:noWrap/>
            <w:vAlign w:val="bottom"/>
            <w:hideMark/>
          </w:tcPr>
          <w:p w14:paraId="450441D7"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3.6%</w:t>
            </w:r>
          </w:p>
        </w:tc>
      </w:tr>
      <w:tr w:rsidR="00766396" w:rsidRPr="005A17D7" w14:paraId="13F3FF17"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7E590C5C"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393C178A"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35 to 39</w:t>
            </w:r>
          </w:p>
        </w:tc>
        <w:tc>
          <w:tcPr>
            <w:tcW w:w="1778" w:type="dxa"/>
            <w:tcBorders>
              <w:top w:val="nil"/>
              <w:left w:val="nil"/>
              <w:bottom w:val="nil"/>
              <w:right w:val="nil"/>
            </w:tcBorders>
            <w:shd w:val="clear" w:color="000000" w:fill="FFFFFF"/>
            <w:noWrap/>
            <w:vAlign w:val="bottom"/>
            <w:hideMark/>
          </w:tcPr>
          <w:p w14:paraId="515FD52F"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0.9%</w:t>
            </w:r>
          </w:p>
        </w:tc>
        <w:tc>
          <w:tcPr>
            <w:tcW w:w="1778" w:type="dxa"/>
            <w:tcBorders>
              <w:top w:val="nil"/>
              <w:left w:val="single" w:sz="4" w:space="0" w:color="auto"/>
              <w:bottom w:val="nil"/>
              <w:right w:val="single" w:sz="4" w:space="0" w:color="auto"/>
            </w:tcBorders>
            <w:shd w:val="clear" w:color="000000" w:fill="FFFFFF"/>
            <w:noWrap/>
            <w:vAlign w:val="bottom"/>
            <w:hideMark/>
          </w:tcPr>
          <w:p w14:paraId="648253EC"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8" w:type="dxa"/>
            <w:tcBorders>
              <w:top w:val="nil"/>
              <w:left w:val="nil"/>
              <w:bottom w:val="nil"/>
              <w:right w:val="single" w:sz="4" w:space="0" w:color="auto"/>
            </w:tcBorders>
            <w:shd w:val="clear" w:color="000000" w:fill="FFFFFF"/>
            <w:noWrap/>
            <w:vAlign w:val="bottom"/>
            <w:hideMark/>
          </w:tcPr>
          <w:p w14:paraId="76DA7B7E"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0.2%</w:t>
            </w:r>
          </w:p>
        </w:tc>
        <w:tc>
          <w:tcPr>
            <w:tcW w:w="1779" w:type="dxa"/>
            <w:tcBorders>
              <w:top w:val="nil"/>
              <w:left w:val="nil"/>
              <w:bottom w:val="nil"/>
              <w:right w:val="single" w:sz="4" w:space="0" w:color="auto"/>
            </w:tcBorders>
            <w:shd w:val="clear" w:color="000000" w:fill="FFFFFF"/>
            <w:noWrap/>
            <w:vAlign w:val="bottom"/>
            <w:hideMark/>
          </w:tcPr>
          <w:p w14:paraId="36C08D28"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2.8%</w:t>
            </w:r>
          </w:p>
        </w:tc>
      </w:tr>
      <w:tr w:rsidR="00766396" w:rsidRPr="005A17D7" w14:paraId="29E11A0A"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128DDABE"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670D6624"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40 to 44</w:t>
            </w:r>
          </w:p>
        </w:tc>
        <w:tc>
          <w:tcPr>
            <w:tcW w:w="1778" w:type="dxa"/>
            <w:tcBorders>
              <w:top w:val="nil"/>
              <w:left w:val="nil"/>
              <w:bottom w:val="nil"/>
              <w:right w:val="nil"/>
            </w:tcBorders>
            <w:shd w:val="clear" w:color="000000" w:fill="FFFFFF"/>
            <w:noWrap/>
            <w:vAlign w:val="bottom"/>
            <w:hideMark/>
          </w:tcPr>
          <w:p w14:paraId="081458FC"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0.5%</w:t>
            </w:r>
          </w:p>
        </w:tc>
        <w:tc>
          <w:tcPr>
            <w:tcW w:w="1778" w:type="dxa"/>
            <w:tcBorders>
              <w:top w:val="nil"/>
              <w:left w:val="single" w:sz="4" w:space="0" w:color="auto"/>
              <w:bottom w:val="nil"/>
              <w:right w:val="single" w:sz="4" w:space="0" w:color="auto"/>
            </w:tcBorders>
            <w:shd w:val="clear" w:color="000000" w:fill="FFFFFF"/>
            <w:noWrap/>
            <w:vAlign w:val="bottom"/>
            <w:hideMark/>
          </w:tcPr>
          <w:p w14:paraId="0FA6703A"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0.2%</w:t>
            </w:r>
          </w:p>
        </w:tc>
        <w:tc>
          <w:tcPr>
            <w:tcW w:w="1778" w:type="dxa"/>
            <w:tcBorders>
              <w:top w:val="nil"/>
              <w:left w:val="nil"/>
              <w:bottom w:val="nil"/>
              <w:right w:val="single" w:sz="4" w:space="0" w:color="auto"/>
            </w:tcBorders>
            <w:shd w:val="clear" w:color="000000" w:fill="FFFFFF"/>
            <w:noWrap/>
            <w:vAlign w:val="bottom"/>
            <w:hideMark/>
          </w:tcPr>
          <w:p w14:paraId="7F2C08C7"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9" w:type="dxa"/>
            <w:tcBorders>
              <w:top w:val="nil"/>
              <w:left w:val="nil"/>
              <w:bottom w:val="nil"/>
              <w:right w:val="single" w:sz="4" w:space="0" w:color="auto"/>
            </w:tcBorders>
            <w:shd w:val="clear" w:color="000000" w:fill="FFFFFF"/>
            <w:noWrap/>
            <w:vAlign w:val="bottom"/>
            <w:hideMark/>
          </w:tcPr>
          <w:p w14:paraId="5759C4D6"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2.5%</w:t>
            </w:r>
          </w:p>
        </w:tc>
      </w:tr>
      <w:tr w:rsidR="00766396" w:rsidRPr="005A17D7" w14:paraId="371EC352"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3BB0B25F"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04B7BDF5"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45 to 49</w:t>
            </w:r>
          </w:p>
        </w:tc>
        <w:tc>
          <w:tcPr>
            <w:tcW w:w="1778" w:type="dxa"/>
            <w:tcBorders>
              <w:top w:val="nil"/>
              <w:left w:val="nil"/>
              <w:bottom w:val="nil"/>
              <w:right w:val="nil"/>
            </w:tcBorders>
            <w:shd w:val="clear" w:color="000000" w:fill="FFFFFF"/>
            <w:noWrap/>
            <w:vAlign w:val="bottom"/>
            <w:hideMark/>
          </w:tcPr>
          <w:p w14:paraId="17FF1282"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0.5%</w:t>
            </w:r>
          </w:p>
        </w:tc>
        <w:tc>
          <w:tcPr>
            <w:tcW w:w="1778" w:type="dxa"/>
            <w:tcBorders>
              <w:top w:val="nil"/>
              <w:left w:val="single" w:sz="4" w:space="0" w:color="auto"/>
              <w:bottom w:val="nil"/>
              <w:right w:val="single" w:sz="4" w:space="0" w:color="auto"/>
            </w:tcBorders>
            <w:shd w:val="clear" w:color="000000" w:fill="FFFFFF"/>
            <w:noWrap/>
            <w:vAlign w:val="bottom"/>
            <w:hideMark/>
          </w:tcPr>
          <w:p w14:paraId="2F75C90A"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0.3%</w:t>
            </w:r>
          </w:p>
        </w:tc>
        <w:tc>
          <w:tcPr>
            <w:tcW w:w="1778" w:type="dxa"/>
            <w:tcBorders>
              <w:top w:val="nil"/>
              <w:left w:val="nil"/>
              <w:bottom w:val="nil"/>
              <w:right w:val="single" w:sz="4" w:space="0" w:color="auto"/>
            </w:tcBorders>
            <w:shd w:val="clear" w:color="000000" w:fill="FFFFFF"/>
            <w:noWrap/>
            <w:vAlign w:val="bottom"/>
            <w:hideMark/>
          </w:tcPr>
          <w:p w14:paraId="54AE46DE"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0.0%</w:t>
            </w:r>
          </w:p>
        </w:tc>
        <w:tc>
          <w:tcPr>
            <w:tcW w:w="1779" w:type="dxa"/>
            <w:tcBorders>
              <w:top w:val="nil"/>
              <w:left w:val="nil"/>
              <w:bottom w:val="nil"/>
              <w:right w:val="single" w:sz="4" w:space="0" w:color="auto"/>
            </w:tcBorders>
            <w:shd w:val="clear" w:color="000000" w:fill="FFFFFF"/>
            <w:noWrap/>
            <w:vAlign w:val="bottom"/>
            <w:hideMark/>
          </w:tcPr>
          <w:p w14:paraId="3CE1A25E"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2.3%</w:t>
            </w:r>
          </w:p>
        </w:tc>
      </w:tr>
      <w:tr w:rsidR="00766396" w:rsidRPr="005A17D7" w14:paraId="4AD8B401"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3237EC18"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26691D40"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50 to 54</w:t>
            </w:r>
          </w:p>
        </w:tc>
        <w:tc>
          <w:tcPr>
            <w:tcW w:w="1778" w:type="dxa"/>
            <w:tcBorders>
              <w:top w:val="nil"/>
              <w:left w:val="nil"/>
              <w:bottom w:val="nil"/>
              <w:right w:val="nil"/>
            </w:tcBorders>
            <w:shd w:val="clear" w:color="000000" w:fill="FFFFFF"/>
            <w:noWrap/>
            <w:vAlign w:val="bottom"/>
            <w:hideMark/>
          </w:tcPr>
          <w:p w14:paraId="2993F37F"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0.3%</w:t>
            </w:r>
          </w:p>
        </w:tc>
        <w:tc>
          <w:tcPr>
            <w:tcW w:w="1778" w:type="dxa"/>
            <w:tcBorders>
              <w:top w:val="nil"/>
              <w:left w:val="single" w:sz="4" w:space="0" w:color="auto"/>
              <w:bottom w:val="nil"/>
              <w:right w:val="single" w:sz="4" w:space="0" w:color="auto"/>
            </w:tcBorders>
            <w:shd w:val="clear" w:color="000000" w:fill="FFFFFF"/>
            <w:noWrap/>
            <w:vAlign w:val="bottom"/>
            <w:hideMark/>
          </w:tcPr>
          <w:p w14:paraId="2BF12169"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0.7%</w:t>
            </w:r>
          </w:p>
        </w:tc>
        <w:tc>
          <w:tcPr>
            <w:tcW w:w="1778" w:type="dxa"/>
            <w:tcBorders>
              <w:top w:val="nil"/>
              <w:left w:val="nil"/>
              <w:bottom w:val="nil"/>
              <w:right w:val="single" w:sz="4" w:space="0" w:color="auto"/>
            </w:tcBorders>
            <w:shd w:val="clear" w:color="000000" w:fill="FFFFFF"/>
            <w:noWrap/>
            <w:vAlign w:val="bottom"/>
            <w:hideMark/>
          </w:tcPr>
          <w:p w14:paraId="5C9B7D8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9" w:type="dxa"/>
            <w:tcBorders>
              <w:top w:val="nil"/>
              <w:left w:val="nil"/>
              <w:bottom w:val="nil"/>
              <w:right w:val="single" w:sz="4" w:space="0" w:color="auto"/>
            </w:tcBorders>
            <w:shd w:val="clear" w:color="000000" w:fill="FFFFFF"/>
            <w:noWrap/>
            <w:vAlign w:val="bottom"/>
            <w:hideMark/>
          </w:tcPr>
          <w:p w14:paraId="542C8434"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2.7%</w:t>
            </w:r>
          </w:p>
        </w:tc>
      </w:tr>
      <w:tr w:rsidR="00766396" w:rsidRPr="005A17D7" w14:paraId="6641211F"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767E6087"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694A16E6"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55 to 59</w:t>
            </w:r>
          </w:p>
        </w:tc>
        <w:tc>
          <w:tcPr>
            <w:tcW w:w="1778" w:type="dxa"/>
            <w:tcBorders>
              <w:top w:val="nil"/>
              <w:left w:val="nil"/>
              <w:bottom w:val="nil"/>
              <w:right w:val="nil"/>
            </w:tcBorders>
            <w:shd w:val="clear" w:color="000000" w:fill="FFFFFF"/>
            <w:noWrap/>
            <w:vAlign w:val="bottom"/>
            <w:hideMark/>
          </w:tcPr>
          <w:p w14:paraId="5A5D5922"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0.2%</w:t>
            </w:r>
          </w:p>
        </w:tc>
        <w:tc>
          <w:tcPr>
            <w:tcW w:w="1778" w:type="dxa"/>
            <w:tcBorders>
              <w:top w:val="nil"/>
              <w:left w:val="single" w:sz="4" w:space="0" w:color="auto"/>
              <w:bottom w:val="nil"/>
              <w:right w:val="single" w:sz="4" w:space="0" w:color="auto"/>
            </w:tcBorders>
            <w:shd w:val="clear" w:color="000000" w:fill="FFFFFF"/>
            <w:noWrap/>
            <w:vAlign w:val="bottom"/>
            <w:hideMark/>
          </w:tcPr>
          <w:p w14:paraId="4A31568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1.3%</w:t>
            </w:r>
          </w:p>
        </w:tc>
        <w:tc>
          <w:tcPr>
            <w:tcW w:w="1778" w:type="dxa"/>
            <w:tcBorders>
              <w:top w:val="nil"/>
              <w:left w:val="nil"/>
              <w:bottom w:val="nil"/>
              <w:right w:val="single" w:sz="4" w:space="0" w:color="auto"/>
            </w:tcBorders>
            <w:shd w:val="clear" w:color="000000" w:fill="FFFFFF"/>
            <w:noWrap/>
            <w:vAlign w:val="bottom"/>
            <w:hideMark/>
          </w:tcPr>
          <w:p w14:paraId="61D239F6"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0.0%</w:t>
            </w:r>
          </w:p>
        </w:tc>
        <w:tc>
          <w:tcPr>
            <w:tcW w:w="1779" w:type="dxa"/>
            <w:tcBorders>
              <w:top w:val="nil"/>
              <w:left w:val="nil"/>
              <w:bottom w:val="nil"/>
              <w:right w:val="single" w:sz="4" w:space="0" w:color="auto"/>
            </w:tcBorders>
            <w:shd w:val="clear" w:color="000000" w:fill="FFFFFF"/>
            <w:noWrap/>
            <w:vAlign w:val="bottom"/>
            <w:hideMark/>
          </w:tcPr>
          <w:p w14:paraId="59066AEE"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3.4%</w:t>
            </w:r>
          </w:p>
        </w:tc>
      </w:tr>
      <w:tr w:rsidR="00766396" w:rsidRPr="005A17D7" w14:paraId="48441E90"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6BA09B58"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0B746D31"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60 to 64</w:t>
            </w:r>
          </w:p>
        </w:tc>
        <w:tc>
          <w:tcPr>
            <w:tcW w:w="1778" w:type="dxa"/>
            <w:tcBorders>
              <w:top w:val="nil"/>
              <w:left w:val="nil"/>
              <w:bottom w:val="nil"/>
              <w:right w:val="nil"/>
            </w:tcBorders>
            <w:shd w:val="clear" w:color="000000" w:fill="FFFFFF"/>
            <w:noWrap/>
            <w:vAlign w:val="bottom"/>
            <w:hideMark/>
          </w:tcPr>
          <w:p w14:paraId="0C8DABC6"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8" w:type="dxa"/>
            <w:tcBorders>
              <w:top w:val="nil"/>
              <w:left w:val="single" w:sz="4" w:space="0" w:color="auto"/>
              <w:bottom w:val="nil"/>
              <w:right w:val="single" w:sz="4" w:space="0" w:color="auto"/>
            </w:tcBorders>
            <w:shd w:val="clear" w:color="000000" w:fill="FFFFFF"/>
            <w:noWrap/>
            <w:vAlign w:val="bottom"/>
            <w:hideMark/>
          </w:tcPr>
          <w:p w14:paraId="32037C89"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2.3%</w:t>
            </w:r>
          </w:p>
        </w:tc>
        <w:tc>
          <w:tcPr>
            <w:tcW w:w="1778" w:type="dxa"/>
            <w:tcBorders>
              <w:top w:val="nil"/>
              <w:left w:val="nil"/>
              <w:bottom w:val="nil"/>
              <w:right w:val="single" w:sz="4" w:space="0" w:color="auto"/>
            </w:tcBorders>
            <w:shd w:val="clear" w:color="000000" w:fill="FFFFFF"/>
            <w:noWrap/>
            <w:vAlign w:val="bottom"/>
            <w:hideMark/>
          </w:tcPr>
          <w:p w14:paraId="4ACD50B0"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0.0%</w:t>
            </w:r>
          </w:p>
        </w:tc>
        <w:tc>
          <w:tcPr>
            <w:tcW w:w="1779" w:type="dxa"/>
            <w:tcBorders>
              <w:top w:val="nil"/>
              <w:left w:val="nil"/>
              <w:bottom w:val="nil"/>
              <w:right w:val="single" w:sz="4" w:space="0" w:color="auto"/>
            </w:tcBorders>
            <w:shd w:val="clear" w:color="000000" w:fill="FFFFFF"/>
            <w:noWrap/>
            <w:vAlign w:val="bottom"/>
            <w:hideMark/>
          </w:tcPr>
          <w:p w14:paraId="419D3D44"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3.1%</w:t>
            </w:r>
          </w:p>
        </w:tc>
      </w:tr>
      <w:tr w:rsidR="00766396" w:rsidRPr="005A17D7" w14:paraId="3AFEBBCD"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78555160"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7C1FD29F"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65 to 69</w:t>
            </w:r>
          </w:p>
        </w:tc>
        <w:tc>
          <w:tcPr>
            <w:tcW w:w="1778" w:type="dxa"/>
            <w:tcBorders>
              <w:top w:val="nil"/>
              <w:left w:val="nil"/>
              <w:bottom w:val="nil"/>
              <w:right w:val="nil"/>
            </w:tcBorders>
            <w:shd w:val="clear" w:color="000000" w:fill="FFFFFF"/>
            <w:noWrap/>
            <w:vAlign w:val="bottom"/>
            <w:hideMark/>
          </w:tcPr>
          <w:p w14:paraId="6BE01C9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0.1%</w:t>
            </w:r>
          </w:p>
        </w:tc>
        <w:tc>
          <w:tcPr>
            <w:tcW w:w="1778" w:type="dxa"/>
            <w:tcBorders>
              <w:top w:val="nil"/>
              <w:left w:val="single" w:sz="4" w:space="0" w:color="auto"/>
              <w:bottom w:val="nil"/>
              <w:right w:val="single" w:sz="4" w:space="0" w:color="auto"/>
            </w:tcBorders>
            <w:shd w:val="clear" w:color="000000" w:fill="FFFFFF"/>
            <w:noWrap/>
            <w:vAlign w:val="bottom"/>
            <w:hideMark/>
          </w:tcPr>
          <w:p w14:paraId="0FB6A0CF"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3.5%</w:t>
            </w:r>
          </w:p>
        </w:tc>
        <w:tc>
          <w:tcPr>
            <w:tcW w:w="1778" w:type="dxa"/>
            <w:tcBorders>
              <w:top w:val="nil"/>
              <w:left w:val="nil"/>
              <w:bottom w:val="nil"/>
              <w:right w:val="single" w:sz="4" w:space="0" w:color="auto"/>
            </w:tcBorders>
            <w:shd w:val="clear" w:color="000000" w:fill="FFFFFF"/>
            <w:noWrap/>
            <w:vAlign w:val="bottom"/>
            <w:hideMark/>
          </w:tcPr>
          <w:p w14:paraId="6C43DCB8"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0.0%</w:t>
            </w:r>
          </w:p>
        </w:tc>
        <w:tc>
          <w:tcPr>
            <w:tcW w:w="1779" w:type="dxa"/>
            <w:tcBorders>
              <w:top w:val="nil"/>
              <w:left w:val="nil"/>
              <w:bottom w:val="nil"/>
              <w:right w:val="single" w:sz="4" w:space="0" w:color="auto"/>
            </w:tcBorders>
            <w:shd w:val="clear" w:color="000000" w:fill="FFFFFF"/>
            <w:noWrap/>
            <w:vAlign w:val="bottom"/>
            <w:hideMark/>
          </w:tcPr>
          <w:p w14:paraId="02776F8A"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2.4%</w:t>
            </w:r>
          </w:p>
        </w:tc>
      </w:tr>
      <w:tr w:rsidR="00766396" w:rsidRPr="005A17D7" w14:paraId="0D14429A"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597789EE"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59F353DD"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70 to 74</w:t>
            </w:r>
          </w:p>
        </w:tc>
        <w:tc>
          <w:tcPr>
            <w:tcW w:w="1778" w:type="dxa"/>
            <w:tcBorders>
              <w:top w:val="nil"/>
              <w:left w:val="nil"/>
              <w:bottom w:val="nil"/>
              <w:right w:val="nil"/>
            </w:tcBorders>
            <w:shd w:val="clear" w:color="000000" w:fill="FFFFFF"/>
            <w:noWrap/>
            <w:vAlign w:val="bottom"/>
            <w:hideMark/>
          </w:tcPr>
          <w:p w14:paraId="66E52E68"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0.0%</w:t>
            </w:r>
          </w:p>
        </w:tc>
        <w:tc>
          <w:tcPr>
            <w:tcW w:w="1778" w:type="dxa"/>
            <w:tcBorders>
              <w:top w:val="nil"/>
              <w:left w:val="single" w:sz="4" w:space="0" w:color="auto"/>
              <w:bottom w:val="nil"/>
              <w:right w:val="single" w:sz="4" w:space="0" w:color="auto"/>
            </w:tcBorders>
            <w:shd w:val="clear" w:color="000000" w:fill="FFFFFF"/>
            <w:noWrap/>
            <w:vAlign w:val="bottom"/>
            <w:hideMark/>
          </w:tcPr>
          <w:p w14:paraId="013245EB"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5.1%</w:t>
            </w:r>
          </w:p>
        </w:tc>
        <w:tc>
          <w:tcPr>
            <w:tcW w:w="1778" w:type="dxa"/>
            <w:tcBorders>
              <w:top w:val="nil"/>
              <w:left w:val="nil"/>
              <w:bottom w:val="nil"/>
              <w:right w:val="single" w:sz="4" w:space="0" w:color="auto"/>
            </w:tcBorders>
            <w:shd w:val="clear" w:color="000000" w:fill="D9D9D9"/>
            <w:noWrap/>
            <w:vAlign w:val="bottom"/>
            <w:hideMark/>
          </w:tcPr>
          <w:p w14:paraId="00B0FEB3"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nil"/>
              <w:right w:val="single" w:sz="4" w:space="0" w:color="auto"/>
            </w:tcBorders>
            <w:shd w:val="clear" w:color="000000" w:fill="FFFFFF"/>
            <w:noWrap/>
            <w:vAlign w:val="bottom"/>
            <w:hideMark/>
          </w:tcPr>
          <w:p w14:paraId="2127C098"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2.3%</w:t>
            </w:r>
          </w:p>
        </w:tc>
      </w:tr>
      <w:tr w:rsidR="00766396" w:rsidRPr="005A17D7" w14:paraId="05BF3E30"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5D4BBBB0"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3D6C37CD"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75 to 79</w:t>
            </w:r>
          </w:p>
        </w:tc>
        <w:tc>
          <w:tcPr>
            <w:tcW w:w="1778" w:type="dxa"/>
            <w:tcBorders>
              <w:top w:val="nil"/>
              <w:left w:val="nil"/>
              <w:bottom w:val="nil"/>
              <w:right w:val="nil"/>
            </w:tcBorders>
            <w:shd w:val="clear" w:color="000000" w:fill="FFFFFF"/>
            <w:noWrap/>
            <w:vAlign w:val="bottom"/>
            <w:hideMark/>
          </w:tcPr>
          <w:p w14:paraId="7BA581FF"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0.0%</w:t>
            </w:r>
          </w:p>
        </w:tc>
        <w:tc>
          <w:tcPr>
            <w:tcW w:w="1778" w:type="dxa"/>
            <w:tcBorders>
              <w:top w:val="nil"/>
              <w:left w:val="single" w:sz="4" w:space="0" w:color="auto"/>
              <w:bottom w:val="nil"/>
              <w:right w:val="single" w:sz="4" w:space="0" w:color="auto"/>
            </w:tcBorders>
            <w:shd w:val="clear" w:color="000000" w:fill="FFFFFF"/>
            <w:noWrap/>
            <w:vAlign w:val="bottom"/>
            <w:hideMark/>
          </w:tcPr>
          <w:p w14:paraId="1778FB44"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7.5%</w:t>
            </w:r>
          </w:p>
        </w:tc>
        <w:tc>
          <w:tcPr>
            <w:tcW w:w="1778" w:type="dxa"/>
            <w:tcBorders>
              <w:top w:val="nil"/>
              <w:left w:val="nil"/>
              <w:bottom w:val="nil"/>
              <w:right w:val="single" w:sz="4" w:space="0" w:color="auto"/>
            </w:tcBorders>
            <w:shd w:val="clear" w:color="000000" w:fill="D9D9D9"/>
            <w:noWrap/>
            <w:vAlign w:val="bottom"/>
            <w:hideMark/>
          </w:tcPr>
          <w:p w14:paraId="174C1B46"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nil"/>
              <w:right w:val="single" w:sz="4" w:space="0" w:color="auto"/>
            </w:tcBorders>
            <w:shd w:val="clear" w:color="000000" w:fill="FFFFFF"/>
            <w:noWrap/>
            <w:vAlign w:val="bottom"/>
            <w:hideMark/>
          </w:tcPr>
          <w:p w14:paraId="5DBF0F6A"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1.9%</w:t>
            </w:r>
          </w:p>
        </w:tc>
      </w:tr>
      <w:tr w:rsidR="00766396" w:rsidRPr="005A17D7" w14:paraId="4DDB457B"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14C16166"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59C2551A"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80 to 84</w:t>
            </w:r>
          </w:p>
        </w:tc>
        <w:tc>
          <w:tcPr>
            <w:tcW w:w="1778" w:type="dxa"/>
            <w:tcBorders>
              <w:top w:val="nil"/>
              <w:left w:val="nil"/>
              <w:bottom w:val="nil"/>
              <w:right w:val="nil"/>
            </w:tcBorders>
            <w:shd w:val="clear" w:color="000000" w:fill="FFFFFF"/>
            <w:noWrap/>
            <w:vAlign w:val="bottom"/>
            <w:hideMark/>
          </w:tcPr>
          <w:p w14:paraId="0F47B87D"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0.0%</w:t>
            </w:r>
          </w:p>
        </w:tc>
        <w:tc>
          <w:tcPr>
            <w:tcW w:w="1778" w:type="dxa"/>
            <w:tcBorders>
              <w:top w:val="nil"/>
              <w:left w:val="single" w:sz="4" w:space="0" w:color="auto"/>
              <w:bottom w:val="nil"/>
              <w:right w:val="single" w:sz="4" w:space="0" w:color="auto"/>
            </w:tcBorders>
            <w:shd w:val="clear" w:color="000000" w:fill="FFFFFF"/>
            <w:noWrap/>
            <w:vAlign w:val="bottom"/>
            <w:hideMark/>
          </w:tcPr>
          <w:p w14:paraId="4D7D586B"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9.6%</w:t>
            </w:r>
          </w:p>
        </w:tc>
        <w:tc>
          <w:tcPr>
            <w:tcW w:w="1778" w:type="dxa"/>
            <w:tcBorders>
              <w:top w:val="nil"/>
              <w:left w:val="nil"/>
              <w:bottom w:val="nil"/>
              <w:right w:val="single" w:sz="4" w:space="0" w:color="auto"/>
            </w:tcBorders>
            <w:shd w:val="clear" w:color="000000" w:fill="D9D9D9"/>
            <w:noWrap/>
            <w:vAlign w:val="bottom"/>
            <w:hideMark/>
          </w:tcPr>
          <w:p w14:paraId="5CB5E5DF"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nil"/>
              <w:right w:val="single" w:sz="4" w:space="0" w:color="auto"/>
            </w:tcBorders>
            <w:shd w:val="clear" w:color="000000" w:fill="FFFFFF"/>
            <w:noWrap/>
            <w:vAlign w:val="bottom"/>
            <w:hideMark/>
          </w:tcPr>
          <w:p w14:paraId="49409685"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2.1%</w:t>
            </w:r>
          </w:p>
        </w:tc>
      </w:tr>
      <w:tr w:rsidR="00766396" w:rsidRPr="005A17D7" w14:paraId="40063261" w14:textId="77777777" w:rsidTr="007F6696">
        <w:trPr>
          <w:trHeight w:hRule="exact" w:val="252"/>
        </w:trPr>
        <w:tc>
          <w:tcPr>
            <w:tcW w:w="710" w:type="dxa"/>
            <w:tcBorders>
              <w:top w:val="nil"/>
              <w:left w:val="single" w:sz="4" w:space="0" w:color="auto"/>
              <w:bottom w:val="single" w:sz="4" w:space="0" w:color="auto"/>
              <w:right w:val="single" w:sz="4" w:space="0" w:color="auto"/>
            </w:tcBorders>
            <w:shd w:val="clear" w:color="000000" w:fill="FFFFFF"/>
            <w:noWrap/>
            <w:vAlign w:val="bottom"/>
            <w:hideMark/>
          </w:tcPr>
          <w:p w14:paraId="70055F5D"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Female</w:t>
            </w:r>
          </w:p>
        </w:tc>
        <w:tc>
          <w:tcPr>
            <w:tcW w:w="865" w:type="dxa"/>
            <w:tcBorders>
              <w:top w:val="nil"/>
              <w:left w:val="nil"/>
              <w:bottom w:val="single" w:sz="4" w:space="0" w:color="auto"/>
              <w:right w:val="single" w:sz="4" w:space="0" w:color="auto"/>
            </w:tcBorders>
            <w:shd w:val="clear" w:color="000000" w:fill="FFFFFF"/>
            <w:noWrap/>
            <w:vAlign w:val="bottom"/>
            <w:hideMark/>
          </w:tcPr>
          <w:p w14:paraId="19287144" w14:textId="77777777" w:rsidR="00766396" w:rsidRPr="005A17D7" w:rsidRDefault="00766396">
            <w:pPr>
              <w:spacing w:line="240" w:lineRule="auto"/>
              <w:rPr>
                <w:rFonts w:cstheme="minorHAnsi"/>
                <w:color w:val="000000"/>
                <w:sz w:val="20"/>
                <w:szCs w:val="20"/>
              </w:rPr>
            </w:pPr>
            <w:r w:rsidRPr="005A17D7">
              <w:rPr>
                <w:rFonts w:cstheme="minorHAnsi"/>
                <w:color w:val="000000"/>
                <w:sz w:val="20"/>
                <w:szCs w:val="20"/>
              </w:rPr>
              <w:t xml:space="preserve">85 </w:t>
            </w:r>
            <w:r>
              <w:rPr>
                <w:rFonts w:cstheme="minorHAnsi"/>
                <w:color w:val="000000"/>
                <w:sz w:val="20"/>
                <w:szCs w:val="20"/>
              </w:rPr>
              <w:t>plus</w:t>
            </w:r>
          </w:p>
        </w:tc>
        <w:tc>
          <w:tcPr>
            <w:tcW w:w="1778" w:type="dxa"/>
            <w:tcBorders>
              <w:top w:val="nil"/>
              <w:left w:val="nil"/>
              <w:bottom w:val="single" w:sz="4" w:space="0" w:color="auto"/>
              <w:right w:val="nil"/>
            </w:tcBorders>
            <w:shd w:val="clear" w:color="000000" w:fill="FFFFFF"/>
            <w:noWrap/>
            <w:vAlign w:val="bottom"/>
            <w:hideMark/>
          </w:tcPr>
          <w:p w14:paraId="3F8E088F"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0.0%</w:t>
            </w:r>
          </w:p>
        </w:tc>
        <w:tc>
          <w:tcPr>
            <w:tcW w:w="1778" w:type="dxa"/>
            <w:tcBorders>
              <w:top w:val="nil"/>
              <w:left w:val="single" w:sz="4" w:space="0" w:color="auto"/>
              <w:bottom w:val="single" w:sz="4" w:space="0" w:color="auto"/>
              <w:right w:val="single" w:sz="4" w:space="0" w:color="auto"/>
            </w:tcBorders>
            <w:shd w:val="clear" w:color="000000" w:fill="FFFFFF"/>
            <w:noWrap/>
            <w:vAlign w:val="bottom"/>
            <w:hideMark/>
          </w:tcPr>
          <w:p w14:paraId="46EB1B08"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34.2%</w:t>
            </w:r>
          </w:p>
        </w:tc>
        <w:tc>
          <w:tcPr>
            <w:tcW w:w="1778" w:type="dxa"/>
            <w:tcBorders>
              <w:top w:val="nil"/>
              <w:left w:val="nil"/>
              <w:bottom w:val="single" w:sz="4" w:space="0" w:color="auto"/>
              <w:right w:val="single" w:sz="4" w:space="0" w:color="auto"/>
            </w:tcBorders>
            <w:shd w:val="clear" w:color="000000" w:fill="D9D9D9"/>
            <w:noWrap/>
            <w:vAlign w:val="bottom"/>
            <w:hideMark/>
          </w:tcPr>
          <w:p w14:paraId="4478EDE1"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 </w:t>
            </w:r>
          </w:p>
        </w:tc>
        <w:tc>
          <w:tcPr>
            <w:tcW w:w="1779" w:type="dxa"/>
            <w:tcBorders>
              <w:top w:val="nil"/>
              <w:left w:val="nil"/>
              <w:bottom w:val="single" w:sz="4" w:space="0" w:color="auto"/>
              <w:right w:val="single" w:sz="4" w:space="0" w:color="auto"/>
            </w:tcBorders>
            <w:shd w:val="clear" w:color="000000" w:fill="FFFFFF"/>
            <w:noWrap/>
            <w:vAlign w:val="bottom"/>
            <w:hideMark/>
          </w:tcPr>
          <w:p w14:paraId="6E4AA0C2" w14:textId="77777777" w:rsidR="00766396" w:rsidRPr="005A17D7" w:rsidRDefault="00766396">
            <w:pPr>
              <w:spacing w:line="240" w:lineRule="auto"/>
              <w:jc w:val="center"/>
              <w:rPr>
                <w:rFonts w:cstheme="minorHAnsi"/>
                <w:color w:val="000000"/>
                <w:sz w:val="20"/>
                <w:szCs w:val="20"/>
              </w:rPr>
            </w:pPr>
            <w:r w:rsidRPr="005A17D7">
              <w:rPr>
                <w:rFonts w:cstheme="minorHAnsi"/>
                <w:color w:val="000000"/>
                <w:sz w:val="20"/>
                <w:szCs w:val="20"/>
              </w:rPr>
              <w:t>5.4%</w:t>
            </w:r>
          </w:p>
        </w:tc>
      </w:tr>
      <w:tr w:rsidR="00766396" w:rsidRPr="005A17D7" w14:paraId="2AD805CD" w14:textId="77777777" w:rsidTr="00FC506B">
        <w:trPr>
          <w:trHeight w:hRule="exact" w:val="749"/>
        </w:trPr>
        <w:tc>
          <w:tcPr>
            <w:tcW w:w="8688" w:type="dxa"/>
            <w:gridSpan w:val="6"/>
            <w:tcBorders>
              <w:top w:val="single" w:sz="4" w:space="0" w:color="auto"/>
              <w:left w:val="single" w:sz="4" w:space="0" w:color="auto"/>
              <w:bottom w:val="single" w:sz="4" w:space="0" w:color="auto"/>
              <w:right w:val="single" w:sz="4" w:space="0" w:color="auto"/>
            </w:tcBorders>
            <w:shd w:val="clear" w:color="auto" w:fill="auto"/>
            <w:hideMark/>
          </w:tcPr>
          <w:p w14:paraId="48C78F7A" w14:textId="2384F4AF" w:rsidR="00766396" w:rsidRPr="005A17D7" w:rsidRDefault="00766396" w:rsidP="00227A6E">
            <w:pPr>
              <w:keepNext/>
              <w:spacing w:line="240" w:lineRule="auto"/>
              <w:rPr>
                <w:rFonts w:cstheme="minorHAnsi"/>
                <w:color w:val="000000"/>
                <w:sz w:val="20"/>
                <w:szCs w:val="20"/>
              </w:rPr>
            </w:pPr>
            <w:r>
              <w:rPr>
                <w:rFonts w:cstheme="minorHAnsi"/>
                <w:color w:val="000000"/>
                <w:sz w:val="20"/>
                <w:szCs w:val="20"/>
              </w:rPr>
              <w:t>Source: Census 2020 DHC-</w:t>
            </w:r>
            <w:r w:rsidR="00E9330B">
              <w:rPr>
                <w:rFonts w:cstheme="minorHAnsi"/>
                <w:color w:val="000000"/>
                <w:sz w:val="20"/>
                <w:szCs w:val="20"/>
              </w:rPr>
              <w:t xml:space="preserve">A. </w:t>
            </w:r>
            <w:r w:rsidRPr="005A17D7">
              <w:rPr>
                <w:rFonts w:cstheme="minorHAnsi"/>
                <w:color w:val="000000"/>
                <w:sz w:val="20"/>
                <w:szCs w:val="20"/>
              </w:rPr>
              <w:t>GQ1 "under 20" population reported in Census DHC-A is assigned to "15-19" for this purpose; GQ3 "under 25" is assigned to "20-24"; GQ5 "under 20" is assigned to "15-19" and "65 and above" is assigned to "65-69".</w:t>
            </w:r>
          </w:p>
        </w:tc>
      </w:tr>
    </w:tbl>
    <w:p w14:paraId="73C82E9C" w14:textId="77777777" w:rsidR="004C29F4" w:rsidRDefault="004C29F4" w:rsidP="001D6EBE">
      <w:pPr>
        <w:pStyle w:val="Caption"/>
        <w:keepNext/>
        <w:rPr>
          <w:rFonts w:eastAsia="Calibri"/>
          <w:b w:val="0"/>
          <w:szCs w:val="22"/>
        </w:rPr>
      </w:pPr>
    </w:p>
    <w:p w14:paraId="1BE5F132" w14:textId="77777777" w:rsidR="00FC506B" w:rsidRPr="00FC506B" w:rsidRDefault="00FC506B" w:rsidP="00FC506B"/>
    <w:p w14:paraId="3D4FB474" w14:textId="77777777" w:rsidR="00823ABB" w:rsidRDefault="00823ABB" w:rsidP="00816383">
      <w:pPr>
        <w:pStyle w:val="Caption"/>
        <w:sectPr w:rsidR="00823ABB" w:rsidSect="00724A69">
          <w:footerReference w:type="default" r:id="rId20"/>
          <w:type w:val="continuous"/>
          <w:pgSz w:w="12240" w:h="15840" w:code="1"/>
          <w:pgMar w:top="1440" w:right="1440" w:bottom="1440" w:left="1440" w:header="1267" w:footer="1260" w:gutter="0"/>
          <w:cols w:space="720"/>
          <w:docGrid w:linePitch="360"/>
        </w:sectPr>
      </w:pPr>
      <w:bookmarkStart w:id="50" w:name="_Toc170212118"/>
    </w:p>
    <w:p w14:paraId="03C99F31" w14:textId="080F0267" w:rsidR="00D710E1" w:rsidRPr="009B727E" w:rsidRDefault="009B727E" w:rsidP="009B727E">
      <w:pPr>
        <w:pStyle w:val="Caption"/>
        <w:rPr>
          <w:rFonts w:ascii="Calibri" w:eastAsiaTheme="majorEastAsia" w:hAnsi="Calibri" w:cs="Calibri"/>
          <w:b w:val="0"/>
          <w:bCs/>
          <w:szCs w:val="22"/>
        </w:rPr>
      </w:pPr>
      <w:bookmarkStart w:id="51" w:name="_Toc197520552"/>
      <w:r>
        <w:lastRenderedPageBreak/>
        <w:t xml:space="preserve">Table </w:t>
      </w:r>
      <w:r w:rsidR="00816383">
        <w:t>A</w:t>
      </w:r>
      <w:r w:rsidR="00816383">
        <w:fldChar w:fldCharType="begin"/>
      </w:r>
      <w:r w:rsidR="00816383">
        <w:instrText xml:space="preserve"> SEQ Table \* ARABIC </w:instrText>
      </w:r>
      <w:r w:rsidR="00816383">
        <w:fldChar w:fldCharType="separate"/>
      </w:r>
      <w:r w:rsidR="00682CB2">
        <w:t>2</w:t>
      </w:r>
      <w:r w:rsidR="00816383">
        <w:fldChar w:fldCharType="end"/>
      </w:r>
      <w:r>
        <w:t xml:space="preserve">. </w:t>
      </w:r>
      <w:r w:rsidRPr="00946212">
        <w:t>Cohort-size categories used in error assignment</w:t>
      </w:r>
      <w:bookmarkEnd w:id="50"/>
      <w:bookmarkEnd w:id="51"/>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1485"/>
      </w:tblGrid>
      <w:tr w:rsidR="00A65B18" w14:paraId="02ADA850" w14:textId="77777777" w:rsidTr="00A65B18">
        <w:trPr>
          <w:trHeight w:val="285"/>
        </w:trPr>
        <w:tc>
          <w:tcPr>
            <w:tcW w:w="14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F5D13F"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Tract Level</w:t>
            </w:r>
            <w:r>
              <w:rPr>
                <w:rStyle w:val="eop"/>
                <w:rFonts w:ascii="Calibri" w:eastAsiaTheme="majorEastAsia" w:hAnsi="Calibri" w:cs="Calibri"/>
                <w:sz w:val="20"/>
                <w:szCs w:val="20"/>
              </w:rPr>
              <w:t> </w:t>
            </w:r>
          </w:p>
        </w:tc>
        <w:tc>
          <w:tcPr>
            <w:tcW w:w="14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694CA2"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Town Level</w:t>
            </w:r>
            <w:r>
              <w:rPr>
                <w:rStyle w:val="eop"/>
                <w:rFonts w:ascii="Calibri" w:eastAsiaTheme="majorEastAsia" w:hAnsi="Calibri" w:cs="Calibri"/>
                <w:sz w:val="20"/>
                <w:szCs w:val="20"/>
              </w:rPr>
              <w:t> </w:t>
            </w:r>
          </w:p>
        </w:tc>
      </w:tr>
      <w:tr w:rsidR="00A65B18" w14:paraId="6FCA12E8" w14:textId="77777777" w:rsidTr="00A65B18">
        <w:trPr>
          <w:trHeight w:val="285"/>
        </w:trPr>
        <w:tc>
          <w:tcPr>
            <w:tcW w:w="1485" w:type="dxa"/>
            <w:tcBorders>
              <w:top w:val="single" w:sz="6" w:space="0" w:color="auto"/>
              <w:left w:val="single" w:sz="6" w:space="0" w:color="auto"/>
              <w:bottom w:val="nil"/>
              <w:right w:val="nil"/>
            </w:tcBorders>
            <w:shd w:val="clear" w:color="auto" w:fill="auto"/>
            <w:vAlign w:val="center"/>
            <w:hideMark/>
          </w:tcPr>
          <w:p w14:paraId="5B1EC726"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0-29</w:t>
            </w:r>
            <w:r>
              <w:rPr>
                <w:rStyle w:val="eop"/>
                <w:rFonts w:ascii="Calibri" w:eastAsiaTheme="majorEastAsia" w:hAnsi="Calibri" w:cs="Calibri"/>
                <w:sz w:val="20"/>
                <w:szCs w:val="20"/>
              </w:rPr>
              <w:t> </w:t>
            </w:r>
          </w:p>
        </w:tc>
        <w:tc>
          <w:tcPr>
            <w:tcW w:w="1485" w:type="dxa"/>
            <w:tcBorders>
              <w:top w:val="single" w:sz="6" w:space="0" w:color="auto"/>
              <w:left w:val="nil"/>
              <w:bottom w:val="nil"/>
              <w:right w:val="single" w:sz="6" w:space="0" w:color="auto"/>
            </w:tcBorders>
            <w:shd w:val="clear" w:color="auto" w:fill="auto"/>
            <w:vAlign w:val="center"/>
            <w:hideMark/>
          </w:tcPr>
          <w:p w14:paraId="46CADE97"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0-24</w:t>
            </w:r>
            <w:r>
              <w:rPr>
                <w:rStyle w:val="eop"/>
                <w:rFonts w:ascii="Calibri" w:eastAsiaTheme="majorEastAsia" w:hAnsi="Calibri" w:cs="Calibri"/>
                <w:sz w:val="20"/>
                <w:szCs w:val="20"/>
              </w:rPr>
              <w:t> </w:t>
            </w:r>
          </w:p>
        </w:tc>
      </w:tr>
      <w:tr w:rsidR="00A65B18" w14:paraId="5A8D0982" w14:textId="77777777" w:rsidTr="00A65B18">
        <w:trPr>
          <w:trHeight w:val="285"/>
        </w:trPr>
        <w:tc>
          <w:tcPr>
            <w:tcW w:w="1485" w:type="dxa"/>
            <w:tcBorders>
              <w:top w:val="nil"/>
              <w:left w:val="single" w:sz="6" w:space="0" w:color="auto"/>
              <w:bottom w:val="nil"/>
              <w:right w:val="nil"/>
            </w:tcBorders>
            <w:shd w:val="clear" w:color="auto" w:fill="auto"/>
            <w:vAlign w:val="center"/>
            <w:hideMark/>
          </w:tcPr>
          <w:p w14:paraId="36443622"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30-49</w:t>
            </w:r>
            <w:r>
              <w:rPr>
                <w:rStyle w:val="eop"/>
                <w:rFonts w:ascii="Calibri" w:eastAsiaTheme="majorEastAsia" w:hAnsi="Calibri" w:cs="Calibri"/>
                <w:sz w:val="20"/>
                <w:szCs w:val="20"/>
              </w:rPr>
              <w:t> </w:t>
            </w:r>
          </w:p>
        </w:tc>
        <w:tc>
          <w:tcPr>
            <w:tcW w:w="1485" w:type="dxa"/>
            <w:tcBorders>
              <w:top w:val="nil"/>
              <w:left w:val="nil"/>
              <w:bottom w:val="nil"/>
              <w:right w:val="single" w:sz="6" w:space="0" w:color="auto"/>
            </w:tcBorders>
            <w:shd w:val="clear" w:color="auto" w:fill="auto"/>
            <w:vAlign w:val="center"/>
            <w:hideMark/>
          </w:tcPr>
          <w:p w14:paraId="71DD86E6"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25-49</w:t>
            </w:r>
            <w:r>
              <w:rPr>
                <w:rStyle w:val="eop"/>
                <w:rFonts w:ascii="Calibri" w:eastAsiaTheme="majorEastAsia" w:hAnsi="Calibri" w:cs="Calibri"/>
                <w:sz w:val="20"/>
                <w:szCs w:val="20"/>
              </w:rPr>
              <w:t> </w:t>
            </w:r>
          </w:p>
        </w:tc>
      </w:tr>
      <w:tr w:rsidR="00A65B18" w14:paraId="187F3FE1" w14:textId="77777777" w:rsidTr="00A65B18">
        <w:trPr>
          <w:trHeight w:val="285"/>
        </w:trPr>
        <w:tc>
          <w:tcPr>
            <w:tcW w:w="1485" w:type="dxa"/>
            <w:tcBorders>
              <w:top w:val="nil"/>
              <w:left w:val="single" w:sz="6" w:space="0" w:color="auto"/>
              <w:bottom w:val="nil"/>
              <w:right w:val="nil"/>
            </w:tcBorders>
            <w:shd w:val="clear" w:color="auto" w:fill="auto"/>
            <w:vAlign w:val="center"/>
            <w:hideMark/>
          </w:tcPr>
          <w:p w14:paraId="6FB2A60D"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50-74</w:t>
            </w:r>
            <w:r>
              <w:rPr>
                <w:rStyle w:val="eop"/>
                <w:rFonts w:ascii="Calibri" w:eastAsiaTheme="majorEastAsia" w:hAnsi="Calibri" w:cs="Calibri"/>
                <w:sz w:val="20"/>
                <w:szCs w:val="20"/>
              </w:rPr>
              <w:t> </w:t>
            </w:r>
          </w:p>
        </w:tc>
        <w:tc>
          <w:tcPr>
            <w:tcW w:w="1485" w:type="dxa"/>
            <w:tcBorders>
              <w:top w:val="nil"/>
              <w:left w:val="nil"/>
              <w:bottom w:val="nil"/>
              <w:right w:val="single" w:sz="6" w:space="0" w:color="auto"/>
            </w:tcBorders>
            <w:shd w:val="clear" w:color="auto" w:fill="auto"/>
            <w:vAlign w:val="center"/>
            <w:hideMark/>
          </w:tcPr>
          <w:p w14:paraId="33993B28"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50-99</w:t>
            </w:r>
            <w:r>
              <w:rPr>
                <w:rStyle w:val="eop"/>
                <w:rFonts w:ascii="Calibri" w:eastAsiaTheme="majorEastAsia" w:hAnsi="Calibri" w:cs="Calibri"/>
                <w:sz w:val="20"/>
                <w:szCs w:val="20"/>
              </w:rPr>
              <w:t> </w:t>
            </w:r>
          </w:p>
        </w:tc>
      </w:tr>
      <w:tr w:rsidR="00A65B18" w14:paraId="3DE9842E" w14:textId="77777777" w:rsidTr="00A65B18">
        <w:trPr>
          <w:trHeight w:val="285"/>
        </w:trPr>
        <w:tc>
          <w:tcPr>
            <w:tcW w:w="1485" w:type="dxa"/>
            <w:tcBorders>
              <w:top w:val="nil"/>
              <w:left w:val="single" w:sz="6" w:space="0" w:color="auto"/>
              <w:bottom w:val="nil"/>
              <w:right w:val="nil"/>
            </w:tcBorders>
            <w:shd w:val="clear" w:color="auto" w:fill="auto"/>
            <w:vAlign w:val="center"/>
            <w:hideMark/>
          </w:tcPr>
          <w:p w14:paraId="64C2661D"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75-99</w:t>
            </w:r>
            <w:r>
              <w:rPr>
                <w:rStyle w:val="eop"/>
                <w:rFonts w:ascii="Calibri" w:eastAsiaTheme="majorEastAsia" w:hAnsi="Calibri" w:cs="Calibri"/>
                <w:sz w:val="20"/>
                <w:szCs w:val="20"/>
              </w:rPr>
              <w:t> </w:t>
            </w:r>
          </w:p>
        </w:tc>
        <w:tc>
          <w:tcPr>
            <w:tcW w:w="1485" w:type="dxa"/>
            <w:tcBorders>
              <w:top w:val="nil"/>
              <w:left w:val="nil"/>
              <w:bottom w:val="nil"/>
              <w:right w:val="single" w:sz="6" w:space="0" w:color="auto"/>
            </w:tcBorders>
            <w:shd w:val="clear" w:color="auto" w:fill="auto"/>
            <w:vAlign w:val="center"/>
            <w:hideMark/>
          </w:tcPr>
          <w:p w14:paraId="10D45C67"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100-199</w:t>
            </w:r>
            <w:r>
              <w:rPr>
                <w:rStyle w:val="eop"/>
                <w:rFonts w:ascii="Calibri" w:eastAsiaTheme="majorEastAsia" w:hAnsi="Calibri" w:cs="Calibri"/>
                <w:sz w:val="20"/>
                <w:szCs w:val="20"/>
              </w:rPr>
              <w:t> </w:t>
            </w:r>
          </w:p>
        </w:tc>
      </w:tr>
      <w:tr w:rsidR="00A65B18" w14:paraId="2E7E2114" w14:textId="77777777" w:rsidTr="00A65B18">
        <w:trPr>
          <w:trHeight w:val="285"/>
        </w:trPr>
        <w:tc>
          <w:tcPr>
            <w:tcW w:w="1485" w:type="dxa"/>
            <w:tcBorders>
              <w:top w:val="nil"/>
              <w:left w:val="single" w:sz="6" w:space="0" w:color="auto"/>
              <w:bottom w:val="nil"/>
              <w:right w:val="nil"/>
            </w:tcBorders>
            <w:shd w:val="clear" w:color="auto" w:fill="auto"/>
            <w:vAlign w:val="center"/>
            <w:hideMark/>
          </w:tcPr>
          <w:p w14:paraId="4280AB5B"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100-124</w:t>
            </w:r>
            <w:r>
              <w:rPr>
                <w:rStyle w:val="eop"/>
                <w:rFonts w:ascii="Calibri" w:eastAsiaTheme="majorEastAsia" w:hAnsi="Calibri" w:cs="Calibri"/>
                <w:sz w:val="20"/>
                <w:szCs w:val="20"/>
              </w:rPr>
              <w:t> </w:t>
            </w:r>
          </w:p>
        </w:tc>
        <w:tc>
          <w:tcPr>
            <w:tcW w:w="1485" w:type="dxa"/>
            <w:tcBorders>
              <w:top w:val="nil"/>
              <w:left w:val="nil"/>
              <w:bottom w:val="nil"/>
              <w:right w:val="single" w:sz="6" w:space="0" w:color="auto"/>
            </w:tcBorders>
            <w:shd w:val="clear" w:color="auto" w:fill="auto"/>
            <w:vAlign w:val="center"/>
            <w:hideMark/>
          </w:tcPr>
          <w:p w14:paraId="5D3AA94F"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200-499</w:t>
            </w:r>
            <w:r>
              <w:rPr>
                <w:rStyle w:val="eop"/>
                <w:rFonts w:ascii="Calibri" w:eastAsiaTheme="majorEastAsia" w:hAnsi="Calibri" w:cs="Calibri"/>
                <w:sz w:val="20"/>
                <w:szCs w:val="20"/>
              </w:rPr>
              <w:t> </w:t>
            </w:r>
          </w:p>
        </w:tc>
      </w:tr>
      <w:tr w:rsidR="00A65B18" w14:paraId="741DB685" w14:textId="77777777" w:rsidTr="00A65B18">
        <w:trPr>
          <w:trHeight w:val="285"/>
        </w:trPr>
        <w:tc>
          <w:tcPr>
            <w:tcW w:w="1485" w:type="dxa"/>
            <w:tcBorders>
              <w:top w:val="nil"/>
              <w:left w:val="single" w:sz="6" w:space="0" w:color="auto"/>
              <w:bottom w:val="nil"/>
              <w:right w:val="nil"/>
            </w:tcBorders>
            <w:shd w:val="clear" w:color="auto" w:fill="auto"/>
            <w:vAlign w:val="center"/>
            <w:hideMark/>
          </w:tcPr>
          <w:p w14:paraId="37C7CCE4"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125-149</w:t>
            </w:r>
            <w:r>
              <w:rPr>
                <w:rStyle w:val="eop"/>
                <w:rFonts w:ascii="Calibri" w:eastAsiaTheme="majorEastAsia" w:hAnsi="Calibri" w:cs="Calibri"/>
                <w:sz w:val="20"/>
                <w:szCs w:val="20"/>
              </w:rPr>
              <w:t> </w:t>
            </w:r>
          </w:p>
        </w:tc>
        <w:tc>
          <w:tcPr>
            <w:tcW w:w="1485" w:type="dxa"/>
            <w:tcBorders>
              <w:top w:val="nil"/>
              <w:left w:val="nil"/>
              <w:bottom w:val="nil"/>
              <w:right w:val="single" w:sz="6" w:space="0" w:color="auto"/>
            </w:tcBorders>
            <w:shd w:val="clear" w:color="auto" w:fill="auto"/>
            <w:vAlign w:val="center"/>
            <w:hideMark/>
          </w:tcPr>
          <w:p w14:paraId="070C0B64"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500-999</w:t>
            </w:r>
            <w:r>
              <w:rPr>
                <w:rStyle w:val="eop"/>
                <w:rFonts w:ascii="Calibri" w:eastAsiaTheme="majorEastAsia" w:hAnsi="Calibri" w:cs="Calibri"/>
                <w:sz w:val="20"/>
                <w:szCs w:val="20"/>
              </w:rPr>
              <w:t> </w:t>
            </w:r>
          </w:p>
        </w:tc>
      </w:tr>
      <w:tr w:rsidR="00A65B18" w14:paraId="5AD3BA61" w14:textId="77777777" w:rsidTr="00A65B18">
        <w:trPr>
          <w:trHeight w:val="285"/>
        </w:trPr>
        <w:tc>
          <w:tcPr>
            <w:tcW w:w="1485" w:type="dxa"/>
            <w:tcBorders>
              <w:top w:val="nil"/>
              <w:left w:val="single" w:sz="6" w:space="0" w:color="auto"/>
              <w:bottom w:val="nil"/>
              <w:right w:val="nil"/>
            </w:tcBorders>
            <w:shd w:val="clear" w:color="auto" w:fill="auto"/>
            <w:vAlign w:val="center"/>
            <w:hideMark/>
          </w:tcPr>
          <w:p w14:paraId="32EFF930"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150-174</w:t>
            </w:r>
            <w:r>
              <w:rPr>
                <w:rStyle w:val="eop"/>
                <w:rFonts w:ascii="Calibri" w:eastAsiaTheme="majorEastAsia" w:hAnsi="Calibri" w:cs="Calibri"/>
                <w:sz w:val="20"/>
                <w:szCs w:val="20"/>
              </w:rPr>
              <w:t> </w:t>
            </w:r>
          </w:p>
        </w:tc>
        <w:tc>
          <w:tcPr>
            <w:tcW w:w="1485" w:type="dxa"/>
            <w:tcBorders>
              <w:top w:val="nil"/>
              <w:left w:val="nil"/>
              <w:bottom w:val="nil"/>
              <w:right w:val="single" w:sz="6" w:space="0" w:color="auto"/>
            </w:tcBorders>
            <w:shd w:val="clear" w:color="auto" w:fill="auto"/>
            <w:vAlign w:val="center"/>
            <w:hideMark/>
          </w:tcPr>
          <w:p w14:paraId="3B377D6E"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1,000-1,999</w:t>
            </w:r>
            <w:r>
              <w:rPr>
                <w:rStyle w:val="eop"/>
                <w:rFonts w:ascii="Calibri" w:eastAsiaTheme="majorEastAsia" w:hAnsi="Calibri" w:cs="Calibri"/>
                <w:sz w:val="20"/>
                <w:szCs w:val="20"/>
              </w:rPr>
              <w:t> </w:t>
            </w:r>
          </w:p>
        </w:tc>
      </w:tr>
      <w:tr w:rsidR="00A65B18" w14:paraId="25C0A1A5" w14:textId="77777777" w:rsidTr="00A65B18">
        <w:trPr>
          <w:trHeight w:val="285"/>
        </w:trPr>
        <w:tc>
          <w:tcPr>
            <w:tcW w:w="1485" w:type="dxa"/>
            <w:tcBorders>
              <w:top w:val="nil"/>
              <w:left w:val="single" w:sz="6" w:space="0" w:color="auto"/>
              <w:bottom w:val="nil"/>
              <w:right w:val="nil"/>
            </w:tcBorders>
            <w:shd w:val="clear" w:color="auto" w:fill="auto"/>
            <w:vAlign w:val="center"/>
            <w:hideMark/>
          </w:tcPr>
          <w:p w14:paraId="07A1F7C7"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175-199</w:t>
            </w:r>
            <w:r>
              <w:rPr>
                <w:rStyle w:val="eop"/>
                <w:rFonts w:ascii="Calibri" w:eastAsiaTheme="majorEastAsia" w:hAnsi="Calibri" w:cs="Calibri"/>
                <w:sz w:val="20"/>
                <w:szCs w:val="20"/>
              </w:rPr>
              <w:t> </w:t>
            </w:r>
          </w:p>
        </w:tc>
        <w:tc>
          <w:tcPr>
            <w:tcW w:w="1485" w:type="dxa"/>
            <w:tcBorders>
              <w:top w:val="nil"/>
              <w:left w:val="nil"/>
              <w:bottom w:val="nil"/>
              <w:right w:val="single" w:sz="6" w:space="0" w:color="auto"/>
            </w:tcBorders>
            <w:shd w:val="clear" w:color="auto" w:fill="auto"/>
            <w:vAlign w:val="center"/>
            <w:hideMark/>
          </w:tcPr>
          <w:p w14:paraId="6BAB4D48"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2,000-9,999</w:t>
            </w:r>
            <w:r>
              <w:rPr>
                <w:rStyle w:val="eop"/>
                <w:rFonts w:ascii="Calibri" w:eastAsiaTheme="majorEastAsia" w:hAnsi="Calibri" w:cs="Calibri"/>
                <w:sz w:val="20"/>
                <w:szCs w:val="20"/>
              </w:rPr>
              <w:t> </w:t>
            </w:r>
          </w:p>
        </w:tc>
      </w:tr>
      <w:tr w:rsidR="00A65B18" w14:paraId="22865B0B" w14:textId="77777777" w:rsidTr="00A65B18">
        <w:trPr>
          <w:trHeight w:val="285"/>
        </w:trPr>
        <w:tc>
          <w:tcPr>
            <w:tcW w:w="1485" w:type="dxa"/>
            <w:tcBorders>
              <w:top w:val="nil"/>
              <w:left w:val="single" w:sz="6" w:space="0" w:color="auto"/>
              <w:bottom w:val="nil"/>
              <w:right w:val="nil"/>
            </w:tcBorders>
            <w:shd w:val="clear" w:color="auto" w:fill="auto"/>
            <w:vAlign w:val="center"/>
            <w:hideMark/>
          </w:tcPr>
          <w:p w14:paraId="6A05EC5D"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200-299</w:t>
            </w:r>
            <w:r>
              <w:rPr>
                <w:rStyle w:val="eop"/>
                <w:rFonts w:ascii="Calibri" w:eastAsiaTheme="majorEastAsia" w:hAnsi="Calibri" w:cs="Calibri"/>
                <w:sz w:val="20"/>
                <w:szCs w:val="20"/>
              </w:rPr>
              <w:t> </w:t>
            </w:r>
          </w:p>
        </w:tc>
        <w:tc>
          <w:tcPr>
            <w:tcW w:w="1485" w:type="dxa"/>
            <w:tcBorders>
              <w:top w:val="nil"/>
              <w:left w:val="nil"/>
              <w:bottom w:val="nil"/>
              <w:right w:val="single" w:sz="6" w:space="0" w:color="auto"/>
            </w:tcBorders>
            <w:shd w:val="clear" w:color="auto" w:fill="auto"/>
            <w:vAlign w:val="center"/>
            <w:hideMark/>
          </w:tcPr>
          <w:p w14:paraId="0049992F"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10,000+</w:t>
            </w:r>
            <w:r>
              <w:rPr>
                <w:rStyle w:val="eop"/>
                <w:rFonts w:ascii="Calibri" w:eastAsiaTheme="majorEastAsia" w:hAnsi="Calibri" w:cs="Calibri"/>
                <w:sz w:val="20"/>
                <w:szCs w:val="20"/>
              </w:rPr>
              <w:t> </w:t>
            </w:r>
          </w:p>
        </w:tc>
      </w:tr>
      <w:tr w:rsidR="00A65B18" w14:paraId="394140CD" w14:textId="77777777" w:rsidTr="00A65B18">
        <w:trPr>
          <w:trHeight w:val="285"/>
        </w:trPr>
        <w:tc>
          <w:tcPr>
            <w:tcW w:w="1485" w:type="dxa"/>
            <w:tcBorders>
              <w:top w:val="nil"/>
              <w:left w:val="single" w:sz="6" w:space="0" w:color="auto"/>
              <w:bottom w:val="single" w:sz="6" w:space="0" w:color="auto"/>
              <w:right w:val="nil"/>
            </w:tcBorders>
            <w:shd w:val="clear" w:color="auto" w:fill="auto"/>
            <w:vAlign w:val="center"/>
            <w:hideMark/>
          </w:tcPr>
          <w:p w14:paraId="175F8CF7" w14:textId="77777777" w:rsidR="00A65B18" w:rsidRDefault="00A65B18" w:rsidP="00A65B18">
            <w:pPr>
              <w:pStyle w:val="paragraph"/>
              <w:spacing w:before="0" w:beforeAutospacing="0" w:after="0" w:afterAutospacing="0"/>
              <w:textAlignment w:val="baseline"/>
            </w:pPr>
            <w:r>
              <w:rPr>
                <w:rStyle w:val="normaltextrun"/>
                <w:rFonts w:ascii="Calibri" w:hAnsi="Calibri" w:cs="Calibri"/>
                <w:szCs w:val="20"/>
              </w:rPr>
              <w:t>300+</w:t>
            </w:r>
            <w:r>
              <w:rPr>
                <w:rStyle w:val="eop"/>
                <w:rFonts w:ascii="Calibri" w:eastAsiaTheme="majorEastAsia" w:hAnsi="Calibri" w:cs="Calibri"/>
                <w:sz w:val="20"/>
                <w:szCs w:val="20"/>
              </w:rPr>
              <w:t> </w:t>
            </w:r>
          </w:p>
        </w:tc>
        <w:tc>
          <w:tcPr>
            <w:tcW w:w="1485" w:type="dxa"/>
            <w:tcBorders>
              <w:top w:val="nil"/>
              <w:left w:val="nil"/>
              <w:bottom w:val="single" w:sz="6" w:space="0" w:color="auto"/>
              <w:right w:val="single" w:sz="6" w:space="0" w:color="auto"/>
            </w:tcBorders>
            <w:shd w:val="clear" w:color="auto" w:fill="auto"/>
            <w:vAlign w:val="center"/>
            <w:hideMark/>
          </w:tcPr>
          <w:p w14:paraId="47AFAB09" w14:textId="77777777" w:rsidR="00A65B18" w:rsidRDefault="00A65B18" w:rsidP="00A65B18">
            <w:pPr>
              <w:pStyle w:val="paragraph"/>
              <w:spacing w:before="0" w:beforeAutospacing="0" w:after="0" w:afterAutospacing="0"/>
              <w:textAlignment w:val="baseline"/>
            </w:pPr>
            <w:r>
              <w:rPr>
                <w:rStyle w:val="eop"/>
                <w:rFonts w:ascii="Calibri" w:eastAsiaTheme="majorEastAsia" w:hAnsi="Calibri" w:cs="Calibri"/>
                <w:sz w:val="20"/>
                <w:szCs w:val="20"/>
              </w:rPr>
              <w:t> </w:t>
            </w:r>
          </w:p>
        </w:tc>
      </w:tr>
    </w:tbl>
    <w:p w14:paraId="3ACD8E4E" w14:textId="77777777" w:rsidR="00D64257" w:rsidRDefault="00D64257" w:rsidP="003708D4">
      <w:pPr>
        <w:pStyle w:val="Caption"/>
        <w:keepNext/>
        <w:sectPr w:rsidR="00D64257" w:rsidSect="00D64257">
          <w:type w:val="continuous"/>
          <w:pgSz w:w="12240" w:h="15840" w:code="1"/>
          <w:pgMar w:top="1440" w:right="1440" w:bottom="1440" w:left="1440" w:header="1267" w:footer="1267" w:gutter="0"/>
          <w:cols w:space="720"/>
          <w:docGrid w:linePitch="360"/>
        </w:sectPr>
      </w:pPr>
    </w:p>
    <w:p w14:paraId="28E7612A" w14:textId="7A84D378" w:rsidR="007F6696" w:rsidRPr="007F6696" w:rsidRDefault="007F6696" w:rsidP="007F6696">
      <w:pPr>
        <w:pStyle w:val="Caption"/>
      </w:pPr>
      <w:bookmarkStart w:id="52" w:name="_Toc170212119"/>
      <w:bookmarkStart w:id="53" w:name="_Toc197520553"/>
      <w:r>
        <w:lastRenderedPageBreak/>
        <w:t xml:space="preserve">Table </w:t>
      </w:r>
      <w:r w:rsidR="00816383">
        <w:t>A</w:t>
      </w:r>
      <w:r w:rsidR="00816383">
        <w:fldChar w:fldCharType="begin"/>
      </w:r>
      <w:r w:rsidR="00816383">
        <w:instrText xml:space="preserve"> SEQ Table \* ARABIC </w:instrText>
      </w:r>
      <w:r w:rsidR="00816383">
        <w:fldChar w:fldCharType="separate"/>
      </w:r>
      <w:r w:rsidR="00682CB2">
        <w:t>3</w:t>
      </w:r>
      <w:r w:rsidR="00816383">
        <w:fldChar w:fldCharType="end"/>
      </w:r>
      <w:r>
        <w:t xml:space="preserve">. </w:t>
      </w:r>
      <w:r w:rsidRPr="007D0AF0">
        <w:t>Mean Absolute Percent Errors by Age Group and Cohort Size, MCD-Level, All Massachusetts Geographies</w:t>
      </w:r>
      <w:bookmarkEnd w:id="52"/>
      <w:bookmarkEnd w:id="53"/>
    </w:p>
    <w:p w14:paraId="14022DD7" w14:textId="1C10DE56" w:rsidR="004C29F4" w:rsidRDefault="001D6EBE" w:rsidP="00F678C4">
      <w:pPr>
        <w:pStyle w:val="Caption"/>
        <w:keepNext/>
        <w:rPr>
          <w:b w:val="0"/>
          <w:szCs w:val="22"/>
        </w:rPr>
      </w:pPr>
      <w:r w:rsidRPr="00EA182A">
        <w:rPr>
          <w:rFonts w:eastAsia="Calibri"/>
          <w:b w:val="0"/>
          <w:szCs w:val="22"/>
        </w:rPr>
        <w:t xml:space="preserve">Mean absolute percent error by age group and cohort size (in 2010) Estimates produced for 2020 at age-group/sex/town level and measured against Census 2020 values. </w:t>
      </w:r>
      <w:r w:rsidRPr="00EA182A">
        <w:rPr>
          <w:b w:val="0"/>
          <w:szCs w:val="22"/>
        </w:rPr>
        <w:t>Male and female errors combined in MAPEs summary.</w:t>
      </w:r>
    </w:p>
    <w:p w14:paraId="35CAA24E" w14:textId="57B23CF9" w:rsidR="00823ABB" w:rsidRPr="00823ABB" w:rsidRDefault="00212463" w:rsidP="00823ABB">
      <w:pPr>
        <w:jc w:val="center"/>
        <w:sectPr w:rsidR="00823ABB" w:rsidRPr="00823ABB" w:rsidSect="00D64257">
          <w:pgSz w:w="15840" w:h="12240" w:orient="landscape" w:code="1"/>
          <w:pgMar w:top="1440" w:right="1440" w:bottom="1440" w:left="1440" w:header="1267" w:footer="1267" w:gutter="0"/>
          <w:cols w:space="720"/>
          <w:docGrid w:linePitch="360"/>
        </w:sectPr>
      </w:pPr>
      <w:r w:rsidRPr="00EA182A">
        <w:rPr>
          <w:noProof/>
        </w:rPr>
        <w:drawing>
          <wp:inline distT="0" distB="0" distL="0" distR="0" wp14:anchorId="6C801942" wp14:editId="13E51972">
            <wp:extent cx="8308549" cy="3446585"/>
            <wp:effectExtent l="19050" t="19050" r="16510" b="20955"/>
            <wp:docPr id="471078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 r="474" b="846"/>
                    <a:stretch/>
                  </pic:blipFill>
                  <pic:spPr bwMode="auto">
                    <a:xfrm>
                      <a:off x="0" y="0"/>
                      <a:ext cx="8359455" cy="3467702"/>
                    </a:xfrm>
                    <a:prstGeom prst="rect">
                      <a:avLst/>
                    </a:prstGeom>
                    <a:noFill/>
                    <a:ln w="6350">
                      <a:solidFill>
                        <a:schemeClr val="tx1"/>
                      </a:solidFill>
                    </a:ln>
                    <a:effectLst>
                      <a:softEdge rad="0"/>
                    </a:effectLst>
                    <a:extLst>
                      <a:ext uri="{53640926-AAD7-44D8-BBD7-CCE9431645EC}">
                        <a14:shadowObscured xmlns:a14="http://schemas.microsoft.com/office/drawing/2010/main"/>
                      </a:ext>
                    </a:extLst>
                  </pic:spPr>
                </pic:pic>
              </a:graphicData>
            </a:graphic>
          </wp:inline>
        </w:drawing>
      </w:r>
    </w:p>
    <w:p w14:paraId="6DE0A768" w14:textId="4AC71DBD" w:rsidR="00471FDF" w:rsidRPr="00471FDF" w:rsidRDefault="00471FDF" w:rsidP="00471FDF">
      <w:pPr>
        <w:pStyle w:val="Caption"/>
      </w:pPr>
      <w:bookmarkStart w:id="54" w:name="_Toc170212120"/>
      <w:bookmarkStart w:id="55" w:name="_Toc197520554"/>
      <w:r>
        <w:lastRenderedPageBreak/>
        <w:t xml:space="preserve">Table </w:t>
      </w:r>
      <w:r w:rsidR="00816383">
        <w:t>A</w:t>
      </w:r>
      <w:r w:rsidR="00816383">
        <w:fldChar w:fldCharType="begin"/>
      </w:r>
      <w:r w:rsidR="00816383">
        <w:instrText xml:space="preserve"> SEQ Table \* ARABIC </w:instrText>
      </w:r>
      <w:r w:rsidR="00816383">
        <w:fldChar w:fldCharType="separate"/>
      </w:r>
      <w:r w:rsidR="00682CB2">
        <w:t>4</w:t>
      </w:r>
      <w:r w:rsidR="00816383">
        <w:fldChar w:fldCharType="end"/>
      </w:r>
      <w:r>
        <w:t xml:space="preserve">. </w:t>
      </w:r>
      <w:r w:rsidRPr="00220F51">
        <w:t>Mean Absolute Percent Errors by Age Group and Cohort Size, MCD-Level, Cape and Island Geographies</w:t>
      </w:r>
      <w:bookmarkEnd w:id="54"/>
      <w:bookmarkEnd w:id="55"/>
    </w:p>
    <w:p w14:paraId="6C87C40C" w14:textId="68B5A055" w:rsidR="002E5D2E" w:rsidRPr="002E5D2E" w:rsidRDefault="002E5D2E" w:rsidP="002E5D2E">
      <w:pPr>
        <w:pStyle w:val="Caption"/>
        <w:keepNext/>
        <w:rPr>
          <w:b w:val="0"/>
          <w:szCs w:val="22"/>
        </w:rPr>
      </w:pPr>
      <w:r w:rsidRPr="00EA182A">
        <w:rPr>
          <w:rFonts w:eastAsia="Calibri"/>
          <w:b w:val="0"/>
          <w:szCs w:val="22"/>
        </w:rPr>
        <w:t xml:space="preserve">Mean absolute percent error by age group and cohort size (in 2010) Estimates produced for 2020 at age-group/sex/town level and measured against Census 2020 values. </w:t>
      </w:r>
      <w:r w:rsidRPr="00EA182A">
        <w:rPr>
          <w:b w:val="0"/>
          <w:szCs w:val="22"/>
        </w:rPr>
        <w:t>Male and female errors combined in MAPEs summary. For MCDs in Barnstable, Dukes, and Nantucket Counties.</w:t>
      </w:r>
    </w:p>
    <w:p w14:paraId="4C8B0418" w14:textId="0C28FDB7" w:rsidR="0089470D" w:rsidRPr="0089470D" w:rsidRDefault="0089470D" w:rsidP="0089470D">
      <w:r w:rsidRPr="00EA182A">
        <w:rPr>
          <w:noProof/>
        </w:rPr>
        <w:drawing>
          <wp:inline distT="0" distB="0" distL="0" distR="0" wp14:anchorId="1B9A05A9" wp14:editId="5123B3E1">
            <wp:extent cx="8190453" cy="3089551"/>
            <wp:effectExtent l="19050" t="19050" r="20320" b="15875"/>
            <wp:docPr id="1118379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 r="408" b="578"/>
                    <a:stretch/>
                  </pic:blipFill>
                  <pic:spPr bwMode="auto">
                    <a:xfrm>
                      <a:off x="0" y="0"/>
                      <a:ext cx="8228719" cy="3103985"/>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1DD1061C" w14:textId="22F1C3ED" w:rsidR="00B3198F" w:rsidRPr="00EA182A" w:rsidRDefault="00B3198F" w:rsidP="00B3198F">
      <w:pPr>
        <w:pStyle w:val="Caption"/>
        <w:keepNext/>
        <w:rPr>
          <w:rFonts w:eastAsia="Calibri"/>
          <w:szCs w:val="22"/>
        </w:rPr>
      </w:pPr>
    </w:p>
    <w:p w14:paraId="18DDE98E" w14:textId="77777777" w:rsidR="00F56148" w:rsidRPr="00F56148" w:rsidRDefault="00F56148" w:rsidP="00F56148"/>
    <w:p w14:paraId="6BF0C0D6" w14:textId="77777777" w:rsidR="003708D4" w:rsidRDefault="003708D4" w:rsidP="00F56148"/>
    <w:p w14:paraId="759CA2CD" w14:textId="77777777" w:rsidR="003708D4" w:rsidRDefault="003708D4" w:rsidP="00F56148"/>
    <w:p w14:paraId="7F244969" w14:textId="77777777" w:rsidR="003708D4" w:rsidRPr="00F56148" w:rsidRDefault="003708D4" w:rsidP="00F56148"/>
    <w:p w14:paraId="6266F516" w14:textId="6498783D" w:rsidR="001E6971" w:rsidRDefault="001E6971" w:rsidP="001E6971">
      <w:pPr>
        <w:pStyle w:val="Caption"/>
      </w:pPr>
      <w:bookmarkStart w:id="56" w:name="_Toc170212121"/>
      <w:bookmarkStart w:id="57" w:name="_Toc197520555"/>
      <w:r>
        <w:lastRenderedPageBreak/>
        <w:t xml:space="preserve">Table </w:t>
      </w:r>
      <w:r w:rsidR="00816383">
        <w:t>A</w:t>
      </w:r>
      <w:r w:rsidR="00816383">
        <w:fldChar w:fldCharType="begin"/>
      </w:r>
      <w:r w:rsidR="00816383">
        <w:instrText xml:space="preserve"> SEQ Table \* ARABIC </w:instrText>
      </w:r>
      <w:r w:rsidR="00816383">
        <w:fldChar w:fldCharType="separate"/>
      </w:r>
      <w:r w:rsidR="00682CB2">
        <w:t>5</w:t>
      </w:r>
      <w:r w:rsidR="00816383">
        <w:fldChar w:fldCharType="end"/>
      </w:r>
      <w:r>
        <w:t xml:space="preserve">. </w:t>
      </w:r>
      <w:r w:rsidRPr="00E2351E">
        <w:t>Mean Absolute Percent Errors by Age Group and Cohort Size, MCD-Level, Balance of State</w:t>
      </w:r>
      <w:bookmarkEnd w:id="56"/>
      <w:bookmarkEnd w:id="57"/>
    </w:p>
    <w:p w14:paraId="22D534B2" w14:textId="77777777" w:rsidR="001E6971" w:rsidRPr="00EA182A" w:rsidRDefault="001E6971" w:rsidP="001E6971">
      <w:pPr>
        <w:pStyle w:val="Caption"/>
        <w:keepNext/>
        <w:rPr>
          <w:b w:val="0"/>
          <w:szCs w:val="22"/>
        </w:rPr>
      </w:pPr>
      <w:r w:rsidRPr="00EA182A">
        <w:rPr>
          <w:rFonts w:eastAsia="Calibri"/>
          <w:b w:val="0"/>
          <w:szCs w:val="22"/>
        </w:rPr>
        <w:t xml:space="preserve">Mean absolute percent error by age group and cohort size (in 2010) Estimates produced for 2020 at age-group/sex/town level and measured against adjusted Census 2020 values. </w:t>
      </w:r>
      <w:r w:rsidRPr="00EA182A">
        <w:rPr>
          <w:b w:val="0"/>
          <w:szCs w:val="22"/>
        </w:rPr>
        <w:t>Male and female errors combined in MAPEs summary. For MCDs in Massachusetts excluding Barnstable, Dukes, and Nantucket Counties.</w:t>
      </w:r>
    </w:p>
    <w:p w14:paraId="3041B26F" w14:textId="2E141C02" w:rsidR="00AD20F2" w:rsidRPr="00EA182A" w:rsidRDefault="00A272CB" w:rsidP="00F56148">
      <w:pPr>
        <w:rPr>
          <w:rFonts w:eastAsia="Calibri"/>
        </w:rPr>
      </w:pPr>
      <w:r w:rsidRPr="0019210D">
        <w:rPr>
          <w:noProof/>
        </w:rPr>
        <w:drawing>
          <wp:inline distT="0" distB="0" distL="0" distR="0" wp14:anchorId="145530A3" wp14:editId="29DBF7F8">
            <wp:extent cx="8288372" cy="3447631"/>
            <wp:effectExtent l="19050" t="19050" r="17780" b="19685"/>
            <wp:docPr id="1340551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468" b="563"/>
                    <a:stretch/>
                  </pic:blipFill>
                  <pic:spPr bwMode="auto">
                    <a:xfrm>
                      <a:off x="0" y="0"/>
                      <a:ext cx="8328015" cy="3464121"/>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5990D561" w14:textId="77777777" w:rsidR="003708D4" w:rsidRDefault="003708D4" w:rsidP="00816383">
      <w:pPr>
        <w:pStyle w:val="Caption"/>
      </w:pPr>
      <w:bookmarkStart w:id="58" w:name="_Toc170212122"/>
    </w:p>
    <w:p w14:paraId="2F28CAE3" w14:textId="77777777" w:rsidR="003708D4" w:rsidRDefault="003708D4" w:rsidP="00816383">
      <w:pPr>
        <w:pStyle w:val="Caption"/>
      </w:pPr>
    </w:p>
    <w:p w14:paraId="49D446AA" w14:textId="77777777" w:rsidR="003708D4" w:rsidRDefault="003708D4" w:rsidP="00816383">
      <w:pPr>
        <w:pStyle w:val="Caption"/>
      </w:pPr>
    </w:p>
    <w:p w14:paraId="5CBF5C95" w14:textId="77777777" w:rsidR="003708D4" w:rsidRDefault="003708D4" w:rsidP="00816383">
      <w:pPr>
        <w:pStyle w:val="Caption"/>
      </w:pPr>
    </w:p>
    <w:p w14:paraId="1CC12681" w14:textId="4D82EBCC" w:rsidR="005A7DD3" w:rsidRDefault="005A7DD3" w:rsidP="005A7DD3">
      <w:pPr>
        <w:pStyle w:val="Caption"/>
      </w:pPr>
      <w:bookmarkStart w:id="59" w:name="_Toc197520556"/>
      <w:r>
        <w:lastRenderedPageBreak/>
        <w:t xml:space="preserve">Table </w:t>
      </w:r>
      <w:r w:rsidR="00816383">
        <w:t>A</w:t>
      </w:r>
      <w:r>
        <w:fldChar w:fldCharType="begin"/>
      </w:r>
      <w:r>
        <w:instrText xml:space="preserve"> SEQ Table \* ARABIC </w:instrText>
      </w:r>
      <w:r>
        <w:fldChar w:fldCharType="separate"/>
      </w:r>
      <w:r w:rsidR="00682CB2">
        <w:t>6</w:t>
      </w:r>
      <w:r>
        <w:fldChar w:fldCharType="end"/>
      </w:r>
      <w:r>
        <w:t xml:space="preserve">. </w:t>
      </w:r>
      <w:r w:rsidRPr="000D6921">
        <w:t>Mean Absolute Percent Errors by Age Group and Cohort Size, Tract Level, All Massachusetts Geographies</w:t>
      </w:r>
      <w:bookmarkEnd w:id="58"/>
      <w:bookmarkEnd w:id="59"/>
    </w:p>
    <w:p w14:paraId="309A3551" w14:textId="64CCB824" w:rsidR="00C86EDA" w:rsidRPr="00C86EDA" w:rsidRDefault="00C86EDA" w:rsidP="005A7DD3">
      <w:pPr>
        <w:pStyle w:val="Caption"/>
        <w:rPr>
          <w:b w:val="0"/>
          <w:szCs w:val="22"/>
        </w:rPr>
      </w:pPr>
      <w:r w:rsidRPr="00EA182A">
        <w:rPr>
          <w:rFonts w:eastAsia="Calibri"/>
          <w:b w:val="0"/>
          <w:szCs w:val="22"/>
        </w:rPr>
        <w:t xml:space="preserve">Mean absolute percent error by age group and cohort size (in 2010) Estimates produced for 2020 at age-group/sex/tract level and measured against adjusted Census 2020 values. </w:t>
      </w:r>
      <w:r w:rsidRPr="00EA182A">
        <w:rPr>
          <w:b w:val="0"/>
          <w:szCs w:val="22"/>
        </w:rPr>
        <w:t>Male and female errors combined in MAPEs summary.</w:t>
      </w:r>
    </w:p>
    <w:p w14:paraId="47D44A8F" w14:textId="17F9AC63" w:rsidR="00823ABB" w:rsidRDefault="00F56148" w:rsidP="00C86EDA">
      <w:pPr>
        <w:rPr>
          <w:rFonts w:eastAsia="Calibri"/>
        </w:rPr>
        <w:sectPr w:rsidR="00823ABB" w:rsidSect="00823ABB">
          <w:pgSz w:w="15840" w:h="12240" w:orient="landscape" w:code="1"/>
          <w:pgMar w:top="1440" w:right="1440" w:bottom="1440" w:left="1440" w:header="1267" w:footer="1267" w:gutter="0"/>
          <w:cols w:space="720"/>
          <w:docGrid w:linePitch="360"/>
        </w:sectPr>
      </w:pPr>
      <w:r w:rsidRPr="00EA182A">
        <w:rPr>
          <w:noProof/>
        </w:rPr>
        <w:drawing>
          <wp:inline distT="0" distB="0" distL="0" distR="0" wp14:anchorId="567113D2" wp14:editId="38CD0601">
            <wp:extent cx="8200502" cy="3706644"/>
            <wp:effectExtent l="19050" t="19050" r="10160" b="27305"/>
            <wp:docPr id="1049859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 r="446" b="532"/>
                    <a:stretch/>
                  </pic:blipFill>
                  <pic:spPr bwMode="auto">
                    <a:xfrm>
                      <a:off x="0" y="0"/>
                      <a:ext cx="8226583" cy="3718432"/>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4FD79662" w14:textId="3741E399" w:rsidR="00450F31" w:rsidRDefault="005A7DD3" w:rsidP="005A7DD3">
      <w:pPr>
        <w:pStyle w:val="Caption"/>
      </w:pPr>
      <w:bookmarkStart w:id="60" w:name="_Toc170212123"/>
      <w:bookmarkStart w:id="61" w:name="_Toc197520557"/>
      <w:r>
        <w:lastRenderedPageBreak/>
        <w:t xml:space="preserve">Table </w:t>
      </w:r>
      <w:r w:rsidR="00816383">
        <w:t>A</w:t>
      </w:r>
      <w:r>
        <w:fldChar w:fldCharType="begin"/>
      </w:r>
      <w:r>
        <w:instrText xml:space="preserve"> SEQ Table \* ARABIC </w:instrText>
      </w:r>
      <w:r>
        <w:fldChar w:fldCharType="separate"/>
      </w:r>
      <w:r w:rsidR="00682CB2">
        <w:t>7</w:t>
      </w:r>
      <w:r>
        <w:fldChar w:fldCharType="end"/>
      </w:r>
      <w:r>
        <w:t xml:space="preserve">. </w:t>
      </w:r>
      <w:r w:rsidRPr="007A7BFF">
        <w:t>Mean Absolute Percent Errors by Age Group and Cohort Size, Tract-Level, Cape and Island Geographies</w:t>
      </w:r>
      <w:bookmarkEnd w:id="60"/>
      <w:bookmarkEnd w:id="61"/>
    </w:p>
    <w:p w14:paraId="5D7608A1" w14:textId="50C1B157" w:rsidR="0006568F" w:rsidRPr="00F56148" w:rsidRDefault="0006568F" w:rsidP="00F56148">
      <w:pPr>
        <w:pStyle w:val="Caption"/>
      </w:pPr>
      <w:r w:rsidRPr="00EA182A">
        <w:rPr>
          <w:rFonts w:eastAsia="Calibri"/>
          <w:b w:val="0"/>
          <w:szCs w:val="22"/>
        </w:rPr>
        <w:t xml:space="preserve">Mean absolute percent error by age group and cohort size (in 2010) Estimates produced for 2020 at age-group/sex/tract level and measured against adjusted Census 2020 values. </w:t>
      </w:r>
      <w:r w:rsidRPr="00EA182A">
        <w:rPr>
          <w:b w:val="0"/>
          <w:szCs w:val="22"/>
        </w:rPr>
        <w:t>Male and female errors combined in MAPEs summary. For tracts in Barnstable, Dukes, and Nantucket Counties.</w:t>
      </w:r>
    </w:p>
    <w:p w14:paraId="25776951" w14:textId="4AF978A0" w:rsidR="006C3E93" w:rsidRPr="00EA182A" w:rsidRDefault="00450F31" w:rsidP="00F56148">
      <w:pPr>
        <w:jc w:val="center"/>
        <w:rPr>
          <w:rFonts w:eastAsia="Calibri"/>
        </w:rPr>
      </w:pPr>
      <w:r w:rsidRPr="00EA182A">
        <w:rPr>
          <w:noProof/>
        </w:rPr>
        <w:drawing>
          <wp:inline distT="0" distB="0" distL="0" distR="0" wp14:anchorId="73EE746A" wp14:editId="3DA0C9D8">
            <wp:extent cx="8174418" cy="3678743"/>
            <wp:effectExtent l="19050" t="19050" r="17145" b="17145"/>
            <wp:docPr id="2106188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325" b="845"/>
                    <a:stretch/>
                  </pic:blipFill>
                  <pic:spPr bwMode="auto">
                    <a:xfrm>
                      <a:off x="0" y="0"/>
                      <a:ext cx="8222313" cy="3700297"/>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r w:rsidR="00AD20F2">
        <w:tab/>
      </w:r>
    </w:p>
    <w:p w14:paraId="56D1D59F" w14:textId="77777777" w:rsidR="003708D4" w:rsidRDefault="003708D4" w:rsidP="00816383">
      <w:pPr>
        <w:pStyle w:val="Caption"/>
      </w:pPr>
    </w:p>
    <w:p w14:paraId="69D273DB" w14:textId="77777777" w:rsidR="003708D4" w:rsidRDefault="003708D4" w:rsidP="00816383">
      <w:pPr>
        <w:pStyle w:val="Caption"/>
      </w:pPr>
    </w:p>
    <w:p w14:paraId="1EFF3FF7" w14:textId="77777777" w:rsidR="003708D4" w:rsidRDefault="003708D4" w:rsidP="00816383">
      <w:pPr>
        <w:pStyle w:val="Caption"/>
      </w:pPr>
    </w:p>
    <w:p w14:paraId="6829F9D5" w14:textId="26739F2B" w:rsidR="00C73973" w:rsidRDefault="00C73973" w:rsidP="002B4BA5">
      <w:pPr>
        <w:pStyle w:val="Caption"/>
      </w:pPr>
      <w:bookmarkStart w:id="62" w:name="_Toc197520558"/>
      <w:r>
        <w:lastRenderedPageBreak/>
        <w:t xml:space="preserve">Table </w:t>
      </w:r>
      <w:r w:rsidR="00816383">
        <w:t>A</w:t>
      </w:r>
      <w:r w:rsidR="002B4BA5">
        <w:fldChar w:fldCharType="begin"/>
      </w:r>
      <w:r w:rsidR="002B4BA5">
        <w:instrText xml:space="preserve"> SEQ Table \* ARABIC </w:instrText>
      </w:r>
      <w:r w:rsidR="002B4BA5">
        <w:fldChar w:fldCharType="separate"/>
      </w:r>
      <w:r w:rsidR="00682CB2">
        <w:t>8</w:t>
      </w:r>
      <w:r w:rsidR="002B4BA5">
        <w:fldChar w:fldCharType="end"/>
      </w:r>
      <w:r w:rsidR="002B4BA5">
        <w:t>.</w:t>
      </w:r>
      <w:r>
        <w:t xml:space="preserve"> </w:t>
      </w:r>
      <w:r w:rsidRPr="00EA182A">
        <w:rPr>
          <w:rFonts w:eastAsia="Calibri"/>
          <w:szCs w:val="22"/>
        </w:rPr>
        <w:t xml:space="preserve">Mean </w:t>
      </w:r>
      <w:r w:rsidRPr="0018755C">
        <w:t xml:space="preserve">Absolute </w:t>
      </w:r>
      <w:r w:rsidRPr="00EA182A">
        <w:rPr>
          <w:rFonts w:eastAsia="Calibri"/>
          <w:szCs w:val="22"/>
        </w:rPr>
        <w:t xml:space="preserve">Percent Errors by Age Group and Cohort Size, </w:t>
      </w:r>
      <w:r w:rsidR="00B52648">
        <w:rPr>
          <w:rFonts w:eastAsia="Calibri"/>
          <w:szCs w:val="22"/>
        </w:rPr>
        <w:t>Tract</w:t>
      </w:r>
      <w:r w:rsidRPr="00EA182A">
        <w:rPr>
          <w:rFonts w:eastAsia="Calibri"/>
          <w:szCs w:val="22"/>
        </w:rPr>
        <w:t xml:space="preserve">-Level, </w:t>
      </w:r>
      <w:r w:rsidRPr="0018755C">
        <w:t>Balance of State</w:t>
      </w:r>
      <w:bookmarkEnd w:id="62"/>
    </w:p>
    <w:p w14:paraId="2F93B675" w14:textId="2D533A64" w:rsidR="00A61FAC" w:rsidRDefault="006C3E93" w:rsidP="00C73973">
      <w:pPr>
        <w:pStyle w:val="Caption"/>
        <w:keepNext/>
        <w:rPr>
          <w:b w:val="0"/>
          <w:szCs w:val="22"/>
        </w:rPr>
      </w:pPr>
      <w:r w:rsidRPr="00EA182A">
        <w:rPr>
          <w:rFonts w:eastAsia="Calibri"/>
          <w:b w:val="0"/>
          <w:szCs w:val="22"/>
        </w:rPr>
        <w:t xml:space="preserve">Mean absolute percent error by age group and cohort size (in 2010) Estimates produced for 2020 at age-group/sex/tract level and measured against Census 2020 values. </w:t>
      </w:r>
      <w:r w:rsidRPr="00EA182A">
        <w:rPr>
          <w:b w:val="0"/>
          <w:szCs w:val="22"/>
        </w:rPr>
        <w:t>Male and female errors combined in MAPEs summary. For tracts in Massachusetts excluding Barnstable, Dukes, and Nantucket Counties.</w:t>
      </w:r>
    </w:p>
    <w:p w14:paraId="1CB50A57" w14:textId="685A5D0E" w:rsidR="00382F57" w:rsidRPr="00382F57" w:rsidRDefault="00382F57" w:rsidP="00382F57">
      <w:r w:rsidRPr="00EA182A">
        <w:rPr>
          <w:rFonts w:eastAsia="Calibri"/>
          <w:noProof/>
        </w:rPr>
        <w:drawing>
          <wp:inline distT="0" distB="0" distL="0" distR="0" wp14:anchorId="6DB0DDCA" wp14:editId="00054A77">
            <wp:extent cx="8169275" cy="3687745"/>
            <wp:effectExtent l="19050" t="19050" r="22225" b="27305"/>
            <wp:docPr id="18320146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307" b="523"/>
                    <a:stretch/>
                  </pic:blipFill>
                  <pic:spPr bwMode="auto">
                    <a:xfrm>
                      <a:off x="0" y="0"/>
                      <a:ext cx="8187109" cy="3695796"/>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654259E4" w14:textId="77777777" w:rsidR="00382F57" w:rsidRDefault="00382F57" w:rsidP="00A61FAC">
      <w:pPr>
        <w:pStyle w:val="Caption"/>
        <w:keepNext/>
        <w:rPr>
          <w:rFonts w:eastAsia="Calibri"/>
          <w:b w:val="0"/>
          <w:szCs w:val="22"/>
        </w:rPr>
      </w:pPr>
    </w:p>
    <w:p w14:paraId="363437A1" w14:textId="77777777" w:rsidR="003708D4" w:rsidRDefault="003708D4" w:rsidP="00816383">
      <w:pPr>
        <w:pStyle w:val="Caption"/>
      </w:pPr>
    </w:p>
    <w:p w14:paraId="163C0BDA" w14:textId="77777777" w:rsidR="003708D4" w:rsidRDefault="003708D4" w:rsidP="00816383">
      <w:pPr>
        <w:pStyle w:val="Caption"/>
      </w:pPr>
    </w:p>
    <w:p w14:paraId="3D7F705F" w14:textId="71A9409B" w:rsidR="00382F57" w:rsidRDefault="00382F57" w:rsidP="00BF3ECF">
      <w:pPr>
        <w:pStyle w:val="Caption"/>
      </w:pPr>
      <w:bookmarkStart w:id="63" w:name="_Toc197520559"/>
      <w:r>
        <w:lastRenderedPageBreak/>
        <w:t xml:space="preserve">Table </w:t>
      </w:r>
      <w:r w:rsidR="00816383">
        <w:t>A</w:t>
      </w:r>
      <w:r w:rsidR="00BF3ECF">
        <w:fldChar w:fldCharType="begin"/>
      </w:r>
      <w:r w:rsidR="00BF3ECF">
        <w:instrText xml:space="preserve"> SEQ Table \* ARABIC </w:instrText>
      </w:r>
      <w:r w:rsidR="00BF3ECF">
        <w:fldChar w:fldCharType="separate"/>
      </w:r>
      <w:r w:rsidR="00682CB2">
        <w:t>9</w:t>
      </w:r>
      <w:r w:rsidR="00BF3ECF">
        <w:fldChar w:fldCharType="end"/>
      </w:r>
      <w:r w:rsidR="00BF3ECF">
        <w:t>.</w:t>
      </w:r>
      <w:r w:rsidRPr="00EA182A">
        <w:rPr>
          <w:rFonts w:eastAsia="Calibri"/>
          <w:szCs w:val="22"/>
        </w:rPr>
        <w:t xml:space="preserve"> Mean Percent Errors by Age Group and Cohort Size, MCD-Level, </w:t>
      </w:r>
      <w:r w:rsidRPr="00927240">
        <w:t>All Massachusetts</w:t>
      </w:r>
      <w:r w:rsidRPr="00EA182A">
        <w:rPr>
          <w:rFonts w:eastAsia="Calibri"/>
          <w:szCs w:val="22"/>
        </w:rPr>
        <w:t xml:space="preserve"> Geographies</w:t>
      </w:r>
      <w:bookmarkEnd w:id="63"/>
    </w:p>
    <w:p w14:paraId="50CB7866" w14:textId="66F18801" w:rsidR="00A61FAC" w:rsidRPr="00EA182A" w:rsidRDefault="00A61FAC" w:rsidP="00A61FAC">
      <w:pPr>
        <w:pStyle w:val="Caption"/>
        <w:keepNext/>
        <w:rPr>
          <w:bCs/>
          <w:szCs w:val="22"/>
        </w:rPr>
      </w:pPr>
      <w:r w:rsidRPr="00EA182A">
        <w:rPr>
          <w:rFonts w:eastAsia="Calibri"/>
          <w:b w:val="0"/>
          <w:szCs w:val="22"/>
        </w:rPr>
        <w:t xml:space="preserve">Mean percent error by age group and cohort size (in 2010) Estimates produced for 2020 at age-group/sex/town level and measured against Census 2020 values. </w:t>
      </w:r>
      <w:r w:rsidRPr="00EA182A">
        <w:rPr>
          <w:b w:val="0"/>
          <w:szCs w:val="22"/>
        </w:rPr>
        <w:t>Male and female errors combined in MPEs summary.</w:t>
      </w:r>
      <w:r w:rsidRPr="00EA182A">
        <w:rPr>
          <w:bCs/>
          <w:szCs w:val="22"/>
        </w:rPr>
        <w:t xml:space="preserve"> </w:t>
      </w:r>
    </w:p>
    <w:p w14:paraId="418FC82C" w14:textId="64217ED4" w:rsidR="00E0097D" w:rsidRPr="00EA182A" w:rsidRDefault="00307E79" w:rsidP="008C51F4">
      <w:pPr>
        <w:rPr>
          <w:rFonts w:eastAsia="Calibri"/>
        </w:rPr>
      </w:pPr>
      <w:r w:rsidRPr="00476F2B">
        <w:rPr>
          <w:noProof/>
        </w:rPr>
        <w:drawing>
          <wp:inline distT="0" distB="0" distL="0" distR="0" wp14:anchorId="059B3102" wp14:editId="0C65B4C4">
            <wp:extent cx="8229533" cy="3406391"/>
            <wp:effectExtent l="19050" t="19050" r="19685" b="22860"/>
            <wp:docPr id="6810105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424" b="1008"/>
                    <a:stretch/>
                  </pic:blipFill>
                  <pic:spPr bwMode="auto">
                    <a:xfrm>
                      <a:off x="0" y="0"/>
                      <a:ext cx="8243670" cy="3412243"/>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4BE71C19" w14:textId="77777777" w:rsidR="003708D4" w:rsidRDefault="003708D4" w:rsidP="00816383">
      <w:pPr>
        <w:pStyle w:val="Caption"/>
      </w:pPr>
    </w:p>
    <w:p w14:paraId="031F00F4" w14:textId="77777777" w:rsidR="003708D4" w:rsidRDefault="003708D4" w:rsidP="00816383">
      <w:pPr>
        <w:pStyle w:val="Caption"/>
      </w:pPr>
    </w:p>
    <w:p w14:paraId="221B47F0" w14:textId="77777777" w:rsidR="003708D4" w:rsidRDefault="003708D4" w:rsidP="00816383">
      <w:pPr>
        <w:pStyle w:val="Caption"/>
      </w:pPr>
    </w:p>
    <w:p w14:paraId="1B165337" w14:textId="77777777" w:rsidR="003708D4" w:rsidRDefault="003708D4" w:rsidP="00816383">
      <w:pPr>
        <w:pStyle w:val="Caption"/>
      </w:pPr>
    </w:p>
    <w:p w14:paraId="3A8A6F76" w14:textId="77777777" w:rsidR="003708D4" w:rsidRDefault="003708D4" w:rsidP="00816383">
      <w:pPr>
        <w:pStyle w:val="Caption"/>
      </w:pPr>
    </w:p>
    <w:p w14:paraId="034DCBFD" w14:textId="110DFA00" w:rsidR="007405B3" w:rsidRDefault="007405B3" w:rsidP="00BF3ECF">
      <w:pPr>
        <w:pStyle w:val="Caption"/>
      </w:pPr>
      <w:bookmarkStart w:id="64" w:name="_Toc197520560"/>
      <w:r>
        <w:lastRenderedPageBreak/>
        <w:t xml:space="preserve">Table </w:t>
      </w:r>
      <w:r w:rsidR="00816383">
        <w:t>A</w:t>
      </w:r>
      <w:r w:rsidR="00BF3ECF">
        <w:fldChar w:fldCharType="begin"/>
      </w:r>
      <w:r w:rsidR="00BF3ECF">
        <w:instrText xml:space="preserve"> SEQ Table \* ARABIC </w:instrText>
      </w:r>
      <w:r w:rsidR="00BF3ECF">
        <w:fldChar w:fldCharType="separate"/>
      </w:r>
      <w:r w:rsidR="00682CB2">
        <w:t>10</w:t>
      </w:r>
      <w:r w:rsidR="00BF3ECF">
        <w:fldChar w:fldCharType="end"/>
      </w:r>
      <w:r w:rsidR="00BF3ECF">
        <w:t>.</w:t>
      </w:r>
      <w:r>
        <w:t xml:space="preserve"> </w:t>
      </w:r>
      <w:r w:rsidRPr="00586153">
        <w:t>Mean Percent Errors by Age Group and Cohort Size, MCD-Level, Cape and Island Geographies</w:t>
      </w:r>
      <w:bookmarkEnd w:id="64"/>
    </w:p>
    <w:p w14:paraId="43FF218B" w14:textId="77777777" w:rsidR="00E0097D" w:rsidRPr="00EA182A" w:rsidRDefault="00E0097D" w:rsidP="00E0097D">
      <w:pPr>
        <w:pStyle w:val="Caption"/>
        <w:keepNext/>
        <w:rPr>
          <w:b w:val="0"/>
          <w:szCs w:val="22"/>
        </w:rPr>
      </w:pPr>
      <w:r w:rsidRPr="00EA182A">
        <w:rPr>
          <w:rFonts w:eastAsia="Calibri"/>
          <w:b w:val="0"/>
          <w:szCs w:val="22"/>
        </w:rPr>
        <w:t xml:space="preserve">Mean percent error by age group and cohort size (in 2010) Estimates produced for 2020 at age-group/sex/town level and measured against Census 2020 values. </w:t>
      </w:r>
      <w:r w:rsidRPr="00EA182A">
        <w:rPr>
          <w:b w:val="0"/>
          <w:szCs w:val="22"/>
        </w:rPr>
        <w:t>Male and female errors combined in MPEs summary. For MCDs in Barnstable, Dukes, and Nantucket Counties.</w:t>
      </w:r>
    </w:p>
    <w:p w14:paraId="2A020D21" w14:textId="63B3E190" w:rsidR="00A61FAC" w:rsidRPr="00A61FAC" w:rsidRDefault="009C34B9" w:rsidP="00A61FAC">
      <w:r w:rsidRPr="00A17A40">
        <w:rPr>
          <w:noProof/>
        </w:rPr>
        <w:drawing>
          <wp:inline distT="0" distB="0" distL="0" distR="0" wp14:anchorId="06E1448E" wp14:editId="18E9DB36">
            <wp:extent cx="8260792" cy="3096031"/>
            <wp:effectExtent l="19050" t="19050" r="26035" b="28575"/>
            <wp:docPr id="16353171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 r="224" b="1036"/>
                    <a:stretch/>
                  </pic:blipFill>
                  <pic:spPr bwMode="auto">
                    <a:xfrm>
                      <a:off x="0" y="0"/>
                      <a:ext cx="8297135" cy="3109652"/>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0689A571" w14:textId="77777777" w:rsidR="00823ABB" w:rsidRDefault="00823ABB" w:rsidP="00BF3ECF">
      <w:pPr>
        <w:pStyle w:val="Caption"/>
        <w:sectPr w:rsidR="00823ABB" w:rsidSect="00823ABB">
          <w:pgSz w:w="15840" w:h="12240" w:orient="landscape" w:code="1"/>
          <w:pgMar w:top="1440" w:right="1440" w:bottom="1440" w:left="1440" w:header="1267" w:footer="1267" w:gutter="0"/>
          <w:cols w:space="720"/>
          <w:docGrid w:linePitch="360"/>
        </w:sectPr>
      </w:pPr>
    </w:p>
    <w:p w14:paraId="3E05A637" w14:textId="23D2AD7C" w:rsidR="004A6628" w:rsidRPr="004A6628" w:rsidRDefault="004A6628" w:rsidP="004A6628">
      <w:pPr>
        <w:pStyle w:val="Caption"/>
      </w:pPr>
      <w:bookmarkStart w:id="65" w:name="_Toc197520561"/>
      <w:r>
        <w:lastRenderedPageBreak/>
        <w:t xml:space="preserve">Table </w:t>
      </w:r>
      <w:r w:rsidR="00816383">
        <w:t>A</w:t>
      </w:r>
      <w:r w:rsidR="00BF3ECF">
        <w:fldChar w:fldCharType="begin"/>
      </w:r>
      <w:r w:rsidR="00BF3ECF">
        <w:instrText xml:space="preserve"> SEQ Table \* ARABIC </w:instrText>
      </w:r>
      <w:r w:rsidR="00BF3ECF">
        <w:fldChar w:fldCharType="separate"/>
      </w:r>
      <w:r w:rsidR="00682CB2">
        <w:t>11</w:t>
      </w:r>
      <w:r w:rsidR="00BF3ECF">
        <w:fldChar w:fldCharType="end"/>
      </w:r>
      <w:r w:rsidR="00BF3ECF">
        <w:t>.</w:t>
      </w:r>
      <w:r>
        <w:t xml:space="preserve"> </w:t>
      </w:r>
      <w:r w:rsidRPr="00EA182A">
        <w:rPr>
          <w:rFonts w:eastAsia="Calibri"/>
          <w:szCs w:val="22"/>
        </w:rPr>
        <w:t>Mean Percent Errors by Age Group and Cohort Size, MCD-Level, Balance of State</w:t>
      </w:r>
      <w:bookmarkEnd w:id="65"/>
    </w:p>
    <w:p w14:paraId="4D1F2E17" w14:textId="77777777" w:rsidR="00AC53D8" w:rsidRPr="00EA182A" w:rsidRDefault="00AC53D8" w:rsidP="00AC53D8">
      <w:pPr>
        <w:pStyle w:val="Caption"/>
        <w:keepNext/>
        <w:rPr>
          <w:b w:val="0"/>
          <w:szCs w:val="22"/>
        </w:rPr>
      </w:pPr>
      <w:r w:rsidRPr="00EA182A">
        <w:rPr>
          <w:rFonts w:eastAsia="Calibri"/>
          <w:b w:val="0"/>
          <w:szCs w:val="22"/>
        </w:rPr>
        <w:t xml:space="preserve">Mean percent error by age group and cohort size (in 2010) Estimates produced for 2020 at age-group/sex/town level and measured against adjusted Census 2020 values. </w:t>
      </w:r>
      <w:r w:rsidRPr="00EA182A">
        <w:rPr>
          <w:b w:val="0"/>
          <w:szCs w:val="22"/>
        </w:rPr>
        <w:t>Male and female errors combined in MPEs summary. For MCDs in Massachusetts excluding Barnstable, Dukes, and Nantucket Counties.</w:t>
      </w:r>
    </w:p>
    <w:p w14:paraId="43D5AEE6" w14:textId="0ACA17CC" w:rsidR="00A61FAC" w:rsidRPr="00A61FAC" w:rsidRDefault="00C06312" w:rsidP="00A61FAC">
      <w:r w:rsidRPr="00315CCA">
        <w:rPr>
          <w:noProof/>
        </w:rPr>
        <w:drawing>
          <wp:inline distT="0" distB="0" distL="0" distR="0" wp14:anchorId="05FF943A" wp14:editId="6027A13C">
            <wp:extent cx="8250013" cy="3427535"/>
            <wp:effectExtent l="19050" t="19050" r="17780" b="20955"/>
            <wp:docPr id="41332057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311" b="527"/>
                    <a:stretch/>
                  </pic:blipFill>
                  <pic:spPr bwMode="auto">
                    <a:xfrm>
                      <a:off x="0" y="0"/>
                      <a:ext cx="8290761" cy="3444464"/>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06C94BC3" w14:textId="77777777" w:rsidR="003708D4" w:rsidRDefault="003708D4" w:rsidP="00816383">
      <w:pPr>
        <w:pStyle w:val="Caption"/>
      </w:pPr>
    </w:p>
    <w:p w14:paraId="166DA39F" w14:textId="77777777" w:rsidR="003708D4" w:rsidRDefault="003708D4" w:rsidP="00816383">
      <w:pPr>
        <w:pStyle w:val="Caption"/>
      </w:pPr>
    </w:p>
    <w:p w14:paraId="0D248398" w14:textId="77777777" w:rsidR="003708D4" w:rsidRDefault="003708D4" w:rsidP="00816383">
      <w:pPr>
        <w:pStyle w:val="Caption"/>
      </w:pPr>
    </w:p>
    <w:p w14:paraId="4106CEA0" w14:textId="77777777" w:rsidR="003708D4" w:rsidRDefault="003708D4" w:rsidP="00816383">
      <w:pPr>
        <w:pStyle w:val="Caption"/>
      </w:pPr>
    </w:p>
    <w:p w14:paraId="18FE6389" w14:textId="4E51AAE2" w:rsidR="004A6628" w:rsidRDefault="004A6628" w:rsidP="004A6628">
      <w:pPr>
        <w:pStyle w:val="Caption"/>
      </w:pPr>
      <w:bookmarkStart w:id="66" w:name="_Toc197520562"/>
      <w:r>
        <w:lastRenderedPageBreak/>
        <w:t xml:space="preserve">Table </w:t>
      </w:r>
      <w:r w:rsidR="00816383">
        <w:t>A</w:t>
      </w:r>
      <w:r w:rsidR="00BF3ECF">
        <w:fldChar w:fldCharType="begin"/>
      </w:r>
      <w:r w:rsidR="00BF3ECF">
        <w:instrText xml:space="preserve"> SEQ Table \* ARABIC </w:instrText>
      </w:r>
      <w:r w:rsidR="00BF3ECF">
        <w:fldChar w:fldCharType="separate"/>
      </w:r>
      <w:r w:rsidR="00682CB2">
        <w:t>12</w:t>
      </w:r>
      <w:r w:rsidR="00BF3ECF">
        <w:fldChar w:fldCharType="end"/>
      </w:r>
      <w:r w:rsidR="00BF3ECF">
        <w:t>.</w:t>
      </w:r>
      <w:r>
        <w:t xml:space="preserve"> </w:t>
      </w:r>
      <w:r w:rsidRPr="002E14AC">
        <w:t>Mean Percent Errors by Age Group and Cohort Size, Tract Level, All Massachusetts Geographies</w:t>
      </w:r>
      <w:bookmarkEnd w:id="66"/>
    </w:p>
    <w:p w14:paraId="2FF85A42" w14:textId="705571DF" w:rsidR="00AE2735" w:rsidRPr="004A6628" w:rsidRDefault="00AE2735" w:rsidP="004A6628">
      <w:pPr>
        <w:pStyle w:val="Caption"/>
      </w:pPr>
      <w:r w:rsidRPr="00EA182A">
        <w:rPr>
          <w:rFonts w:eastAsia="Calibri"/>
          <w:b w:val="0"/>
          <w:szCs w:val="22"/>
        </w:rPr>
        <w:t xml:space="preserve">Mean percent error by age group and cohort size (in 2010) Estimates produced for 2020 at age-group/sex/tract level and measured against adjusted Census 2020 values. </w:t>
      </w:r>
      <w:r w:rsidRPr="00EA182A">
        <w:rPr>
          <w:b w:val="0"/>
          <w:szCs w:val="22"/>
        </w:rPr>
        <w:t>Male and female errors combined in MPEs summary.</w:t>
      </w:r>
    </w:p>
    <w:p w14:paraId="57EFBAF7" w14:textId="374948EC" w:rsidR="00A61FAC" w:rsidRDefault="00463A97" w:rsidP="00A61FAC">
      <w:pPr>
        <w:rPr>
          <w:rFonts w:eastAsia="Calibri"/>
        </w:rPr>
      </w:pPr>
      <w:r w:rsidRPr="000863D0">
        <w:rPr>
          <w:noProof/>
        </w:rPr>
        <w:drawing>
          <wp:inline distT="0" distB="0" distL="0" distR="0" wp14:anchorId="117F5DB4" wp14:editId="4D382F23">
            <wp:extent cx="8268628" cy="3737987"/>
            <wp:effectExtent l="19050" t="19050" r="18415" b="15240"/>
            <wp:docPr id="13125835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426" b="498"/>
                    <a:stretch/>
                  </pic:blipFill>
                  <pic:spPr bwMode="auto">
                    <a:xfrm>
                      <a:off x="0" y="0"/>
                      <a:ext cx="8299020" cy="3751726"/>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79BAF4DD" w14:textId="77777777" w:rsidR="00D84D59" w:rsidRDefault="00D84D59" w:rsidP="00BF3ECF">
      <w:pPr>
        <w:pStyle w:val="Caption"/>
      </w:pPr>
    </w:p>
    <w:p w14:paraId="585F5CC1" w14:textId="77777777" w:rsidR="003708D4" w:rsidRDefault="003708D4" w:rsidP="00816383">
      <w:pPr>
        <w:pStyle w:val="Caption"/>
      </w:pPr>
    </w:p>
    <w:p w14:paraId="1B614410" w14:textId="77777777" w:rsidR="003708D4" w:rsidRDefault="003708D4" w:rsidP="00816383">
      <w:pPr>
        <w:pStyle w:val="Caption"/>
      </w:pPr>
    </w:p>
    <w:p w14:paraId="3B8E1702" w14:textId="77777777" w:rsidR="003708D4" w:rsidRDefault="003708D4" w:rsidP="00816383">
      <w:pPr>
        <w:pStyle w:val="Caption"/>
      </w:pPr>
    </w:p>
    <w:p w14:paraId="3483411B" w14:textId="4F4C54B9" w:rsidR="004A6628" w:rsidRPr="004A6628" w:rsidRDefault="004A6628" w:rsidP="004A6628">
      <w:pPr>
        <w:pStyle w:val="Caption"/>
      </w:pPr>
      <w:bookmarkStart w:id="67" w:name="_Toc197520563"/>
      <w:r>
        <w:lastRenderedPageBreak/>
        <w:t xml:space="preserve">Table </w:t>
      </w:r>
      <w:r w:rsidR="00816383">
        <w:t>A</w:t>
      </w:r>
      <w:r w:rsidR="00BF3ECF">
        <w:fldChar w:fldCharType="begin"/>
      </w:r>
      <w:r w:rsidR="00BF3ECF">
        <w:instrText xml:space="preserve"> SEQ Table \* ARABIC </w:instrText>
      </w:r>
      <w:r w:rsidR="00BF3ECF">
        <w:fldChar w:fldCharType="separate"/>
      </w:r>
      <w:r w:rsidR="00682CB2">
        <w:t>13</w:t>
      </w:r>
      <w:r w:rsidR="00BF3ECF">
        <w:fldChar w:fldCharType="end"/>
      </w:r>
      <w:r w:rsidR="00BF3ECF">
        <w:t>.</w:t>
      </w:r>
      <w:r>
        <w:t xml:space="preserve"> </w:t>
      </w:r>
      <w:r w:rsidRPr="00EA182A">
        <w:rPr>
          <w:rFonts w:eastAsia="Calibri"/>
          <w:szCs w:val="22"/>
        </w:rPr>
        <w:t>Mean Percent Errors by Age Group and Cohort Size, Tract-Level, Cape and Island Geographies</w:t>
      </w:r>
      <w:bookmarkEnd w:id="67"/>
    </w:p>
    <w:p w14:paraId="291C14FB" w14:textId="77777777" w:rsidR="007C1DDB" w:rsidRPr="00D84D59" w:rsidRDefault="007C1DDB" w:rsidP="00D84D59">
      <w:pPr>
        <w:pStyle w:val="Caption"/>
      </w:pPr>
      <w:r w:rsidRPr="00EA182A">
        <w:rPr>
          <w:rFonts w:eastAsia="Calibri"/>
          <w:b w:val="0"/>
          <w:szCs w:val="22"/>
        </w:rPr>
        <w:t xml:space="preserve">Mean percent error by age group and cohort size (in 2010) Estimates produced for 2020 at age-group/sex/tract level and measured against adjusted Census 2020 values. </w:t>
      </w:r>
      <w:r w:rsidRPr="00EA182A">
        <w:rPr>
          <w:b w:val="0"/>
          <w:szCs w:val="22"/>
        </w:rPr>
        <w:t>Male and female errors combined in MPEs summary. For tracts in Barnstable, Dukes, and Nantucket Counties.</w:t>
      </w:r>
    </w:p>
    <w:p w14:paraId="3970B5B7" w14:textId="49731210" w:rsidR="001A7FF2" w:rsidRPr="004A6628" w:rsidRDefault="00933C4D" w:rsidP="00D84D59">
      <w:pPr>
        <w:tabs>
          <w:tab w:val="left" w:pos="2340"/>
        </w:tabs>
      </w:pPr>
      <w:r w:rsidRPr="009B3AF7">
        <w:rPr>
          <w:noProof/>
        </w:rPr>
        <w:drawing>
          <wp:inline distT="0" distB="0" distL="0" distR="0" wp14:anchorId="70EA7C46" wp14:editId="7BDAAE81">
            <wp:extent cx="8278674" cy="3737987"/>
            <wp:effectExtent l="19050" t="19050" r="27305" b="15240"/>
            <wp:docPr id="34145530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305" b="498"/>
                    <a:stretch/>
                  </pic:blipFill>
                  <pic:spPr bwMode="auto">
                    <a:xfrm>
                      <a:off x="0" y="0"/>
                      <a:ext cx="8308356" cy="3751389"/>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r w:rsidR="004A6628">
        <w:tab/>
      </w:r>
    </w:p>
    <w:p w14:paraId="5EEA898B" w14:textId="77777777" w:rsidR="003708D4" w:rsidRDefault="003708D4" w:rsidP="00816383">
      <w:pPr>
        <w:pStyle w:val="Caption"/>
      </w:pPr>
    </w:p>
    <w:p w14:paraId="5F2EA577" w14:textId="77777777" w:rsidR="003708D4" w:rsidRDefault="003708D4" w:rsidP="00816383">
      <w:pPr>
        <w:pStyle w:val="Caption"/>
      </w:pPr>
    </w:p>
    <w:p w14:paraId="4E0391A5" w14:textId="77777777" w:rsidR="003708D4" w:rsidRDefault="003708D4" w:rsidP="00816383">
      <w:pPr>
        <w:pStyle w:val="Caption"/>
      </w:pPr>
    </w:p>
    <w:p w14:paraId="6DCC58F3" w14:textId="63C3C2CD" w:rsidR="004A6628" w:rsidRDefault="004A6628" w:rsidP="004A6628">
      <w:pPr>
        <w:pStyle w:val="Caption"/>
      </w:pPr>
      <w:bookmarkStart w:id="68" w:name="_Toc197520564"/>
      <w:r>
        <w:lastRenderedPageBreak/>
        <w:t xml:space="preserve">Table </w:t>
      </w:r>
      <w:r w:rsidR="00816383">
        <w:t>A</w:t>
      </w:r>
      <w:r w:rsidR="00BF3ECF">
        <w:fldChar w:fldCharType="begin"/>
      </w:r>
      <w:r w:rsidR="00BF3ECF">
        <w:instrText xml:space="preserve"> SEQ Table \* ARABIC </w:instrText>
      </w:r>
      <w:r w:rsidR="00BF3ECF">
        <w:fldChar w:fldCharType="separate"/>
      </w:r>
      <w:r w:rsidR="00682CB2">
        <w:t>14</w:t>
      </w:r>
      <w:r w:rsidR="00BF3ECF">
        <w:fldChar w:fldCharType="end"/>
      </w:r>
      <w:r w:rsidR="00BF3ECF">
        <w:t>.</w:t>
      </w:r>
      <w:r>
        <w:t xml:space="preserve"> </w:t>
      </w:r>
      <w:r w:rsidRPr="00EA182A">
        <w:rPr>
          <w:rFonts w:eastAsia="Calibri"/>
          <w:szCs w:val="22"/>
        </w:rPr>
        <w:t xml:space="preserve">Mean Percent Errors by Age Group and Cohort Size, </w:t>
      </w:r>
      <w:r w:rsidR="00975FC2">
        <w:rPr>
          <w:rFonts w:eastAsia="Calibri"/>
          <w:szCs w:val="22"/>
        </w:rPr>
        <w:t>Tract</w:t>
      </w:r>
      <w:r w:rsidRPr="00EA182A">
        <w:rPr>
          <w:rFonts w:eastAsia="Calibri"/>
          <w:szCs w:val="22"/>
        </w:rPr>
        <w:t>-Level, Balance of State</w:t>
      </w:r>
      <w:bookmarkEnd w:id="68"/>
    </w:p>
    <w:p w14:paraId="33F7F3C4" w14:textId="7A42BFFD" w:rsidR="001A7FF2" w:rsidRPr="00EA182A" w:rsidRDefault="001A7FF2" w:rsidP="004A6628">
      <w:pPr>
        <w:pStyle w:val="Caption"/>
      </w:pPr>
      <w:r w:rsidRPr="1A1B9C1E">
        <w:rPr>
          <w:rFonts w:eastAsia="Calibri"/>
          <w:b w:val="0"/>
        </w:rPr>
        <w:t xml:space="preserve">Mean percent error by age group and cohort size (in 2010) Estimates produced for 2020 at age-group/sex/tract level and measured against Census 2020 values. </w:t>
      </w:r>
      <w:r>
        <w:rPr>
          <w:b w:val="0"/>
        </w:rPr>
        <w:t>Male and female errors combined in MPEs summary. For tracts in Massachusetts excluding Barnstable, Dukes, and Nantucket Counties.</w:t>
      </w:r>
    </w:p>
    <w:p w14:paraId="35956212" w14:textId="5526AEF4" w:rsidR="00823ABB" w:rsidRDefault="00152EEF" w:rsidP="00A61FAC">
      <w:pPr>
        <w:tabs>
          <w:tab w:val="left" w:pos="2340"/>
        </w:tabs>
        <w:sectPr w:rsidR="00823ABB" w:rsidSect="00823ABB">
          <w:pgSz w:w="15840" w:h="12240" w:orient="landscape" w:code="1"/>
          <w:pgMar w:top="1440" w:right="1440" w:bottom="1440" w:left="1440" w:header="1267" w:footer="1267" w:gutter="0"/>
          <w:cols w:space="720"/>
          <w:docGrid w:linePitch="360"/>
        </w:sectPr>
      </w:pPr>
      <w:r w:rsidRPr="007814CC">
        <w:rPr>
          <w:rFonts w:eastAsia="Calibri"/>
          <w:noProof/>
        </w:rPr>
        <w:drawing>
          <wp:inline distT="0" distB="0" distL="0" distR="0" wp14:anchorId="5D1E65CF" wp14:editId="53B95B89">
            <wp:extent cx="8188960" cy="3707842"/>
            <wp:effectExtent l="19050" t="19050" r="21590" b="26035"/>
            <wp:docPr id="2729909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1" r="505" b="419"/>
                    <a:stretch/>
                  </pic:blipFill>
                  <pic:spPr bwMode="auto">
                    <a:xfrm>
                      <a:off x="0" y="0"/>
                      <a:ext cx="8227224" cy="3725167"/>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19C0461D" w14:textId="66241C31" w:rsidR="00634DB2" w:rsidRDefault="00650E9B" w:rsidP="00634DB2">
      <w:pPr>
        <w:pStyle w:val="Heading1"/>
      </w:pPr>
      <w:bookmarkStart w:id="69" w:name="_Toc197520546"/>
      <w:r>
        <w:lastRenderedPageBreak/>
        <w:t>Works Cited</w:t>
      </w:r>
      <w:bookmarkEnd w:id="69"/>
    </w:p>
    <w:p w14:paraId="46CB4DB8"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normaltextrun"/>
          <w:rFonts w:asciiTheme="minorHAnsi" w:hAnsiTheme="minorHAnsi" w:cstheme="minorHAnsi"/>
          <w:sz w:val="22"/>
          <w:szCs w:val="22"/>
        </w:rPr>
        <w:t>Baker et al. 2013</w:t>
      </w:r>
      <w:r w:rsidRPr="008501BC">
        <w:rPr>
          <w:rStyle w:val="eop"/>
          <w:rFonts w:asciiTheme="minorHAnsi" w:eastAsiaTheme="majorEastAsia" w:hAnsiTheme="minorHAnsi" w:cstheme="minorHAnsi"/>
          <w:sz w:val="22"/>
          <w:szCs w:val="22"/>
        </w:rPr>
        <w:t> </w:t>
      </w:r>
    </w:p>
    <w:p w14:paraId="007154D4"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normaltextrun"/>
          <w:rFonts w:asciiTheme="minorHAnsi" w:hAnsiTheme="minorHAnsi" w:cstheme="minorHAnsi"/>
          <w:sz w:val="22"/>
          <w:szCs w:val="22"/>
        </w:rPr>
        <w:t>A Comparative Evaluation of Error and Bias in Census Tract-Level Age/Sex-Specific Population Estimates: Component I (Net-Migration) vs Component III (Hamilton–Perry)</w:t>
      </w:r>
      <w:r w:rsidRPr="008501BC">
        <w:rPr>
          <w:rStyle w:val="eop"/>
          <w:rFonts w:asciiTheme="minorHAnsi" w:eastAsiaTheme="majorEastAsia" w:hAnsiTheme="minorHAnsi" w:cstheme="minorHAnsi"/>
          <w:sz w:val="22"/>
          <w:szCs w:val="22"/>
        </w:rPr>
        <w:t> </w:t>
      </w:r>
    </w:p>
    <w:p w14:paraId="16CFF959"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normaltextrun"/>
          <w:rFonts w:asciiTheme="minorHAnsi" w:hAnsiTheme="minorHAnsi" w:cstheme="minorHAnsi"/>
          <w:sz w:val="22"/>
          <w:szCs w:val="22"/>
        </w:rPr>
        <w:t>Jack Baker, Adelamar Alcantara, Xiaomin Ruan, Kendra Watkins, Srini Vasan</w:t>
      </w:r>
      <w:r w:rsidRPr="008501BC">
        <w:rPr>
          <w:rStyle w:val="eop"/>
          <w:rFonts w:asciiTheme="minorHAnsi" w:eastAsiaTheme="majorEastAsia" w:hAnsiTheme="minorHAnsi" w:cstheme="minorHAnsi"/>
          <w:sz w:val="22"/>
          <w:szCs w:val="22"/>
        </w:rPr>
        <w:t> </w:t>
      </w:r>
    </w:p>
    <w:p w14:paraId="439D84E1"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normaltextrun"/>
          <w:rFonts w:asciiTheme="minorHAnsi" w:hAnsiTheme="minorHAnsi" w:cstheme="minorHAnsi"/>
          <w:sz w:val="22"/>
          <w:szCs w:val="22"/>
        </w:rPr>
        <w:t>Received: 2 July 2012 / Accepted: 8 July 2013 / Published online: 3 August 2013</w:t>
      </w:r>
      <w:r w:rsidRPr="008501BC">
        <w:rPr>
          <w:rStyle w:val="eop"/>
          <w:rFonts w:asciiTheme="minorHAnsi" w:eastAsiaTheme="majorEastAsia" w:hAnsiTheme="minorHAnsi" w:cstheme="minorHAnsi"/>
          <w:sz w:val="22"/>
          <w:szCs w:val="22"/>
        </w:rPr>
        <w:t> </w:t>
      </w:r>
    </w:p>
    <w:p w14:paraId="0CFF7DE7"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color w:val="000000"/>
          <w:sz w:val="22"/>
          <w:szCs w:val="22"/>
        </w:rPr>
      </w:pPr>
      <w:r w:rsidRPr="008501BC">
        <w:rPr>
          <w:rStyle w:val="normaltextrun"/>
          <w:rFonts w:asciiTheme="minorHAnsi" w:hAnsiTheme="minorHAnsi" w:cstheme="minorHAnsi"/>
          <w:i/>
          <w:iCs/>
          <w:sz w:val="22"/>
          <w:szCs w:val="22"/>
        </w:rPr>
        <w:t>Springer Science+Business Media Dordrecht</w:t>
      </w:r>
      <w:r w:rsidRPr="008501BC">
        <w:rPr>
          <w:rStyle w:val="normaltextrun"/>
          <w:rFonts w:asciiTheme="minorHAnsi" w:hAnsiTheme="minorHAnsi" w:cstheme="minorHAnsi"/>
          <w:sz w:val="22"/>
          <w:szCs w:val="22"/>
        </w:rPr>
        <w:t xml:space="preserve"> 2013</w:t>
      </w:r>
      <w:r w:rsidRPr="008501BC">
        <w:rPr>
          <w:rStyle w:val="eop"/>
          <w:rFonts w:asciiTheme="minorHAnsi" w:eastAsiaTheme="majorEastAsia" w:hAnsiTheme="minorHAnsi" w:cstheme="minorHAnsi"/>
          <w:sz w:val="22"/>
          <w:szCs w:val="22"/>
        </w:rPr>
        <w:t> </w:t>
      </w:r>
    </w:p>
    <w:p w14:paraId="408DADBB"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eop"/>
          <w:rFonts w:asciiTheme="minorHAnsi" w:eastAsiaTheme="majorEastAsia" w:hAnsiTheme="minorHAnsi" w:cstheme="minorHAnsi"/>
          <w:sz w:val="22"/>
          <w:szCs w:val="22"/>
        </w:rPr>
        <w:t> </w:t>
      </w:r>
    </w:p>
    <w:p w14:paraId="164EBC39"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normaltextrun"/>
          <w:rFonts w:asciiTheme="minorHAnsi" w:hAnsiTheme="minorHAnsi" w:cstheme="minorHAnsi"/>
          <w:sz w:val="22"/>
          <w:szCs w:val="22"/>
        </w:rPr>
        <w:t>Baker et al. 2012 </w:t>
      </w:r>
      <w:r w:rsidRPr="008501BC">
        <w:rPr>
          <w:rStyle w:val="eop"/>
          <w:rFonts w:asciiTheme="minorHAnsi" w:eastAsiaTheme="majorEastAsia" w:hAnsiTheme="minorHAnsi" w:cstheme="minorHAnsi"/>
          <w:sz w:val="22"/>
          <w:szCs w:val="22"/>
        </w:rPr>
        <w:t> </w:t>
      </w:r>
    </w:p>
    <w:p w14:paraId="65978FA7"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normaltextrun"/>
          <w:rFonts w:asciiTheme="minorHAnsi" w:hAnsiTheme="minorHAnsi" w:cstheme="minorHAnsi"/>
          <w:sz w:val="22"/>
          <w:szCs w:val="22"/>
        </w:rPr>
        <w:t>Baker, J., Alcantara, A., Ruan, X. M., &amp; Watkins, K. The impact of incomplete geocoding on small area population estimates. Journal of Population Research, 29, 91–112. 2012.</w:t>
      </w:r>
      <w:r w:rsidRPr="008501BC">
        <w:rPr>
          <w:rStyle w:val="eop"/>
          <w:rFonts w:asciiTheme="minorHAnsi" w:eastAsiaTheme="majorEastAsia" w:hAnsiTheme="minorHAnsi" w:cstheme="minorHAnsi"/>
          <w:sz w:val="22"/>
          <w:szCs w:val="22"/>
        </w:rPr>
        <w:t> </w:t>
      </w:r>
    </w:p>
    <w:p w14:paraId="026ED54F"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normaltextrun"/>
          <w:rFonts w:asciiTheme="minorHAnsi" w:hAnsiTheme="minorHAnsi" w:cstheme="minorHAnsi"/>
          <w:sz w:val="22"/>
          <w:szCs w:val="22"/>
        </w:rPr>
        <w:t>Hamilton, C., &amp; Perry, J. (1962). A short method for projecting population by age from one decennial census to another. Social Forces, 41(2), 163–170.</w:t>
      </w:r>
      <w:r w:rsidRPr="008501BC">
        <w:rPr>
          <w:rStyle w:val="eop"/>
          <w:rFonts w:asciiTheme="minorHAnsi" w:eastAsiaTheme="majorEastAsia" w:hAnsiTheme="minorHAnsi" w:cstheme="minorHAnsi"/>
          <w:sz w:val="22"/>
          <w:szCs w:val="22"/>
        </w:rPr>
        <w:t> </w:t>
      </w:r>
    </w:p>
    <w:p w14:paraId="70F9F0CB"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eop"/>
          <w:rFonts w:asciiTheme="minorHAnsi" w:eastAsiaTheme="majorEastAsia" w:hAnsiTheme="minorHAnsi" w:cstheme="minorHAnsi"/>
          <w:sz w:val="22"/>
          <w:szCs w:val="22"/>
        </w:rPr>
        <w:t> </w:t>
      </w:r>
    </w:p>
    <w:p w14:paraId="3F978553" w14:textId="59F64E3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normaltextrun"/>
          <w:rFonts w:asciiTheme="minorHAnsi" w:hAnsiTheme="minorHAnsi" w:cstheme="minorHAnsi"/>
          <w:sz w:val="22"/>
          <w:szCs w:val="22"/>
        </w:rPr>
        <w:t>Schroeder, J. P. (2007)</w:t>
      </w:r>
      <w:r w:rsidR="00E9330B" w:rsidRPr="008501BC">
        <w:rPr>
          <w:rStyle w:val="normaltextrun"/>
          <w:rFonts w:asciiTheme="minorHAnsi" w:hAnsiTheme="minorHAnsi" w:cstheme="minorHAnsi"/>
          <w:sz w:val="22"/>
          <w:szCs w:val="22"/>
        </w:rPr>
        <w:t xml:space="preserve">. </w:t>
      </w:r>
    </w:p>
    <w:p w14:paraId="32E28902"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normaltextrun"/>
          <w:rFonts w:asciiTheme="minorHAnsi" w:hAnsiTheme="minorHAnsi" w:cstheme="minorHAnsi"/>
          <w:sz w:val="22"/>
          <w:szCs w:val="22"/>
        </w:rPr>
        <w:t xml:space="preserve">"Target-density weighting interpolation and uncertainty evaluation for temporal analysis of census data." </w:t>
      </w:r>
      <w:r w:rsidRPr="008501BC">
        <w:rPr>
          <w:rStyle w:val="normaltextrun"/>
          <w:rFonts w:asciiTheme="minorHAnsi" w:hAnsiTheme="minorHAnsi" w:cstheme="minorHAnsi"/>
          <w:i/>
          <w:iCs/>
          <w:sz w:val="22"/>
          <w:szCs w:val="22"/>
        </w:rPr>
        <w:t>Geographical Analysis</w:t>
      </w:r>
      <w:r w:rsidRPr="008501BC">
        <w:rPr>
          <w:rStyle w:val="normaltextrun"/>
          <w:rFonts w:asciiTheme="minorHAnsi" w:hAnsiTheme="minorHAnsi" w:cstheme="minorHAnsi"/>
          <w:sz w:val="22"/>
          <w:szCs w:val="22"/>
        </w:rPr>
        <w:t xml:space="preserve"> 39(3), 311–335. </w:t>
      </w:r>
      <w:hyperlink r:id="rId33" w:tgtFrame="_blank" w:history="1">
        <w:r w:rsidRPr="008501BC">
          <w:rPr>
            <w:rStyle w:val="normaltextrun"/>
            <w:rFonts w:asciiTheme="minorHAnsi" w:hAnsiTheme="minorHAnsi" w:cstheme="minorHAnsi"/>
            <w:sz w:val="22"/>
            <w:szCs w:val="22"/>
            <w:u w:val="single"/>
          </w:rPr>
          <w:t>http://dx.doi.org/10.1111/j.1538-4632.2007.00706.x</w:t>
        </w:r>
      </w:hyperlink>
      <w:r w:rsidRPr="008501BC">
        <w:rPr>
          <w:rStyle w:val="eop"/>
          <w:rFonts w:asciiTheme="minorHAnsi" w:eastAsiaTheme="majorEastAsia" w:hAnsiTheme="minorHAnsi" w:cstheme="minorHAnsi"/>
          <w:sz w:val="22"/>
          <w:szCs w:val="22"/>
        </w:rPr>
        <w:t> </w:t>
      </w:r>
    </w:p>
    <w:p w14:paraId="37AEF2FC"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eop"/>
          <w:rFonts w:asciiTheme="minorHAnsi" w:eastAsiaTheme="majorEastAsia" w:hAnsiTheme="minorHAnsi" w:cstheme="minorHAnsi"/>
          <w:sz w:val="22"/>
          <w:szCs w:val="22"/>
        </w:rPr>
        <w:t> </w:t>
      </w:r>
    </w:p>
    <w:p w14:paraId="4DAC7E8B"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normaltextrun"/>
          <w:rFonts w:asciiTheme="minorHAnsi" w:hAnsiTheme="minorHAnsi" w:cstheme="minorHAnsi"/>
          <w:sz w:val="22"/>
          <w:szCs w:val="22"/>
        </w:rPr>
        <w:t>Smith, Tayman, and Swanson </w:t>
      </w:r>
      <w:r w:rsidRPr="008501BC">
        <w:rPr>
          <w:rStyle w:val="eop"/>
          <w:rFonts w:asciiTheme="minorHAnsi" w:eastAsiaTheme="majorEastAsia" w:hAnsiTheme="minorHAnsi" w:cstheme="minorHAnsi"/>
          <w:sz w:val="22"/>
          <w:szCs w:val="22"/>
        </w:rPr>
        <w:t> </w:t>
      </w:r>
    </w:p>
    <w:p w14:paraId="6D7F81E5"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normaltextrun"/>
          <w:rFonts w:asciiTheme="minorHAnsi" w:hAnsiTheme="minorHAnsi" w:cstheme="minorHAnsi"/>
          <w:sz w:val="22"/>
          <w:szCs w:val="22"/>
        </w:rPr>
        <w:t>A Practitioner’s Guide to State and Local Population Projections, Stanley K. Smith, Jeff Tayman, David A. Swanson, THE SPRINGER SERIES ON DEMOGRAPHIC METHODS AND POPULATION ANALYSIS. Series Editor KENNETH C. LAND</w:t>
      </w:r>
      <w:r w:rsidRPr="008501BC">
        <w:rPr>
          <w:rStyle w:val="eop"/>
          <w:rFonts w:asciiTheme="minorHAnsi" w:eastAsiaTheme="majorEastAsia" w:hAnsiTheme="minorHAnsi" w:cstheme="minorHAnsi"/>
          <w:sz w:val="22"/>
          <w:szCs w:val="22"/>
        </w:rPr>
        <w:t> </w:t>
      </w:r>
    </w:p>
    <w:p w14:paraId="4FA72181" w14:textId="77777777" w:rsidR="00F9772B" w:rsidRPr="008501BC" w:rsidRDefault="00F9772B" w:rsidP="00F9772B">
      <w:pPr>
        <w:pStyle w:val="paragraph"/>
        <w:spacing w:before="0" w:beforeAutospacing="0" w:after="0" w:afterAutospacing="0"/>
        <w:textAlignment w:val="baseline"/>
        <w:rPr>
          <w:rFonts w:asciiTheme="minorHAnsi" w:hAnsiTheme="minorHAnsi" w:cstheme="minorHAnsi"/>
          <w:sz w:val="22"/>
          <w:szCs w:val="22"/>
        </w:rPr>
      </w:pPr>
      <w:r w:rsidRPr="008501BC">
        <w:rPr>
          <w:rStyle w:val="normaltextrun"/>
          <w:rFonts w:asciiTheme="minorHAnsi" w:hAnsiTheme="minorHAnsi" w:cstheme="minorHAnsi"/>
          <w:sz w:val="22"/>
          <w:szCs w:val="22"/>
        </w:rPr>
        <w:t>Duke University, Springer Science+Business Media, Dordrecht 2013</w:t>
      </w:r>
      <w:r w:rsidRPr="008501BC">
        <w:rPr>
          <w:rStyle w:val="eop"/>
          <w:rFonts w:asciiTheme="minorHAnsi" w:eastAsiaTheme="majorEastAsia" w:hAnsiTheme="minorHAnsi" w:cstheme="minorHAnsi"/>
          <w:sz w:val="22"/>
          <w:szCs w:val="22"/>
        </w:rPr>
        <w:t> </w:t>
      </w:r>
    </w:p>
    <w:p w14:paraId="004E82DB" w14:textId="28D3F03F" w:rsidR="00DE1408" w:rsidRDefault="00DE1408">
      <w:pPr>
        <w:spacing w:after="160" w:line="259" w:lineRule="auto"/>
      </w:pPr>
    </w:p>
    <w:p w14:paraId="60ADFBF8" w14:textId="77777777" w:rsidR="00634DB2" w:rsidRPr="00634DB2" w:rsidRDefault="00634DB2" w:rsidP="00DE1408"/>
    <w:sectPr w:rsidR="00634DB2" w:rsidRPr="00634DB2" w:rsidSect="00823ABB">
      <w:pgSz w:w="12240" w:h="15840" w:code="1"/>
      <w:pgMar w:top="1440" w:right="1440" w:bottom="1440" w:left="1440" w:header="1267" w:footer="12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EA5EA" w14:textId="77777777" w:rsidR="00F82EE6" w:rsidRPr="00344AD9" w:rsidRDefault="00F82EE6" w:rsidP="00344AD9">
      <w:pPr>
        <w:spacing w:after="0" w:line="240" w:lineRule="auto"/>
        <w:rPr>
          <w:sz w:val="12"/>
          <w:szCs w:val="12"/>
        </w:rPr>
      </w:pPr>
    </w:p>
    <w:p w14:paraId="08EFC42C" w14:textId="77777777" w:rsidR="00F82EE6" w:rsidRDefault="00F82EE6"/>
  </w:endnote>
  <w:endnote w:type="continuationSeparator" w:id="0">
    <w:p w14:paraId="1473A9CE" w14:textId="77777777" w:rsidR="00F82EE6" w:rsidRPr="00344AD9" w:rsidRDefault="00F82EE6" w:rsidP="00344AD9">
      <w:pPr>
        <w:spacing w:after="0" w:line="240" w:lineRule="auto"/>
        <w:rPr>
          <w:sz w:val="12"/>
          <w:szCs w:val="12"/>
        </w:rPr>
      </w:pPr>
    </w:p>
    <w:p w14:paraId="34460ED7" w14:textId="77777777" w:rsidR="00F82EE6" w:rsidRDefault="00F82EE6"/>
  </w:endnote>
  <w:endnote w:type="continuationNotice" w:id="1">
    <w:p w14:paraId="5F67AC5A" w14:textId="77777777" w:rsidR="00F82EE6" w:rsidRDefault="00F82EE6">
      <w:pPr>
        <w:spacing w:after="0" w:line="240" w:lineRule="auto"/>
      </w:pPr>
    </w:p>
    <w:p w14:paraId="274BEFE8" w14:textId="77777777" w:rsidR="00F82EE6" w:rsidRDefault="00F82E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dvPTimes">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B081B" w14:textId="77777777" w:rsidR="00135EFB" w:rsidRDefault="00135EFB" w:rsidP="00033E73">
    <w:pPr>
      <w:pStyle w:val="Footer"/>
      <w:spacing w:after="690"/>
      <w:jc w:val="right"/>
    </w:pPr>
    <w:r>
      <w:rPr>
        <w:noProof/>
      </w:rPr>
      <w:drawing>
        <wp:anchor distT="0" distB="0" distL="114300" distR="114300" simplePos="0" relativeHeight="251658241" behindDoc="0" locked="1" layoutInCell="1" allowOverlap="1" wp14:anchorId="384D68E5" wp14:editId="0CBDF129">
          <wp:simplePos x="0" y="0"/>
          <wp:positionH relativeFrom="column">
            <wp:posOffset>0</wp:posOffset>
          </wp:positionH>
          <wp:positionV relativeFrom="page">
            <wp:posOffset>6062345</wp:posOffset>
          </wp:positionV>
          <wp:extent cx="5943600" cy="1828800"/>
          <wp:effectExtent l="0" t="0" r="0" b="0"/>
          <wp:wrapNone/>
          <wp:docPr id="240541451" name="Picture 24054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
                    <a:extLst>
                      <a:ext uri="{28A0092B-C50C-407E-A947-70E740481C1C}">
                        <a14:useLocalDpi xmlns:a14="http://schemas.microsoft.com/office/drawing/2010/main" val="0"/>
                      </a:ext>
                    </a:extLst>
                  </a:blip>
                  <a:srcRect t="20046"/>
                  <a:stretch/>
                </pic:blipFill>
                <pic:spPr bwMode="auto">
                  <a:xfrm>
                    <a:off x="0" y="0"/>
                    <a:ext cx="5943600" cy="1828800"/>
                  </a:xfrm>
                  <a:prstGeom prst="rect">
                    <a:avLst/>
                  </a:prstGeom>
                  <a:ln>
                    <a:noFill/>
                  </a:ln>
                  <a:extLst>
                    <a:ext uri="{53640926-AAD7-44D8-BBD7-CCE9431645EC}">
                      <a14:shadowObscured xmlns:a14="http://schemas.microsoft.com/office/drawing/2010/main"/>
                    </a:ext>
                  </a:extLst>
                </pic:spPr>
              </pic:pic>
            </a:graphicData>
          </a:graphic>
        </wp:anchor>
      </w:drawing>
    </w:r>
    <w:bookmarkStart w:id="1" w:name="bmkCP4FooterLogo"/>
    <w:bookmarkEnd w:id="1"/>
    <w:r>
      <w:rPr>
        <w:noProof/>
      </w:rPr>
      <w:drawing>
        <wp:inline distT="0" distB="0" distL="0" distR="0" wp14:anchorId="6DD96ECF" wp14:editId="497CEEE3">
          <wp:extent cx="2968388" cy="828675"/>
          <wp:effectExtent l="0" t="0" r="3810" b="0"/>
          <wp:docPr id="46995481" name="Picture 46995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nahue-EPPR_horiz-WEB-lr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99072" cy="837241"/>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1BB7A" w14:textId="77777777" w:rsidR="00135EFB" w:rsidRDefault="00135EFB" w:rsidP="00033E73">
    <w:pPr>
      <w:pStyle w:val="Footer"/>
      <w:spacing w:after="690"/>
      <w:jc w:val="right"/>
    </w:pPr>
    <w:r>
      <w:rPr>
        <w:noProof/>
      </w:rPr>
      <w:drawing>
        <wp:inline distT="0" distB="0" distL="0" distR="0" wp14:anchorId="58E565B0" wp14:editId="737AE800">
          <wp:extent cx="2968388" cy="828675"/>
          <wp:effectExtent l="0" t="0" r="3810" b="0"/>
          <wp:docPr id="424190453" name="Picture 42419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nahue-EPPR_horiz-WEB-lr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9072" cy="837241"/>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31D5D" w14:textId="77777777" w:rsidR="00135EFB" w:rsidRDefault="00135EFB" w:rsidP="003163D1">
    <w:pPr>
      <w:pStyle w:val="Footer"/>
      <w:pBdr>
        <w:top w:val="single" w:sz="4" w:space="6" w:color="404040" w:themeColor="text1" w:themeTint="BF"/>
      </w:pBdr>
      <w:tabs>
        <w:tab w:val="clear" w:pos="4680"/>
      </w:tabs>
    </w:pPr>
    <w:r w:rsidRPr="003163D1">
      <w:rPr>
        <w:rFonts w:asciiTheme="majorHAnsi" w:hAnsiTheme="majorHAnsi"/>
        <w:color w:val="auto"/>
        <w:sz w:val="22"/>
      </w:rPr>
      <w:t>UMass Donahue Institute</w:t>
    </w:r>
  </w:p>
  <w:p w14:paraId="541A25D1" w14:textId="77777777" w:rsidR="00935CBA" w:rsidRDefault="00135EFB" w:rsidP="007239E3">
    <w:pPr>
      <w:pStyle w:val="Footer"/>
      <w:pBdr>
        <w:top w:val="single" w:sz="4" w:space="6" w:color="404040" w:themeColor="text1" w:themeTint="BF"/>
      </w:pBdr>
      <w:tabs>
        <w:tab w:val="clear" w:pos="4680"/>
      </w:tabs>
    </w:pPr>
    <w:r w:rsidRPr="003163D1">
      <w:rPr>
        <w:rFonts w:asciiTheme="majorHAnsi" w:hAnsiTheme="majorHAnsi"/>
        <w:color w:val="auto"/>
        <w:sz w:val="22"/>
      </w:rPr>
      <w:t>Economic and Public Policy Research</w:t>
    </w:r>
    <w:r>
      <w:tab/>
    </w:r>
    <w:r>
      <w:fldChar w:fldCharType="begin"/>
    </w:r>
    <w:r>
      <w:instrText xml:space="preserve"> PAGE   \* MERGEFORMAT </w:instrText>
    </w:r>
    <w:r>
      <w:fldChar w:fldCharType="separate"/>
    </w:r>
    <w:r w:rsidR="00A43129">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017D3" w14:textId="77777777" w:rsidR="00F82EE6" w:rsidRDefault="00F82EE6" w:rsidP="00F91EC0">
      <w:pPr>
        <w:pBdr>
          <w:bottom w:val="single" w:sz="4" w:space="1" w:color="999B9E"/>
        </w:pBdr>
        <w:spacing w:after="0" w:line="240" w:lineRule="auto"/>
      </w:pPr>
      <w:bookmarkStart w:id="0" w:name="_Hlk479277692"/>
      <w:bookmarkEnd w:id="0"/>
    </w:p>
    <w:p w14:paraId="338EDA89" w14:textId="77777777" w:rsidR="00F82EE6" w:rsidRDefault="00F82EE6" w:rsidP="00F91EC0">
      <w:pPr>
        <w:spacing w:after="0"/>
      </w:pPr>
    </w:p>
  </w:footnote>
  <w:footnote w:type="continuationSeparator" w:id="0">
    <w:p w14:paraId="01F98288" w14:textId="77777777" w:rsidR="00F82EE6" w:rsidRDefault="00F82EE6" w:rsidP="002D676C">
      <w:pPr>
        <w:pBdr>
          <w:bottom w:val="single" w:sz="4" w:space="1" w:color="999B9E"/>
        </w:pBdr>
        <w:spacing w:after="80" w:line="240" w:lineRule="auto"/>
      </w:pPr>
    </w:p>
    <w:p w14:paraId="5C11401F" w14:textId="77777777" w:rsidR="00F82EE6" w:rsidRDefault="00F82EE6" w:rsidP="00BF66A7">
      <w:pPr>
        <w:spacing w:after="0" w:line="240" w:lineRule="auto"/>
      </w:pPr>
    </w:p>
  </w:footnote>
  <w:footnote w:type="continuationNotice" w:id="1">
    <w:p w14:paraId="4F16F0DC" w14:textId="77777777" w:rsidR="00F82EE6" w:rsidRDefault="00F82EE6">
      <w:pPr>
        <w:spacing w:after="0" w:line="240" w:lineRule="auto"/>
      </w:pPr>
    </w:p>
    <w:p w14:paraId="3E23165E" w14:textId="77777777" w:rsidR="00F82EE6" w:rsidRDefault="00F82EE6"/>
  </w:footnote>
  <w:footnote w:id="2">
    <w:p w14:paraId="41F183D2" w14:textId="77777777" w:rsidR="00AD23A9" w:rsidRPr="00FD6F37" w:rsidRDefault="00AD23A9" w:rsidP="00AD23A9">
      <w:pPr>
        <w:pStyle w:val="FootnoteText"/>
        <w:spacing w:line="240" w:lineRule="auto"/>
        <w:rPr>
          <w:rFonts w:asciiTheme="minorHAnsi" w:hAnsiTheme="minorHAnsi"/>
        </w:rPr>
      </w:pPr>
      <w:r w:rsidRPr="00FD6F37">
        <w:rPr>
          <w:rStyle w:val="FootnoteReference"/>
          <w:rFonts w:asciiTheme="minorHAnsi" w:hAnsiTheme="minorHAnsi"/>
        </w:rPr>
        <w:footnoteRef/>
      </w:r>
      <w:r w:rsidRPr="00FD6F37">
        <w:rPr>
          <w:rFonts w:asciiTheme="minorHAnsi" w:hAnsiTheme="minorHAnsi"/>
        </w:rPr>
        <w:t xml:space="preserve"> “Ethnicity” in this report refers to Hispanic or non-Hispanic origin.</w:t>
      </w:r>
    </w:p>
  </w:footnote>
  <w:footnote w:id="3">
    <w:p w14:paraId="695AE8AD" w14:textId="77777777" w:rsidR="00AD23A9" w:rsidRPr="00FD6F37" w:rsidRDefault="00AD23A9" w:rsidP="00AD23A9">
      <w:pPr>
        <w:pStyle w:val="FootnoteText"/>
        <w:spacing w:line="240" w:lineRule="auto"/>
        <w:rPr>
          <w:rFonts w:asciiTheme="minorHAnsi" w:hAnsiTheme="minorHAnsi"/>
        </w:rPr>
      </w:pPr>
      <w:r w:rsidRPr="00FD6F37">
        <w:rPr>
          <w:rStyle w:val="FootnoteReference"/>
          <w:rFonts w:asciiTheme="minorHAnsi" w:hAnsiTheme="minorHAnsi"/>
        </w:rPr>
        <w:footnoteRef/>
      </w:r>
      <w:r w:rsidRPr="00FD6F37">
        <w:rPr>
          <w:rFonts w:asciiTheme="minorHAnsi" w:hAnsiTheme="minorHAnsi"/>
        </w:rPr>
        <w:t xml:space="preserve"> Tract-level estimates conform</w:t>
      </w:r>
      <w:r>
        <w:rPr>
          <w:rFonts w:asciiTheme="minorHAnsi" w:hAnsiTheme="minorHAnsi"/>
        </w:rPr>
        <w:t>ed</w:t>
      </w:r>
      <w:r w:rsidRPr="00FD6F37">
        <w:rPr>
          <w:rFonts w:asciiTheme="minorHAnsi" w:hAnsiTheme="minorHAnsi"/>
        </w:rPr>
        <w:t xml:space="preserve"> to Census 2010 tract boundaries. Estimates for years 2011 through 2015 </w:t>
      </w:r>
      <w:r>
        <w:rPr>
          <w:rFonts w:asciiTheme="minorHAnsi" w:hAnsiTheme="minorHAnsi"/>
        </w:rPr>
        <w:t>were</w:t>
      </w:r>
      <w:r w:rsidRPr="00FD6F37">
        <w:rPr>
          <w:rFonts w:asciiTheme="minorHAnsi" w:hAnsiTheme="minorHAnsi"/>
        </w:rPr>
        <w:t xml:space="preserve"> controlled to the latest, June 2016 release of the U.S. Census Bureau’s </w:t>
      </w:r>
      <w:r w:rsidRPr="00FD6F37">
        <w:rPr>
          <w:rFonts w:asciiTheme="minorHAnsi" w:hAnsiTheme="minorHAnsi"/>
          <w:i/>
        </w:rPr>
        <w:t xml:space="preserve">Annual Estimates of the Resident Population by Sex, Race, and Hispanic Origin Population Estimates for Massachusetts Counties, 2010-201. </w:t>
      </w:r>
      <w:r w:rsidRPr="00FD6F37">
        <w:rPr>
          <w:rFonts w:asciiTheme="minorHAnsi" w:hAnsiTheme="minorHAnsi"/>
        </w:rPr>
        <w:t xml:space="preserve">Estimates 2016-2020 </w:t>
      </w:r>
      <w:r>
        <w:rPr>
          <w:rFonts w:asciiTheme="minorHAnsi" w:hAnsiTheme="minorHAnsi"/>
        </w:rPr>
        <w:t>were</w:t>
      </w:r>
      <w:r w:rsidRPr="00FD6F37">
        <w:rPr>
          <w:rFonts w:asciiTheme="minorHAnsi" w:hAnsiTheme="minorHAnsi"/>
        </w:rPr>
        <w:t xml:space="preserve"> uncontrolled, to be later controlled to county estimates to be released by the Census Bureau in future years.</w:t>
      </w:r>
    </w:p>
  </w:footnote>
  <w:footnote w:id="4">
    <w:p w14:paraId="5F9D296F" w14:textId="77777777" w:rsidR="00AD23A9" w:rsidRDefault="00AD23A9" w:rsidP="00AD23A9">
      <w:pPr>
        <w:pStyle w:val="FootnoteText"/>
      </w:pPr>
      <w:r>
        <w:rPr>
          <w:rStyle w:val="FootnoteReference"/>
        </w:rPr>
        <w:footnoteRef/>
      </w:r>
      <w:r>
        <w:t xml:space="preserve"> </w:t>
      </w:r>
      <w:r w:rsidRPr="0061237F">
        <w:rPr>
          <w:rFonts w:asciiTheme="minorHAnsi" w:hAnsiTheme="minorHAnsi" w:cstheme="minorHAnsi"/>
          <w:bCs/>
          <w:i/>
          <w:iCs/>
        </w:rPr>
        <w:t>UMDI Interim 2020 Population Estimates by Age, Sex, Race, and Municipality</w:t>
      </w:r>
      <w:r w:rsidRPr="0061237F">
        <w:rPr>
          <w:rFonts w:asciiTheme="minorHAnsi" w:hAnsiTheme="minorHAnsi" w:cstheme="minorHAnsi"/>
          <w:bCs/>
        </w:rPr>
        <w:t>, UMass Donahue Institute, March 16, 2022.</w:t>
      </w:r>
    </w:p>
  </w:footnote>
  <w:footnote w:id="5">
    <w:p w14:paraId="43A228C9" w14:textId="14D214F6" w:rsidR="00505E4A" w:rsidRDefault="00505E4A">
      <w:pPr>
        <w:pStyle w:val="FootnoteText"/>
      </w:pPr>
      <w:r>
        <w:rPr>
          <w:rStyle w:val="FootnoteReference"/>
        </w:rPr>
        <w:footnoteRef/>
      </w:r>
      <w:r>
        <w:t xml:space="preserve"> </w:t>
      </w:r>
      <w:r w:rsidR="00DD1661" w:rsidRPr="00A3562B">
        <w:rPr>
          <w:i/>
          <w:iCs/>
        </w:rPr>
        <w:t>Small Area Population Estimates for 2021 through 2030</w:t>
      </w:r>
      <w:r w:rsidR="00DD1661" w:rsidRPr="00DD1661">
        <w:t>, UMass Donahue Institute, June 26, 2024.</w:t>
      </w:r>
    </w:p>
  </w:footnote>
  <w:footnote w:id="6">
    <w:p w14:paraId="22A46799" w14:textId="58708499" w:rsidR="00AA5039" w:rsidRDefault="00AA5039">
      <w:pPr>
        <w:pStyle w:val="FootnoteText"/>
      </w:pPr>
      <w:r>
        <w:rPr>
          <w:rStyle w:val="FootnoteReference"/>
        </w:rPr>
        <w:footnoteRef/>
      </w:r>
      <w:r>
        <w:t xml:space="preserve"> </w:t>
      </w:r>
      <w:r w:rsidR="005600A7" w:rsidRPr="005600A7">
        <w:t>2010 File: 4/1/2010 Modified Race Characteristics Source: U.S. Census Bureau. Released: July 2010. https://www.census.gov/popest/research/modified/STCO-MR2010_AL_MO.csv</w:t>
      </w:r>
    </w:p>
  </w:footnote>
  <w:footnote w:id="7">
    <w:p w14:paraId="11FA22FC" w14:textId="07C91891" w:rsidR="00AD23A9" w:rsidRPr="00526D1A" w:rsidRDefault="00AD23A9" w:rsidP="00AD23A9">
      <w:pPr>
        <w:pStyle w:val="FootnoteText"/>
        <w:rPr>
          <w:rFonts w:asciiTheme="minorHAnsi" w:hAnsiTheme="minorHAnsi" w:cstheme="minorHAnsi"/>
        </w:rPr>
      </w:pPr>
      <w:r w:rsidRPr="00DD32DE">
        <w:rPr>
          <w:rStyle w:val="FootnoteReference"/>
        </w:rPr>
        <w:footnoteRef/>
      </w:r>
      <w:r w:rsidRPr="00DD32DE">
        <w:t xml:space="preserve"> </w:t>
      </w:r>
      <w:r w:rsidR="007116A9" w:rsidRPr="007116A9">
        <w:t>2020 File: Modified Age and Race Census (MARC) file: Source: U.S. Census Bureau. Released: March 6, 2025. https://www.census.gov/data/datasets/2020/demo/popest/modified-race-data-2020.html</w:t>
      </w:r>
      <w:r w:rsidRPr="00DD32DE">
        <w:t xml:space="preserve"> </w:t>
      </w:r>
    </w:p>
  </w:footnote>
  <w:footnote w:id="8">
    <w:p w14:paraId="52F19531" w14:textId="77777777" w:rsidR="00AD23A9" w:rsidRPr="00483C01" w:rsidRDefault="00AD23A9" w:rsidP="007310EF">
      <w:pPr>
        <w:pStyle w:val="FootnoteText"/>
        <w:spacing w:line="240" w:lineRule="auto"/>
        <w:rPr>
          <w:rFonts w:asciiTheme="minorHAnsi" w:hAnsiTheme="minorHAnsi"/>
          <w:szCs w:val="16"/>
        </w:rPr>
      </w:pPr>
      <w:r w:rsidRPr="00483C01">
        <w:rPr>
          <w:rStyle w:val="FootnoteReference"/>
          <w:rFonts w:asciiTheme="minorHAnsi" w:hAnsiTheme="minorHAnsi"/>
          <w:szCs w:val="16"/>
        </w:rPr>
        <w:footnoteRef/>
      </w:r>
      <w:r w:rsidRPr="00483C01">
        <w:rPr>
          <w:rFonts w:asciiTheme="minorHAnsi" w:hAnsiTheme="minorHAnsi"/>
          <w:szCs w:val="16"/>
        </w:rPr>
        <w:t xml:space="preserve"> U.S. Census Bureau’s </w:t>
      </w:r>
      <w:r w:rsidRPr="00483C01">
        <w:rPr>
          <w:rFonts w:asciiTheme="minorHAnsi" w:hAnsiTheme="minorHAnsi"/>
          <w:i/>
          <w:szCs w:val="16"/>
        </w:rPr>
        <w:t>Annual Estimates of the Resident Population by Sex, Race, and Hispanic Origin Population Estimates for Massachusetts Counties.</w:t>
      </w:r>
    </w:p>
  </w:footnote>
  <w:footnote w:id="9">
    <w:p w14:paraId="5D6F912C" w14:textId="28B5ECB2" w:rsidR="008B12F7" w:rsidRDefault="008B12F7">
      <w:pPr>
        <w:pStyle w:val="FootnoteText"/>
      </w:pPr>
      <w:r>
        <w:rPr>
          <w:rStyle w:val="FootnoteReference"/>
        </w:rPr>
        <w:footnoteRef/>
      </w:r>
      <w:r>
        <w:t xml:space="preserve"> </w:t>
      </w:r>
      <w:r w:rsidRPr="0010035F">
        <w:rPr>
          <w:rFonts w:eastAsia="Calibri"/>
        </w:rPr>
        <w:t>Estimates by race and ethnicity are scheduled for production in a subsequent, V2025 series, after the U.S. Census Bureau releases an updated version of its Modified Summary Race File to correspond with the 2020 Census count</w:t>
      </w:r>
    </w:p>
  </w:footnote>
  <w:footnote w:id="10">
    <w:p w14:paraId="16CDAF24" w14:textId="24DAC199" w:rsidR="00073E4D" w:rsidRDefault="00073E4D" w:rsidP="007310EF">
      <w:pPr>
        <w:pStyle w:val="FootnoteText"/>
        <w:spacing w:line="240" w:lineRule="auto"/>
      </w:pPr>
      <w:r>
        <w:rPr>
          <w:rStyle w:val="FootnoteReference"/>
        </w:rPr>
        <w:footnoteRef/>
      </w:r>
      <w:r>
        <w:t xml:space="preserve"> </w:t>
      </w:r>
      <w:r w:rsidR="005D5F42" w:rsidRPr="00483C01">
        <w:rPr>
          <w:rFonts w:asciiTheme="minorHAnsi" w:hAnsiTheme="minorHAnsi"/>
          <w:szCs w:val="16"/>
        </w:rPr>
        <w:t>Methodology for the United States Population Estimates: Vintage 202</w:t>
      </w:r>
      <w:r w:rsidR="0040597A">
        <w:rPr>
          <w:rFonts w:asciiTheme="minorHAnsi" w:hAnsiTheme="minorHAnsi"/>
          <w:szCs w:val="16"/>
        </w:rPr>
        <w:t>3</w:t>
      </w:r>
      <w:r w:rsidR="005D5F42" w:rsidRPr="00483C01">
        <w:rPr>
          <w:rFonts w:asciiTheme="minorHAnsi" w:hAnsiTheme="minorHAnsi"/>
          <w:szCs w:val="16"/>
        </w:rPr>
        <w:t xml:space="preserve">. </w:t>
      </w:r>
      <w:r w:rsidR="005D5F42" w:rsidRPr="00483C01">
        <w:rPr>
          <w:rFonts w:asciiTheme="minorHAnsi" w:hAnsiTheme="minorHAnsi"/>
          <w:bCs/>
          <w:i/>
          <w:iCs/>
          <w:szCs w:val="16"/>
        </w:rPr>
        <w:t>Nation, States, Counties, and Puerto Rico – April 1, 2020 to July 1, 202</w:t>
      </w:r>
      <w:r w:rsidR="0040597A">
        <w:rPr>
          <w:rFonts w:asciiTheme="minorHAnsi" w:hAnsiTheme="minorHAnsi"/>
          <w:bCs/>
          <w:i/>
          <w:iCs/>
          <w:szCs w:val="16"/>
        </w:rPr>
        <w:t>3</w:t>
      </w:r>
      <w:r w:rsidR="00042EE1" w:rsidRPr="00483C01">
        <w:rPr>
          <w:rFonts w:asciiTheme="minorHAnsi" w:hAnsiTheme="minorHAnsi"/>
          <w:bCs/>
          <w:i/>
          <w:iCs/>
          <w:szCs w:val="16"/>
        </w:rPr>
        <w:t xml:space="preserve">. </w:t>
      </w:r>
      <w:r w:rsidR="0040597A" w:rsidRPr="0040597A">
        <w:rPr>
          <w:szCs w:val="16"/>
        </w:rPr>
        <w:t>https://www2.census.gov/programs-surveys/popest/technical-documentation/methodology/2020-2023/methods-statement-v2023.pdf</w:t>
      </w:r>
    </w:p>
  </w:footnote>
  <w:footnote w:id="11">
    <w:p w14:paraId="1A1F04D5" w14:textId="77777777" w:rsidR="00AD23A9" w:rsidRPr="00FD6F37" w:rsidRDefault="00AD23A9" w:rsidP="00483C01">
      <w:pPr>
        <w:pStyle w:val="FootnoteText"/>
        <w:spacing w:line="240" w:lineRule="auto"/>
        <w:rPr>
          <w:rFonts w:asciiTheme="minorHAnsi" w:hAnsiTheme="minorHAnsi"/>
        </w:rPr>
      </w:pPr>
      <w:r w:rsidRPr="00483C01">
        <w:rPr>
          <w:rStyle w:val="FootnoteReference"/>
          <w:rFonts w:asciiTheme="minorHAnsi" w:hAnsiTheme="minorHAnsi"/>
          <w:szCs w:val="16"/>
        </w:rPr>
        <w:footnoteRef/>
      </w:r>
      <w:r w:rsidRPr="00483C01">
        <w:rPr>
          <w:rFonts w:asciiTheme="minorHAnsi" w:hAnsiTheme="minorHAnsi"/>
          <w:szCs w:val="16"/>
        </w:rPr>
        <w:t xml:space="preserve"> This testing method assumes that future estimates errors for each method will be the same as historic estimates errors for each model variation, however past performance is our best evaluation tool given the unavailability of current, precise cohort-level data.</w:t>
      </w:r>
    </w:p>
  </w:footnote>
  <w:footnote w:id="12">
    <w:p w14:paraId="1D7AFDE7" w14:textId="32611D63" w:rsidR="00AD23A9" w:rsidRPr="007310EF" w:rsidRDefault="00AD23A9" w:rsidP="00AD23A9">
      <w:pPr>
        <w:pStyle w:val="Default"/>
        <w:rPr>
          <w:sz w:val="16"/>
          <w:szCs w:val="16"/>
        </w:rPr>
      </w:pPr>
      <w:r w:rsidRPr="007310EF">
        <w:rPr>
          <w:rStyle w:val="FootnoteReference"/>
          <w:i/>
          <w:sz w:val="16"/>
          <w:szCs w:val="16"/>
        </w:rPr>
        <w:footnoteRef/>
      </w:r>
      <w:r w:rsidRPr="007310EF">
        <w:rPr>
          <w:i/>
          <w:iCs/>
          <w:sz w:val="16"/>
          <w:szCs w:val="16"/>
        </w:rPr>
        <w:t xml:space="preserve"> </w:t>
      </w:r>
      <w:r w:rsidRPr="007310EF">
        <w:rPr>
          <w:i/>
          <w:iCs/>
          <w:color w:val="auto"/>
          <w:sz w:val="16"/>
          <w:szCs w:val="16"/>
        </w:rPr>
        <w:t>Small Area Population Estimates for 2011 through 2020</w:t>
      </w:r>
      <w:r w:rsidR="00042EE1" w:rsidRPr="007310EF">
        <w:rPr>
          <w:i/>
          <w:iCs/>
          <w:color w:val="auto"/>
          <w:sz w:val="16"/>
          <w:szCs w:val="16"/>
        </w:rPr>
        <w:t xml:space="preserve">. </w:t>
      </w:r>
      <w:r w:rsidRPr="007310EF">
        <w:rPr>
          <w:i/>
          <w:iCs/>
          <w:color w:val="auto"/>
          <w:sz w:val="16"/>
          <w:szCs w:val="16"/>
        </w:rPr>
        <w:t>Prepared for the Massachusetts Department of Public Health’s Bureau of Environmental Health</w:t>
      </w:r>
      <w:r w:rsidRPr="007310EF">
        <w:rPr>
          <w:color w:val="auto"/>
          <w:sz w:val="16"/>
          <w:szCs w:val="16"/>
        </w:rPr>
        <w:t>. UMass Donahue Institute, October 2016.</w:t>
      </w:r>
    </w:p>
  </w:footnote>
  <w:footnote w:id="13">
    <w:p w14:paraId="254E18E5" w14:textId="6FAB1421" w:rsidR="00AE0618" w:rsidRPr="005E4EB5" w:rsidRDefault="00AD23A9" w:rsidP="005E4EB5">
      <w:pPr>
        <w:pStyle w:val="FootnoteText"/>
        <w:spacing w:line="240" w:lineRule="auto"/>
        <w:rPr>
          <w:rFonts w:asciiTheme="minorHAnsi" w:hAnsiTheme="minorHAnsi"/>
          <w:szCs w:val="16"/>
        </w:rPr>
      </w:pPr>
      <w:r w:rsidRPr="005E4EB5">
        <w:rPr>
          <w:rStyle w:val="FootnoteReference"/>
          <w:rFonts w:asciiTheme="minorHAnsi" w:hAnsiTheme="minorHAnsi"/>
          <w:szCs w:val="16"/>
        </w:rPr>
        <w:footnoteRef/>
      </w:r>
      <w:r w:rsidRPr="005E4EB5">
        <w:rPr>
          <w:rFonts w:asciiTheme="minorHAnsi" w:hAnsiTheme="minorHAnsi"/>
          <w:szCs w:val="16"/>
        </w:rPr>
        <w:t xml:space="preserve"> UMDI tracks changes in large group quarters facilities around the state on an annual basis. DPH researchers may consult with UMDI to determine whether a specific geography in their analysis may be experiencing facility-related changes that affect the accuracy of their estimates.</w:t>
      </w:r>
    </w:p>
  </w:footnote>
  <w:footnote w:id="14">
    <w:p w14:paraId="5D284D09" w14:textId="77777777" w:rsidR="00D642D9" w:rsidRPr="00D642D9" w:rsidRDefault="00D642D9" w:rsidP="00D642D9">
      <w:pPr>
        <w:spacing w:line="240" w:lineRule="auto"/>
        <w:contextualSpacing/>
        <w:rPr>
          <w:rFonts w:ascii="Calibri" w:eastAsia="Calibri" w:hAnsi="Calibri"/>
          <w:sz w:val="16"/>
          <w:szCs w:val="12"/>
        </w:rPr>
      </w:pPr>
      <w:r w:rsidRPr="00D642D9">
        <w:rPr>
          <w:rStyle w:val="FootnoteReference"/>
          <w:sz w:val="16"/>
          <w:szCs w:val="16"/>
        </w:rPr>
        <w:footnoteRef/>
      </w:r>
      <w:r w:rsidRPr="00D642D9">
        <w:rPr>
          <w:sz w:val="16"/>
          <w:szCs w:val="16"/>
        </w:rPr>
        <w:t xml:space="preserve"> </w:t>
      </w:r>
      <w:r w:rsidRPr="00D642D9">
        <w:rPr>
          <w:sz w:val="16"/>
          <w:szCs w:val="10"/>
        </w:rPr>
        <w:t xml:space="preserve">For </w:t>
      </w:r>
      <w:r w:rsidRPr="00D642D9">
        <w:rPr>
          <w:rStyle w:val="normaltextrun"/>
          <w:sz w:val="16"/>
          <w:szCs w:val="10"/>
          <w:shd w:val="clear" w:color="auto" w:fill="FFFFFF"/>
        </w:rPr>
        <w:t>more information on the U.S. Census Bureau’s Census 2020 privacy protection applications, see the UMDI report at: </w:t>
      </w:r>
      <w:hyperlink r:id="rId1" w:tgtFrame="_blank" w:history="1">
        <w:r w:rsidRPr="00D642D9">
          <w:rPr>
            <w:rStyle w:val="normaltextrun"/>
            <w:sz w:val="16"/>
            <w:szCs w:val="10"/>
            <w:u w:val="single"/>
            <w:shd w:val="clear" w:color="auto" w:fill="FFFFFF"/>
          </w:rPr>
          <w:t>https://donahue.umass.edu/our-publications/donahue-data-dash-the-effects-of-differential-privacy-on-massachusetts-pl-94-census-data</w:t>
        </w:r>
      </w:hyperlink>
      <w:r w:rsidRPr="00D642D9">
        <w:rPr>
          <w:rStyle w:val="normaltextrun"/>
          <w:sz w:val="16"/>
          <w:szCs w:val="10"/>
          <w:shd w:val="clear" w:color="auto" w:fill="FFFFFF"/>
        </w:rPr>
        <w:t>   or the U.S. Census Bureau’s website at: https://www.census.gov/programs-surveys/decennial-census/decade/2020/planning-management/process/disclosure-avoidance/differential-privacy.html</w:t>
      </w:r>
      <w:r w:rsidRPr="00D642D9">
        <w:rPr>
          <w:rStyle w:val="eop"/>
          <w:sz w:val="12"/>
          <w:szCs w:val="16"/>
          <w:shd w:val="clear" w:color="auto" w:fill="FFFFFF"/>
        </w:rPr>
        <w:t> </w:t>
      </w:r>
    </w:p>
    <w:p w14:paraId="6FB38613" w14:textId="6E203EFE" w:rsidR="00D642D9" w:rsidRDefault="00D642D9">
      <w:pPr>
        <w:pStyle w:val="FootnoteText"/>
      </w:pPr>
    </w:p>
  </w:footnote>
  <w:footnote w:id="15">
    <w:p w14:paraId="401895AF" w14:textId="4151B690" w:rsidR="00FF155F" w:rsidRPr="00586270" w:rsidRDefault="00FF155F" w:rsidP="00FF155F">
      <w:pPr>
        <w:pStyle w:val="FootnoteText"/>
        <w:spacing w:line="240" w:lineRule="auto"/>
        <w:rPr>
          <w:b/>
          <w:bCs/>
          <w:szCs w:val="16"/>
        </w:rPr>
      </w:pPr>
      <w:r w:rsidRPr="00586270">
        <w:rPr>
          <w:rStyle w:val="FootnoteReference"/>
          <w:rFonts w:asciiTheme="minorHAnsi" w:hAnsiTheme="minorHAnsi"/>
          <w:szCs w:val="16"/>
        </w:rPr>
        <w:footnoteRef/>
      </w:r>
      <w:r w:rsidRPr="00586270">
        <w:rPr>
          <w:rFonts w:asciiTheme="minorHAnsi" w:hAnsiTheme="minorHAnsi"/>
          <w:szCs w:val="16"/>
        </w:rPr>
        <w:t xml:space="preserve"> </w:t>
      </w:r>
      <w:r w:rsidRPr="00586270">
        <w:rPr>
          <w:szCs w:val="16"/>
          <w:shd w:val="clear" w:color="auto" w:fill="FFFFFF"/>
        </w:rPr>
        <w:t>Minnesota Population Center</w:t>
      </w:r>
      <w:r w:rsidRPr="00586270">
        <w:rPr>
          <w:b/>
          <w:bCs/>
          <w:szCs w:val="16"/>
          <w:shd w:val="clear" w:color="auto" w:fill="FFFFFF"/>
        </w:rPr>
        <w:t>.</w:t>
      </w:r>
      <w:r w:rsidRPr="00586270">
        <w:rPr>
          <w:rStyle w:val="apple-converted-space"/>
          <w:b/>
          <w:bCs/>
          <w:szCs w:val="16"/>
          <w:shd w:val="clear" w:color="auto" w:fill="FFFFFF"/>
        </w:rPr>
        <w:t> </w:t>
      </w:r>
      <w:r w:rsidRPr="00586270">
        <w:rPr>
          <w:rStyle w:val="Strong"/>
          <w:b w:val="0"/>
          <w:bCs w:val="0"/>
          <w:szCs w:val="16"/>
        </w:rPr>
        <w:t xml:space="preserve">IPUMS National Historical Geographic Information System: Version 18.0 [dataset]. Minneapolis, MN: IPUMS. 2023. </w:t>
      </w:r>
      <w:hyperlink r:id="rId2" w:history="1">
        <w:r w:rsidRPr="00586270">
          <w:rPr>
            <w:rStyle w:val="Hyperlink"/>
            <w:color w:val="auto"/>
            <w:szCs w:val="16"/>
          </w:rPr>
          <w:t>http://doi.org/10.18128/D050.V18.0</w:t>
        </w:r>
      </w:hyperlink>
      <w:r w:rsidRPr="00586270">
        <w:rPr>
          <w:rStyle w:val="Strong"/>
          <w:szCs w:val="16"/>
        </w:rPr>
        <w:t xml:space="preserve">. </w:t>
      </w:r>
    </w:p>
  </w:footnote>
  <w:footnote w:id="16">
    <w:p w14:paraId="0A3331CB" w14:textId="77777777" w:rsidR="00FF155F" w:rsidRPr="00586270" w:rsidRDefault="00FF155F" w:rsidP="00FF155F">
      <w:pPr>
        <w:pStyle w:val="FootnoteText"/>
        <w:rPr>
          <w:szCs w:val="16"/>
        </w:rPr>
      </w:pPr>
      <w:r w:rsidRPr="00586270">
        <w:rPr>
          <w:rStyle w:val="FootnoteReference"/>
          <w:szCs w:val="16"/>
        </w:rPr>
        <w:footnoteRef/>
      </w:r>
      <w:r w:rsidRPr="00586270">
        <w:rPr>
          <w:szCs w:val="16"/>
        </w:rPr>
        <w:t xml:space="preserve"> Available at: https://www.nhgis.org/geographic-crosswalks</w:t>
      </w:r>
    </w:p>
  </w:footnote>
  <w:footnote w:id="17">
    <w:p w14:paraId="6909FCB4" w14:textId="77777777" w:rsidR="00FF155F" w:rsidRPr="00586270" w:rsidRDefault="00FF155F" w:rsidP="00FF155F">
      <w:pPr>
        <w:pStyle w:val="FootnoteText"/>
        <w:rPr>
          <w:szCs w:val="16"/>
        </w:rPr>
      </w:pPr>
      <w:r w:rsidRPr="00586270">
        <w:rPr>
          <w:rStyle w:val="FootnoteReference"/>
          <w:szCs w:val="16"/>
        </w:rPr>
        <w:footnoteRef/>
      </w:r>
      <w:r w:rsidRPr="00586270">
        <w:rPr>
          <w:szCs w:val="16"/>
        </w:rPr>
        <w:t xml:space="preserve"> </w:t>
      </w:r>
      <w:r w:rsidRPr="00586270">
        <w:rPr>
          <w:rFonts w:asciiTheme="minorHAnsi" w:eastAsia="Calibri" w:hAnsiTheme="minorHAnsi" w:cstheme="minorHAnsi"/>
          <w:szCs w:val="16"/>
        </w:rPr>
        <w:t>For more info, see https://www.nhgis.org/user-resources/geographic-crosswalks</w:t>
      </w:r>
    </w:p>
  </w:footnote>
  <w:footnote w:id="18">
    <w:p w14:paraId="3F307BED" w14:textId="77777777" w:rsidR="00FF155F" w:rsidRPr="00586270" w:rsidRDefault="00FF155F" w:rsidP="00FF155F">
      <w:pPr>
        <w:pStyle w:val="FootnoteText"/>
        <w:rPr>
          <w:szCs w:val="16"/>
        </w:rPr>
      </w:pPr>
      <w:r w:rsidRPr="00586270">
        <w:rPr>
          <w:rStyle w:val="FootnoteReference"/>
          <w:szCs w:val="16"/>
        </w:rPr>
        <w:footnoteRef/>
      </w:r>
      <w:r w:rsidRPr="00586270">
        <w:rPr>
          <w:szCs w:val="16"/>
        </w:rPr>
        <w:t xml:space="preserve"> Geographic Crosswalks, </w:t>
      </w:r>
      <w:r w:rsidRPr="00586270">
        <w:rPr>
          <w:szCs w:val="16"/>
          <w:shd w:val="clear" w:color="auto" w:fill="FFFFFF"/>
        </w:rPr>
        <w:t>Minnesota Population Center</w:t>
      </w:r>
      <w:r w:rsidRPr="00586270">
        <w:rPr>
          <w:b/>
          <w:bCs/>
          <w:szCs w:val="16"/>
          <w:shd w:val="clear" w:color="auto" w:fill="FFFFFF"/>
        </w:rPr>
        <w:t>.</w:t>
      </w:r>
      <w:r w:rsidRPr="00586270">
        <w:rPr>
          <w:rStyle w:val="apple-converted-space"/>
          <w:b/>
          <w:bCs/>
          <w:szCs w:val="16"/>
          <w:shd w:val="clear" w:color="auto" w:fill="FFFFFF"/>
        </w:rPr>
        <w:t> </w:t>
      </w:r>
      <w:r w:rsidRPr="00586270">
        <w:rPr>
          <w:rStyle w:val="Strong"/>
          <w:b w:val="0"/>
          <w:bCs w:val="0"/>
          <w:szCs w:val="16"/>
        </w:rPr>
        <w:t>IPUMS National Historical Geographic Information System. Accessed at</w:t>
      </w:r>
      <w:r w:rsidRPr="00586270">
        <w:rPr>
          <w:b/>
          <w:bCs/>
          <w:szCs w:val="16"/>
        </w:rPr>
        <w:t xml:space="preserve"> </w:t>
      </w:r>
      <w:hyperlink r:id="rId3" w:anchor="basics" w:history="1">
        <w:r w:rsidRPr="00586270">
          <w:rPr>
            <w:rStyle w:val="Hyperlink"/>
            <w:color w:val="auto"/>
            <w:szCs w:val="16"/>
          </w:rPr>
          <w:t>https://www.nhgis.org/geographic-crosswalks#basics</w:t>
        </w:r>
      </w:hyperlink>
      <w:r w:rsidRPr="00586270">
        <w:rPr>
          <w:szCs w:val="16"/>
        </w:rPr>
        <w:t xml:space="preserve"> on June 21, 2024.</w:t>
      </w:r>
    </w:p>
  </w:footnote>
  <w:footnote w:id="19">
    <w:p w14:paraId="420F1A93" w14:textId="77777777" w:rsidR="00FF155F" w:rsidRPr="00037A16" w:rsidRDefault="00FF155F" w:rsidP="00FF155F">
      <w:pPr>
        <w:pStyle w:val="FootnoteText"/>
      </w:pPr>
      <w:r w:rsidRPr="00586270">
        <w:rPr>
          <w:rStyle w:val="FootnoteReference"/>
          <w:szCs w:val="16"/>
        </w:rPr>
        <w:footnoteRef/>
      </w:r>
      <w:r w:rsidRPr="00586270">
        <w:rPr>
          <w:szCs w:val="16"/>
        </w:rPr>
        <w:t xml:space="preserve"> ibid</w:t>
      </w:r>
    </w:p>
  </w:footnote>
  <w:footnote w:id="20">
    <w:p w14:paraId="53BAD889" w14:textId="02F6723F" w:rsidR="00A31063" w:rsidRDefault="00A31063">
      <w:pPr>
        <w:pStyle w:val="FootnoteText"/>
      </w:pPr>
      <w:r>
        <w:rPr>
          <w:rStyle w:val="FootnoteReference"/>
        </w:rPr>
        <w:footnoteRef/>
      </w:r>
      <w:r>
        <w:t xml:space="preserve"> </w:t>
      </w:r>
      <w:r w:rsidR="00D21EFB">
        <w:t xml:space="preserve">Due to some </w:t>
      </w:r>
      <w:r w:rsidR="00AA7C2C">
        <w:t>adjustments t</w:t>
      </w:r>
      <w:r w:rsidR="00122C6F">
        <w:t>o</w:t>
      </w:r>
      <w:r w:rsidR="00AA7C2C">
        <w:t xml:space="preserve"> </w:t>
      </w:r>
      <w:r w:rsidR="00054BAF">
        <w:t xml:space="preserve">block and tract boundaries from decade to decade, </w:t>
      </w:r>
      <w:r w:rsidR="00DF1E79">
        <w:t>very small proportions</w:t>
      </w:r>
      <w:r w:rsidR="001D6940">
        <w:t xml:space="preserve"> of these smaller geographies </w:t>
      </w:r>
      <w:r w:rsidR="008128D9">
        <w:t>crossed</w:t>
      </w:r>
      <w:r w:rsidR="001D6940">
        <w:t xml:space="preserve"> state lines</w:t>
      </w:r>
      <w:r w:rsidR="00122C6F">
        <w:t xml:space="preserve"> in one decade or another</w:t>
      </w:r>
      <w:r w:rsidR="0040269F">
        <w:t>, resulting in “slivers” of population</w:t>
      </w:r>
      <w:r w:rsidR="00835DA8">
        <w:t xml:space="preserve"> and very small weights attributed to out of state population</w:t>
      </w:r>
      <w:r w:rsidR="0040269F">
        <w:t xml:space="preserve">. </w:t>
      </w:r>
      <w:r w:rsidR="00835DA8">
        <w:t>Because of this, s</w:t>
      </w:r>
      <w:r w:rsidR="00D21EFB">
        <w:t xml:space="preserve">ome weights were </w:t>
      </w:r>
      <w:r w:rsidR="00835DA8">
        <w:t>re-calculated</w:t>
      </w:r>
      <w:r w:rsidR="00D21EFB">
        <w:t xml:space="preserve"> </w:t>
      </w:r>
      <w:r w:rsidR="00122C6F">
        <w:t>allow in-state</w:t>
      </w:r>
      <w:r w:rsidR="00EE2564">
        <w:t xml:space="preserve"> tracts and blocks to sum to 100% in Massachusetts geographies.</w:t>
      </w:r>
    </w:p>
  </w:footnote>
  <w:footnote w:id="21">
    <w:p w14:paraId="65E5776F" w14:textId="6CDF3AF0" w:rsidR="0070093F" w:rsidRDefault="0070093F">
      <w:pPr>
        <w:pStyle w:val="FootnoteText"/>
      </w:pPr>
      <w:r>
        <w:rPr>
          <w:rStyle w:val="FootnoteReference"/>
        </w:rPr>
        <w:footnoteRef/>
      </w:r>
      <w:r>
        <w:t xml:space="preserve"> Note that </w:t>
      </w:r>
      <w:r w:rsidR="00843EF4">
        <w:t>in Census geographic hierarchy</w:t>
      </w:r>
      <w:r w:rsidR="00846BBD">
        <w:t>, blocks nest within tracts</w:t>
      </w:r>
      <w:r w:rsidR="002D79E4">
        <w:t xml:space="preserve"> and tracts are the sum area of multiple blocks.</w:t>
      </w:r>
    </w:p>
  </w:footnote>
  <w:footnote w:id="22">
    <w:p w14:paraId="62F54BA1" w14:textId="77777777" w:rsidR="002164B9" w:rsidRPr="00FD6F37" w:rsidRDefault="002164B9" w:rsidP="002164B9">
      <w:pPr>
        <w:pStyle w:val="FootnoteText"/>
        <w:spacing w:line="240" w:lineRule="auto"/>
        <w:rPr>
          <w:rFonts w:asciiTheme="minorHAnsi" w:hAnsiTheme="minorHAnsi"/>
        </w:rPr>
      </w:pPr>
      <w:r w:rsidRPr="00037A16">
        <w:rPr>
          <w:rStyle w:val="FootnoteReference"/>
        </w:rPr>
        <w:footnoteRef/>
      </w:r>
      <w:r w:rsidRPr="00037A16">
        <w:t xml:space="preserve"> https://nhgis.org/documentation/time-series/2000-blocks-to-2010-geog</w:t>
      </w:r>
    </w:p>
  </w:footnote>
  <w:footnote w:id="23">
    <w:p w14:paraId="7AC091ED" w14:textId="7DBE7A0B" w:rsidR="003F59F8" w:rsidRDefault="003F59F8">
      <w:pPr>
        <w:pStyle w:val="FootnoteText"/>
      </w:pPr>
      <w:r>
        <w:rPr>
          <w:rStyle w:val="FootnoteReference"/>
        </w:rPr>
        <w:footnoteRef/>
      </w:r>
      <w:r>
        <w:t xml:space="preserve"> </w:t>
      </w:r>
      <w:r w:rsidR="009B1D3A" w:rsidRPr="00586270">
        <w:rPr>
          <w:szCs w:val="16"/>
        </w:rPr>
        <w:t xml:space="preserve">Geographic Crosswalks, </w:t>
      </w:r>
      <w:r w:rsidR="009B1D3A" w:rsidRPr="00586270">
        <w:rPr>
          <w:szCs w:val="16"/>
          <w:shd w:val="clear" w:color="auto" w:fill="FFFFFF"/>
        </w:rPr>
        <w:t>Minnesota Population Center</w:t>
      </w:r>
      <w:r w:rsidR="009B1D3A" w:rsidRPr="00586270">
        <w:rPr>
          <w:b/>
          <w:bCs/>
          <w:szCs w:val="16"/>
          <w:shd w:val="clear" w:color="auto" w:fill="FFFFFF"/>
        </w:rPr>
        <w:t>.</w:t>
      </w:r>
      <w:r w:rsidR="009B1D3A" w:rsidRPr="00586270">
        <w:rPr>
          <w:rStyle w:val="apple-converted-space"/>
          <w:b/>
          <w:bCs/>
          <w:szCs w:val="16"/>
          <w:shd w:val="clear" w:color="auto" w:fill="FFFFFF"/>
        </w:rPr>
        <w:t> </w:t>
      </w:r>
      <w:r w:rsidR="009B1D3A" w:rsidRPr="00586270">
        <w:rPr>
          <w:rStyle w:val="Strong"/>
          <w:b w:val="0"/>
          <w:bCs w:val="0"/>
          <w:szCs w:val="16"/>
        </w:rPr>
        <w:t>IPUMS National Historical Geographic Information System. Accessed at</w:t>
      </w:r>
      <w:r w:rsidR="009B1D3A" w:rsidRPr="00586270">
        <w:rPr>
          <w:b/>
          <w:bCs/>
          <w:szCs w:val="16"/>
        </w:rPr>
        <w:t xml:space="preserve"> </w:t>
      </w:r>
      <w:hyperlink r:id="rId4" w:anchor="download" w:history="1">
        <w:r w:rsidR="00FC1A1F">
          <w:rPr>
            <w:rStyle w:val="Hyperlink"/>
            <w:color w:val="auto"/>
            <w:szCs w:val="16"/>
          </w:rPr>
          <w:t>https://www.nhgis.org/geographic-crosswalks#download</w:t>
        </w:r>
      </w:hyperlink>
      <w:r w:rsidR="009B1D3A" w:rsidRPr="00586270">
        <w:rPr>
          <w:szCs w:val="16"/>
        </w:rPr>
        <w:t xml:space="preserve"> on </w:t>
      </w:r>
      <w:r w:rsidR="00D02B12">
        <w:rPr>
          <w:szCs w:val="16"/>
        </w:rPr>
        <w:t>October</w:t>
      </w:r>
      <w:r w:rsidR="009B1D3A" w:rsidRPr="00586270">
        <w:rPr>
          <w:szCs w:val="16"/>
        </w:rPr>
        <w:t xml:space="preserve"> </w:t>
      </w:r>
      <w:r w:rsidR="00D02B12">
        <w:rPr>
          <w:szCs w:val="16"/>
        </w:rPr>
        <w:t>4</w:t>
      </w:r>
      <w:r w:rsidR="009B1D3A" w:rsidRPr="00586270">
        <w:rPr>
          <w:szCs w:val="16"/>
        </w:rPr>
        <w:t>, 2024.</w:t>
      </w:r>
    </w:p>
  </w:footnote>
  <w:footnote w:id="24">
    <w:p w14:paraId="437D6283" w14:textId="11474CD2" w:rsidR="0061380C" w:rsidRDefault="0061380C">
      <w:pPr>
        <w:pStyle w:val="FootnoteText"/>
      </w:pPr>
      <w:r>
        <w:rPr>
          <w:rStyle w:val="FootnoteReference"/>
        </w:rPr>
        <w:footnoteRef/>
      </w:r>
      <w:r>
        <w:t xml:space="preserve"> </w:t>
      </w:r>
      <w:r w:rsidR="00943D36" w:rsidRPr="00BE1D53">
        <w:rPr>
          <w:rFonts w:eastAsia="Times New Roman"/>
          <w:color w:val="000000"/>
        </w:rPr>
        <w:t xml:space="preserve"> 2010 File: 4/1/2010 Modified Race Characteristics Source: U.S. Census Bureau</w:t>
      </w:r>
      <w:r w:rsidR="00E736F4">
        <w:rPr>
          <w:rFonts w:eastAsia="Times New Roman"/>
          <w:color w:val="000000"/>
        </w:rPr>
        <w:t>. Released: July 2010</w:t>
      </w:r>
      <w:r w:rsidR="00845133">
        <w:rPr>
          <w:rFonts w:eastAsia="Times New Roman"/>
          <w:color w:val="000000"/>
        </w:rPr>
        <w:t xml:space="preserve">. </w:t>
      </w:r>
      <w:hyperlink r:id="rId5" w:history="1">
        <w:r w:rsidR="00845133" w:rsidRPr="00BE1D53">
          <w:rPr>
            <w:rFonts w:eastAsia="Times New Roman"/>
            <w:color w:val="0000FF"/>
            <w:u w:val="single"/>
          </w:rPr>
          <w:t>https://www.census.gov/popest/research/modified/STCO-MR2010_AL_MO.csv</w:t>
        </w:r>
      </w:hyperlink>
    </w:p>
  </w:footnote>
  <w:footnote w:id="25">
    <w:p w14:paraId="43416172" w14:textId="7E850C53" w:rsidR="002E54A2" w:rsidRDefault="002E54A2">
      <w:pPr>
        <w:pStyle w:val="FootnoteText"/>
      </w:pPr>
      <w:r>
        <w:rPr>
          <w:rStyle w:val="FootnoteReference"/>
        </w:rPr>
        <w:footnoteRef/>
      </w:r>
      <w:r>
        <w:t xml:space="preserve"> </w:t>
      </w:r>
      <w:r w:rsidR="00795265">
        <w:t xml:space="preserve">2020 File: </w:t>
      </w:r>
      <w:r w:rsidR="005B7683">
        <w:t xml:space="preserve">Modified Age and Race </w:t>
      </w:r>
      <w:r w:rsidR="00E34D3C">
        <w:t>Census (MARC) file</w:t>
      </w:r>
      <w:r w:rsidR="00EE54AD">
        <w:t xml:space="preserve">: Source: U.S. Census Bureau. Released: </w:t>
      </w:r>
      <w:r w:rsidR="00FA52F3">
        <w:t xml:space="preserve">March 6, 2025. </w:t>
      </w:r>
      <w:r w:rsidR="00FA52F3" w:rsidRPr="00FA52F3">
        <w:t>https://www.census.gov/data/datasets/2020/demo/popest/modified-race-data-2020.html</w:t>
      </w:r>
    </w:p>
  </w:footnote>
  <w:footnote w:id="26">
    <w:p w14:paraId="15895326" w14:textId="68A88502" w:rsidR="00096CC1" w:rsidRDefault="00096CC1" w:rsidP="00311F7C">
      <w:pPr>
        <w:pStyle w:val="FootnoteText"/>
      </w:pPr>
      <w:r w:rsidRPr="00B54743">
        <w:rPr>
          <w:rStyle w:val="FootnoteReference"/>
        </w:rPr>
        <w:footnoteRef/>
      </w:r>
      <w:r w:rsidRPr="00B54743">
        <w:rPr>
          <w:rStyle w:val="FootnoteReference"/>
        </w:rPr>
        <w:t xml:space="preserve"> </w:t>
      </w:r>
      <w:r w:rsidRPr="00311F7C">
        <w:t xml:space="preserve">For the 2010 launch data used to develop cohort change ratios, we relied on the race re-assignment of the </w:t>
      </w:r>
      <w:r w:rsidR="00637107" w:rsidRPr="00311F7C">
        <w:t xml:space="preserve">Census </w:t>
      </w:r>
      <w:r w:rsidRPr="00311F7C">
        <w:t>SF1</w:t>
      </w:r>
      <w:r w:rsidR="00637107" w:rsidRPr="00311F7C">
        <w:t xml:space="preserve"> file</w:t>
      </w:r>
      <w:r w:rsidRPr="00311F7C">
        <w:t xml:space="preserve"> previously done for the V2017 projections to 2020. We utilized the same </w:t>
      </w:r>
      <w:r w:rsidR="00637107" w:rsidRPr="00311F7C">
        <w:t xml:space="preserve">bridging </w:t>
      </w:r>
      <w:r w:rsidRPr="00311F7C">
        <w:t xml:space="preserve">method to </w:t>
      </w:r>
      <w:r w:rsidR="00637107" w:rsidRPr="00311F7C">
        <w:t>reassign</w:t>
      </w:r>
      <w:r w:rsidRPr="00311F7C">
        <w:t xml:space="preserve"> races for the 2020 launch data, using the 2010 Modified Race Summary File. </w:t>
      </w:r>
    </w:p>
  </w:footnote>
  <w:footnote w:id="27">
    <w:p w14:paraId="159BC50F" w14:textId="13A47A2B" w:rsidR="00966410" w:rsidRDefault="00966410">
      <w:pPr>
        <w:pStyle w:val="FootnoteText"/>
      </w:pPr>
      <w:r>
        <w:rPr>
          <w:rStyle w:val="FootnoteReference"/>
        </w:rPr>
        <w:footnoteRef/>
      </w:r>
      <w:r>
        <w:t xml:space="preserve"> </w:t>
      </w:r>
      <w:r w:rsidRPr="00586270">
        <w:rPr>
          <w:szCs w:val="16"/>
        </w:rPr>
        <w:t xml:space="preserve">Geographic Crosswalks, </w:t>
      </w:r>
      <w:r w:rsidRPr="00586270">
        <w:rPr>
          <w:szCs w:val="16"/>
          <w:shd w:val="clear" w:color="auto" w:fill="FFFFFF"/>
        </w:rPr>
        <w:t>Minnesota Population Center</w:t>
      </w:r>
      <w:r w:rsidRPr="00586270">
        <w:rPr>
          <w:b/>
          <w:bCs/>
          <w:szCs w:val="16"/>
          <w:shd w:val="clear" w:color="auto" w:fill="FFFFFF"/>
        </w:rPr>
        <w:t>.</w:t>
      </w:r>
      <w:r w:rsidRPr="00586270">
        <w:rPr>
          <w:rStyle w:val="apple-converted-space"/>
          <w:b/>
          <w:bCs/>
          <w:szCs w:val="16"/>
          <w:shd w:val="clear" w:color="auto" w:fill="FFFFFF"/>
        </w:rPr>
        <w:t> </w:t>
      </w:r>
      <w:r w:rsidRPr="00586270">
        <w:rPr>
          <w:rStyle w:val="Strong"/>
          <w:b w:val="0"/>
          <w:bCs w:val="0"/>
          <w:szCs w:val="16"/>
        </w:rPr>
        <w:t>IPUMS National Historical Geographic Information System. Accessed at</w:t>
      </w:r>
      <w:r w:rsidRPr="00586270">
        <w:rPr>
          <w:b/>
          <w:bCs/>
          <w:szCs w:val="16"/>
        </w:rPr>
        <w:t xml:space="preserve"> </w:t>
      </w:r>
      <w:hyperlink r:id="rId6" w:anchor="download" w:history="1">
        <w:r>
          <w:rPr>
            <w:rStyle w:val="Hyperlink"/>
            <w:color w:val="auto"/>
            <w:szCs w:val="16"/>
          </w:rPr>
          <w:t>https://www.nhgis.org/geographic-crosswalks#download</w:t>
        </w:r>
      </w:hyperlink>
      <w:r w:rsidRPr="00586270">
        <w:rPr>
          <w:szCs w:val="16"/>
        </w:rPr>
        <w:t xml:space="preserve"> on </w:t>
      </w:r>
      <w:r>
        <w:rPr>
          <w:szCs w:val="16"/>
        </w:rPr>
        <w:t>October</w:t>
      </w:r>
      <w:r w:rsidRPr="00586270">
        <w:rPr>
          <w:szCs w:val="16"/>
        </w:rPr>
        <w:t xml:space="preserve"> </w:t>
      </w:r>
      <w:r>
        <w:rPr>
          <w:szCs w:val="16"/>
        </w:rPr>
        <w:t>4</w:t>
      </w:r>
      <w:r w:rsidRPr="00586270">
        <w:rPr>
          <w:szCs w:val="16"/>
        </w:rPr>
        <w:t>, 2024.</w:t>
      </w:r>
    </w:p>
  </w:footnote>
  <w:footnote w:id="28">
    <w:p w14:paraId="07501747" w14:textId="7B403257" w:rsidR="000F69FF" w:rsidRDefault="000F69FF">
      <w:pPr>
        <w:pStyle w:val="FootnoteText"/>
      </w:pPr>
      <w:r>
        <w:rPr>
          <w:rStyle w:val="FootnoteReference"/>
        </w:rPr>
        <w:footnoteRef/>
      </w:r>
      <w:r>
        <w:t xml:space="preserve"> </w:t>
      </w:r>
      <w:r w:rsidR="00C941DF">
        <w:t xml:space="preserve">This </w:t>
      </w:r>
      <w:r w:rsidR="00297FCC">
        <w:t>number</w:t>
      </w:r>
      <w:r w:rsidR="00C941DF">
        <w:t xml:space="preserve"> includes the 1,077 additional </w:t>
      </w:r>
      <w:r w:rsidR="0010151F">
        <w:t>GQ</w:t>
      </w:r>
      <w:r w:rsidR="005055A4">
        <w:t xml:space="preserve">5 population </w:t>
      </w:r>
      <w:r w:rsidR="00BD4CD4">
        <w:t xml:space="preserve">of a new dormitory associated with UMass Boston. This </w:t>
      </w:r>
      <w:r w:rsidR="002E0241">
        <w:t xml:space="preserve">additional population is </w:t>
      </w:r>
      <w:r w:rsidR="002C0B17">
        <w:t>added to the expected Census 2020 value</w:t>
      </w:r>
      <w:r w:rsidR="002E0241">
        <w:t xml:space="preserve"> when calculating</w:t>
      </w:r>
      <w:r w:rsidR="003B4FEB">
        <w:t xml:space="preserve"> errors</w:t>
      </w:r>
      <w:r w:rsidR="00D77B36">
        <w:t xml:space="preserve"> between </w:t>
      </w:r>
      <w:r w:rsidR="00CD4BE6">
        <w:t>the projected</w:t>
      </w:r>
      <w:r w:rsidR="002F32BF">
        <w:t xml:space="preserve"> and expect</w:t>
      </w:r>
      <w:r w:rsidR="002C0B17">
        <w:t xml:space="preserve">ed 2020 populations, however, it is </w:t>
      </w:r>
      <w:r w:rsidR="002C0B17" w:rsidRPr="007140F9">
        <w:t>not</w:t>
      </w:r>
      <w:r w:rsidR="002C0B17">
        <w:t xml:space="preserve"> used </w:t>
      </w:r>
      <w:r w:rsidR="00B82604">
        <w:t xml:space="preserve">in the </w:t>
      </w:r>
      <w:r w:rsidR="00C06F05">
        <w:t>creation of the CCRs</w:t>
      </w:r>
      <w:r w:rsidR="007E4CED">
        <w:t xml:space="preserve"> or the initial </w:t>
      </w:r>
      <w:r w:rsidR="003E5735">
        <w:t xml:space="preserve">2020 </w:t>
      </w:r>
      <w:r w:rsidR="007E4CED">
        <w:t>launch population</w:t>
      </w:r>
      <w:r w:rsidR="003338C9">
        <w:t xml:space="preserve">. See the section on </w:t>
      </w:r>
      <w:r w:rsidR="00C47A94">
        <w:t xml:space="preserve">“Special adjustments: college tract overrides” for more detail on how </w:t>
      </w:r>
      <w:r w:rsidR="008437B3">
        <w:t xml:space="preserve">this </w:t>
      </w:r>
      <w:r w:rsidR="00297FCC">
        <w:t>population is added into the projection.</w:t>
      </w:r>
    </w:p>
  </w:footnote>
  <w:footnote w:id="29">
    <w:p w14:paraId="5352E936" w14:textId="77777777" w:rsidR="00A80F25" w:rsidRPr="00611CAC" w:rsidRDefault="00A80F25" w:rsidP="00A80F25">
      <w:pPr>
        <w:pStyle w:val="FootnoteText"/>
        <w:spacing w:line="240" w:lineRule="auto"/>
      </w:pPr>
      <w:r w:rsidRPr="00611CAC">
        <w:rPr>
          <w:rStyle w:val="FootnoteReference"/>
        </w:rPr>
        <w:footnoteRef/>
      </w:r>
      <w:r w:rsidRPr="00611CAC">
        <w:t xml:space="preserve"> Census 2010 tract 3601.00 in Middlesex County</w:t>
      </w:r>
    </w:p>
  </w:footnote>
  <w:footnote w:id="30">
    <w:p w14:paraId="2EC9A418" w14:textId="77777777" w:rsidR="00A80F25" w:rsidRPr="00FD6F37" w:rsidRDefault="00A80F25" w:rsidP="00A80F25">
      <w:pPr>
        <w:pStyle w:val="FootnoteText"/>
        <w:spacing w:line="240" w:lineRule="auto"/>
        <w:rPr>
          <w:rFonts w:asciiTheme="minorHAnsi" w:hAnsiTheme="minorHAnsi"/>
        </w:rPr>
      </w:pPr>
      <w:r w:rsidRPr="00611CAC">
        <w:rPr>
          <w:rStyle w:val="FootnoteReference"/>
        </w:rPr>
        <w:footnoteRef/>
      </w:r>
      <w:r w:rsidRPr="00611CAC">
        <w:t xml:space="preserve"> Also assuming that the mission of the base does not significantly change, which would lead to a base change in workforce and population.</w:t>
      </w:r>
      <w:r w:rsidRPr="00FD6F37">
        <w:rPr>
          <w:rFonts w:asciiTheme="minorHAnsi" w:hAnsiTheme="minorHAnsi"/>
        </w:rPr>
        <w:t xml:space="preserve"> </w:t>
      </w:r>
    </w:p>
  </w:footnote>
  <w:footnote w:id="31">
    <w:p w14:paraId="4340F631" w14:textId="77777777" w:rsidR="002230AF" w:rsidRPr="00611CAC" w:rsidRDefault="002230AF" w:rsidP="002230AF">
      <w:pPr>
        <w:pStyle w:val="FootnoteText"/>
      </w:pPr>
      <w:r w:rsidRPr="00611CAC">
        <w:rPr>
          <w:rStyle w:val="FootnoteReference"/>
        </w:rPr>
        <w:footnoteRef/>
      </w:r>
      <w:r w:rsidRPr="00611CAC">
        <w:t xml:space="preserve"> 2020 Census tract 25015820802</w:t>
      </w:r>
    </w:p>
  </w:footnote>
  <w:footnote w:id="32">
    <w:p w14:paraId="2E3189F2" w14:textId="77777777" w:rsidR="002230AF" w:rsidRPr="00611CAC" w:rsidRDefault="002230AF" w:rsidP="002230AF">
      <w:pPr>
        <w:pStyle w:val="FootnoteText"/>
      </w:pPr>
      <w:r w:rsidRPr="00611CAC">
        <w:rPr>
          <w:rStyle w:val="FootnoteReference"/>
        </w:rPr>
        <w:footnoteRef/>
      </w:r>
      <w:r w:rsidRPr="00611CAC">
        <w:t xml:space="preserve"> 2020 Census tract 25017374000</w:t>
      </w:r>
    </w:p>
  </w:footnote>
  <w:footnote w:id="33">
    <w:p w14:paraId="3D85E214" w14:textId="77777777" w:rsidR="002230AF" w:rsidRPr="00611CAC" w:rsidRDefault="002230AF" w:rsidP="002230AF">
      <w:pPr>
        <w:pStyle w:val="FootnoteText"/>
      </w:pPr>
      <w:r w:rsidRPr="00611CAC">
        <w:rPr>
          <w:rStyle w:val="FootnoteReference"/>
        </w:rPr>
        <w:footnoteRef/>
      </w:r>
      <w:r w:rsidRPr="00611CAC">
        <w:t xml:space="preserve"> 2020 Census tract </w:t>
      </w:r>
      <w:r w:rsidRPr="00611CAC">
        <w:rPr>
          <w:color w:val="000000"/>
          <w:szCs w:val="22"/>
        </w:rPr>
        <w:t>25025090901</w:t>
      </w:r>
    </w:p>
  </w:footnote>
  <w:footnote w:id="34">
    <w:p w14:paraId="3B1426BE" w14:textId="77777777" w:rsidR="00DF0E0D" w:rsidRPr="00611CAC" w:rsidRDefault="00DF0E0D" w:rsidP="00DF0E0D">
      <w:pPr>
        <w:pStyle w:val="FootnoteText"/>
      </w:pPr>
      <w:r w:rsidRPr="00611CAC">
        <w:rPr>
          <w:rStyle w:val="FootnoteReference"/>
        </w:rPr>
        <w:footnoteRef/>
      </w:r>
      <w:r w:rsidRPr="00611CAC">
        <w:t xml:space="preserve"> Including 1,077 missing students identified by UMDI in Census 2020 evaluation as part of the </w:t>
      </w:r>
      <w:r w:rsidRPr="00611CAC">
        <w:rPr>
          <w:i/>
          <w:iCs/>
        </w:rPr>
        <w:t>Post-Census Group Quarters Review Program</w:t>
      </w:r>
      <w:r w:rsidRPr="00611CAC">
        <w:t xml:space="preserve"> and submitted to the U.S. Census Bureau for correction.</w:t>
      </w:r>
    </w:p>
  </w:footnote>
  <w:footnote w:id="35">
    <w:p w14:paraId="30034F49" w14:textId="42D44782" w:rsidR="00FA0652" w:rsidRDefault="00FA0652">
      <w:pPr>
        <w:pStyle w:val="FootnoteText"/>
      </w:pPr>
      <w:r>
        <w:rPr>
          <w:rStyle w:val="FootnoteReference"/>
        </w:rPr>
        <w:footnoteRef/>
      </w:r>
      <w:r>
        <w:t xml:space="preserve"> </w:t>
      </w:r>
      <w:r w:rsidR="005C14E8">
        <w:t>Hamilton BE, Martin JA, Osterman MJK.</w:t>
      </w:r>
      <w:r w:rsidR="000B2D2D">
        <w:t xml:space="preserve">, </w:t>
      </w:r>
      <w:r w:rsidR="005C14E8">
        <w:t>Births: provisional data for 2023.</w:t>
      </w:r>
      <w:r>
        <w:t xml:space="preserve"> </w:t>
      </w:r>
      <w:r w:rsidR="00AF4745">
        <w:t>Vital</w:t>
      </w:r>
      <w:r w:rsidR="000B2D2D">
        <w:t xml:space="preserve"> </w:t>
      </w:r>
      <w:r w:rsidR="00AF4745">
        <w:t>Statistics Rapid Release</w:t>
      </w:r>
      <w:r w:rsidR="005C14E8">
        <w:t>; no</w:t>
      </w:r>
      <w:r w:rsidR="00C2121D">
        <w:t xml:space="preserve"> 35</w:t>
      </w:r>
      <w:r w:rsidR="005C14E8">
        <w:t>. April</w:t>
      </w:r>
      <w:r w:rsidR="000B2D2D">
        <w:t xml:space="preserve"> </w:t>
      </w:r>
      <w:r w:rsidR="005C14E8">
        <w:t>2024. DOI: https://dx.doi.org/10.15620/cdc/151797.</w:t>
      </w:r>
    </w:p>
  </w:footnote>
  <w:footnote w:id="36">
    <w:p w14:paraId="134CFE06" w14:textId="77777777" w:rsidR="00A90A11" w:rsidRDefault="00A90A11" w:rsidP="00A90A11">
      <w:pPr>
        <w:pStyle w:val="FootnoteText"/>
      </w:pPr>
      <w:r>
        <w:rPr>
          <w:rStyle w:val="FootnoteReference"/>
        </w:rPr>
        <w:footnoteRef/>
      </w:r>
      <w:r>
        <w:t xml:space="preserve"> </w:t>
      </w:r>
      <w:r w:rsidRPr="00083560">
        <w:t>Improvements to the 2020 Census Race and Hispanic Origin Question Designs, Data Processing, and Coding Procedures</w:t>
      </w:r>
      <w:r>
        <w:t xml:space="preserve">. Marks, Rache and Merarys Rios-Vargas, U.S. Census Bureau, Population Division. August 3, 2021. </w:t>
      </w:r>
      <w:r w:rsidRPr="005C5C8F">
        <w:t>https://www.census.gov/newsroom/blogs/random-samplings/2021/08/improvements-to-2020-census-race-hispanic-origin-question-designs.html</w:t>
      </w:r>
    </w:p>
  </w:footnote>
  <w:footnote w:id="37">
    <w:p w14:paraId="6BEDE209" w14:textId="22A460A0" w:rsidR="004F231A" w:rsidRDefault="004F231A">
      <w:pPr>
        <w:pStyle w:val="FootnoteText"/>
      </w:pPr>
      <w:r>
        <w:rPr>
          <w:rStyle w:val="FootnoteReference"/>
        </w:rPr>
        <w:footnoteRef/>
      </w:r>
      <w:r>
        <w:t xml:space="preserve"> Ibid.</w:t>
      </w:r>
    </w:p>
  </w:footnote>
  <w:footnote w:id="38">
    <w:p w14:paraId="0E0001DB" w14:textId="22B488FF" w:rsidR="00501F6E" w:rsidRDefault="00501F6E">
      <w:pPr>
        <w:pStyle w:val="FootnoteText"/>
      </w:pPr>
      <w:r>
        <w:rPr>
          <w:rStyle w:val="FootnoteReference"/>
        </w:rPr>
        <w:footnoteRef/>
      </w:r>
      <w:r>
        <w:t xml:space="preserve"> </w:t>
      </w:r>
      <w:r w:rsidR="00E45BCD" w:rsidRPr="00066437">
        <w:rPr>
          <w:i/>
        </w:rPr>
        <w:t>Modified Race Summary File Methodology.</w:t>
      </w:r>
      <w:r w:rsidR="00E45BCD">
        <w:t xml:space="preserve"> U.S. Census Bureau, Population Division. July 5, 2012. </w:t>
      </w:r>
      <w:r w:rsidR="00E45BCD" w:rsidRPr="00E45BCD">
        <w:t>https://www2.census.gov/programs-surveys/popest/technical-documentation/methodology/modified-race-summary-file-method/mrsf2010.pdf</w:t>
      </w:r>
    </w:p>
  </w:footnote>
  <w:footnote w:id="39">
    <w:p w14:paraId="08E948FD" w14:textId="629EF2C6" w:rsidR="00DB52DF" w:rsidRDefault="00DB52DF">
      <w:pPr>
        <w:pStyle w:val="FootnoteText"/>
      </w:pPr>
      <w:r>
        <w:rPr>
          <w:rStyle w:val="FootnoteReference"/>
        </w:rPr>
        <w:footnoteRef/>
      </w:r>
      <w:r>
        <w:t xml:space="preserve"> </w:t>
      </w:r>
      <w:r w:rsidR="000F356D" w:rsidRPr="00066437">
        <w:rPr>
          <w:i/>
          <w:iCs/>
        </w:rPr>
        <w:t>2020 Modified Age &amp; Race Census File Methodology</w:t>
      </w:r>
      <w:r w:rsidR="000F356D">
        <w:t xml:space="preserve"> </w:t>
      </w:r>
      <w:r w:rsidR="000F356D" w:rsidRPr="00066437">
        <w:rPr>
          <w:i/>
          <w:iCs/>
        </w:rPr>
        <w:t>Statement</w:t>
      </w:r>
      <w:r w:rsidR="000F356D">
        <w:t xml:space="preserve">. U.S. Census Bureau. </w:t>
      </w:r>
      <w:r w:rsidR="00E17F7F">
        <w:t>Sept 3, 2024.</w:t>
      </w:r>
      <w:r>
        <w:t xml:space="preserve"> </w:t>
      </w:r>
      <w:r w:rsidRPr="00DB52DF">
        <w:t>https://www2.census.gov/programs-surveys/popest/technical-documentation/methodology/modified-race-summary-file-method/marc2020-imprace-us.pdf</w:t>
      </w:r>
    </w:p>
  </w:footnote>
  <w:footnote w:id="40">
    <w:p w14:paraId="1A8FCDBE" w14:textId="77777777" w:rsidR="00A64D86" w:rsidRPr="00FD6F37" w:rsidRDefault="00A64D86" w:rsidP="00A64D86">
      <w:pPr>
        <w:pStyle w:val="FootnoteText"/>
        <w:spacing w:line="240" w:lineRule="auto"/>
        <w:rPr>
          <w:rFonts w:asciiTheme="minorHAnsi" w:hAnsiTheme="minorHAnsi"/>
        </w:rPr>
      </w:pPr>
      <w:r w:rsidRPr="00FD6F37">
        <w:rPr>
          <w:rStyle w:val="FootnoteReference"/>
          <w:rFonts w:asciiTheme="minorHAnsi" w:hAnsiTheme="minorHAnsi"/>
        </w:rPr>
        <w:footnoteRef/>
      </w:r>
      <w:r w:rsidRPr="00FD6F37">
        <w:rPr>
          <w:rFonts w:asciiTheme="minorHAnsi" w:hAnsiTheme="minorHAnsi"/>
        </w:rPr>
        <w:t xml:space="preserve"> Because the annual, intercensal estimates produced by the Census Bureau are themselves estimates that use a combination of year-by-year component data adjusted to two census-count endpoints, we have no means of quantifying the effect of the control to the county on error, having no accurate count to measure them against.</w:t>
      </w:r>
    </w:p>
  </w:footnote>
  <w:footnote w:id="41">
    <w:p w14:paraId="1F87E82F" w14:textId="7900F33E" w:rsidR="0049474E" w:rsidRPr="00426DD3" w:rsidRDefault="0049474E" w:rsidP="0049474E">
      <w:pPr>
        <w:pStyle w:val="FootnoteText"/>
        <w:rPr>
          <w:rFonts w:asciiTheme="minorHAnsi" w:hAnsiTheme="minorHAnsi" w:cstheme="minorHAnsi"/>
        </w:rPr>
      </w:pPr>
      <w:r>
        <w:rPr>
          <w:rStyle w:val="FootnoteReference"/>
        </w:rPr>
        <w:footnoteRef/>
      </w:r>
      <w:r>
        <w:t xml:space="preserve"> </w:t>
      </w:r>
      <w:r w:rsidRPr="00426DD3">
        <w:rPr>
          <w:rFonts w:asciiTheme="minorHAnsi" w:hAnsiTheme="minorHAnsi" w:cstheme="minorHAnsi"/>
        </w:rPr>
        <w:t xml:space="preserve">This assessment is described in greater detail in the V2016 method report: </w:t>
      </w:r>
      <w:r w:rsidRPr="00426DD3">
        <w:rPr>
          <w:rFonts w:asciiTheme="minorHAnsi" w:hAnsiTheme="minorHAnsi" w:cstheme="minorHAnsi"/>
          <w:i/>
          <w:iCs/>
        </w:rPr>
        <w:t>Small Area Population Estimates for 2011 through 2020</w:t>
      </w:r>
      <w:r w:rsidR="00886739" w:rsidRPr="00426DD3">
        <w:rPr>
          <w:rFonts w:asciiTheme="minorHAnsi" w:hAnsiTheme="minorHAnsi" w:cstheme="minorHAnsi"/>
          <w:i/>
          <w:iCs/>
        </w:rPr>
        <w:t xml:space="preserve">. </w:t>
      </w:r>
      <w:r w:rsidRPr="00426DD3">
        <w:rPr>
          <w:rFonts w:asciiTheme="minorHAnsi" w:hAnsiTheme="minorHAnsi" w:cstheme="minorHAnsi"/>
          <w:i/>
          <w:iCs/>
        </w:rPr>
        <w:t>Prepared for the Massachusetts Department of Public Health’s Bureau of Environmental Health</w:t>
      </w:r>
      <w:r w:rsidRPr="00426DD3">
        <w:rPr>
          <w:rFonts w:asciiTheme="minorHAnsi" w:hAnsiTheme="minorHAnsi" w:cstheme="minorHAnsi"/>
        </w:rPr>
        <w:t>. UMass Donahue Institute, October 2016.</w:t>
      </w:r>
    </w:p>
  </w:footnote>
  <w:footnote w:id="42">
    <w:p w14:paraId="0858D3AB" w14:textId="77777777" w:rsidR="000B3D3B" w:rsidRDefault="000B3D3B" w:rsidP="000B3D3B">
      <w:pPr>
        <w:pStyle w:val="ReportTitle"/>
        <w:rPr>
          <w:rFonts w:asciiTheme="minorHAnsi" w:hAnsiTheme="minorHAnsi" w:cstheme="minorHAnsi"/>
          <w:color w:val="auto"/>
          <w:sz w:val="16"/>
          <w:szCs w:val="16"/>
        </w:rPr>
      </w:pPr>
      <w:r>
        <w:rPr>
          <w:rStyle w:val="FootnoteReference"/>
          <w:rFonts w:asciiTheme="minorHAnsi" w:eastAsiaTheme="majorEastAsia" w:hAnsiTheme="minorHAnsi" w:cstheme="minorHAnsi"/>
          <w:color w:val="auto"/>
          <w:sz w:val="16"/>
          <w:szCs w:val="16"/>
        </w:rPr>
        <w:footnoteRef/>
      </w:r>
      <w:r>
        <w:rPr>
          <w:rFonts w:asciiTheme="minorHAnsi" w:hAnsiTheme="minorHAnsi" w:cstheme="minorHAnsi"/>
          <w:color w:val="auto"/>
          <w:sz w:val="16"/>
          <w:szCs w:val="16"/>
        </w:rPr>
        <w:t xml:space="preserve"> </w:t>
      </w:r>
      <w:r>
        <w:rPr>
          <w:rFonts w:asciiTheme="minorHAnsi" w:hAnsiTheme="minorHAnsi" w:cstheme="minorHAnsi"/>
          <w:b w:val="0"/>
          <w:color w:val="auto"/>
          <w:sz w:val="16"/>
          <w:szCs w:val="16"/>
        </w:rPr>
        <w:t xml:space="preserve">For testing results, refer to our report: </w:t>
      </w:r>
      <w:r>
        <w:rPr>
          <w:rFonts w:asciiTheme="minorHAnsi" w:hAnsiTheme="minorHAnsi" w:cstheme="minorHAnsi"/>
          <w:b w:val="0"/>
          <w:i/>
          <w:color w:val="auto"/>
          <w:sz w:val="16"/>
          <w:szCs w:val="16"/>
        </w:rPr>
        <w:t>Small Area Population Estimates for 2011 through 2020, Prepared for the Massachusetts Department of Public Health’s Bureau of Environmental Health</w:t>
      </w:r>
      <w:r>
        <w:rPr>
          <w:rFonts w:asciiTheme="minorHAnsi" w:hAnsiTheme="minorHAnsi" w:cstheme="minorHAnsi"/>
          <w:b w:val="0"/>
          <w:color w:val="auto"/>
          <w:sz w:val="16"/>
          <w:szCs w:val="16"/>
        </w:rPr>
        <w:t>, October 2016.</w:t>
      </w:r>
    </w:p>
  </w:footnote>
  <w:footnote w:id="43">
    <w:p w14:paraId="52BD0EE7" w14:textId="77777777" w:rsidR="000B3D3B" w:rsidRDefault="000B3D3B" w:rsidP="000B3D3B">
      <w:pPr>
        <w:pStyle w:val="FootnoteText"/>
        <w:rPr>
          <w:rFonts w:asciiTheme="minorHAnsi" w:hAnsiTheme="minorHAnsi" w:cstheme="minorHAnsi"/>
        </w:rPr>
      </w:pPr>
      <w:r>
        <w:rPr>
          <w:rStyle w:val="FootnoteReference"/>
          <w:rFonts w:asciiTheme="minorHAnsi" w:hAnsiTheme="minorHAnsi" w:cstheme="minorHAnsi"/>
          <w:szCs w:val="16"/>
        </w:rPr>
        <w:footnoteRef/>
      </w:r>
      <w:r>
        <w:rPr>
          <w:rFonts w:asciiTheme="minorHAnsi" w:hAnsiTheme="minorHAnsi" w:cstheme="minorHAnsi"/>
          <w:szCs w:val="16"/>
        </w:rPr>
        <w:t xml:space="preserve"> No errors are generated for cohorts with population 0 in the base year, and these are not included in the observation counts.</w:t>
      </w:r>
      <w:r>
        <w:rPr>
          <w:rFonts w:asciiTheme="minorHAnsi" w:hAnsiTheme="minorHAnsi" w:cstheme="minorHAnsi"/>
        </w:rPr>
        <w:t xml:space="preserve"> </w:t>
      </w:r>
    </w:p>
  </w:footnote>
  <w:footnote w:id="44">
    <w:p w14:paraId="0954F8A7" w14:textId="77777777" w:rsidR="00F030E4" w:rsidRPr="009803D9" w:rsidRDefault="00F030E4" w:rsidP="00F030E4">
      <w:pPr>
        <w:pStyle w:val="FootnoteText"/>
        <w:rPr>
          <w:rFonts w:asciiTheme="minorHAnsi" w:hAnsiTheme="minorHAnsi" w:cstheme="minorHAnsi"/>
        </w:rPr>
      </w:pPr>
      <w:r w:rsidRPr="004E0B84">
        <w:rPr>
          <w:rStyle w:val="FootnoteReference"/>
          <w:rFonts w:asciiTheme="minorHAnsi" w:hAnsiTheme="minorHAnsi" w:cstheme="minorHAnsi"/>
          <w:szCs w:val="16"/>
        </w:rPr>
        <w:footnoteRef/>
      </w:r>
      <w:r w:rsidRPr="004E0B84">
        <w:rPr>
          <w:rFonts w:asciiTheme="minorHAnsi" w:hAnsiTheme="minorHAnsi" w:cstheme="minorHAnsi"/>
          <w:szCs w:val="16"/>
        </w:rPr>
        <w:t xml:space="preserve"> No errors are generated for cohorts with population 0 in the base year, and these are not included in the observation counts.</w:t>
      </w:r>
      <w:r w:rsidRPr="009803D9">
        <w:rPr>
          <w:rFonts w:asciiTheme="minorHAnsi" w:hAnsiTheme="minorHAnsi" w:cstheme="minorHAnsi"/>
        </w:rPr>
        <w:t xml:space="preserve"> </w:t>
      </w:r>
    </w:p>
  </w:footnote>
  <w:footnote w:id="45">
    <w:p w14:paraId="55A10A14" w14:textId="77777777" w:rsidR="002250C8" w:rsidRDefault="002250C8" w:rsidP="002250C8">
      <w:pPr>
        <w:pStyle w:val="FootnoteText"/>
        <w:spacing w:line="240" w:lineRule="auto"/>
        <w:rPr>
          <w:rFonts w:asciiTheme="minorHAnsi" w:hAnsiTheme="minorHAnsi"/>
          <w:szCs w:val="16"/>
        </w:rPr>
      </w:pPr>
      <w:r>
        <w:rPr>
          <w:rStyle w:val="FootnoteReference"/>
          <w:rFonts w:asciiTheme="minorHAnsi" w:hAnsiTheme="minorHAnsi" w:cstheme="minorHAnsi"/>
          <w:szCs w:val="16"/>
        </w:rPr>
        <w:footnoteRef/>
      </w:r>
      <w:r>
        <w:rPr>
          <w:rFonts w:asciiTheme="minorHAnsi" w:hAnsiTheme="minorHAnsi" w:cstheme="minorHAnsi"/>
          <w:szCs w:val="16"/>
        </w:rPr>
        <w:t>While errors are</w:t>
      </w:r>
      <w:r>
        <w:rPr>
          <w:rFonts w:asciiTheme="minorHAnsi" w:hAnsiTheme="minorHAnsi"/>
          <w:szCs w:val="16"/>
        </w:rPr>
        <w:t xml:space="preserve"> calculated for 18 five-year age categories, single year age cohorts are assigned the same errors as the 5-year cohort groups to which they belong. See Table A2 in the Appendix of this report for size categories and age groups used in error assignment.</w:t>
      </w:r>
    </w:p>
  </w:footnote>
  <w:footnote w:id="46">
    <w:p w14:paraId="1E0C78EF" w14:textId="77777777" w:rsidR="002250C8" w:rsidRDefault="002250C8" w:rsidP="002250C8">
      <w:pPr>
        <w:pStyle w:val="FootnoteText"/>
        <w:rPr>
          <w:rFonts w:asciiTheme="minorHAnsi" w:hAnsiTheme="minorHAnsi" w:cstheme="minorHAnsi"/>
          <w:szCs w:val="16"/>
        </w:rPr>
      </w:pPr>
      <w:r>
        <w:rPr>
          <w:rStyle w:val="FootnoteReference"/>
          <w:rFonts w:asciiTheme="minorHAnsi" w:hAnsiTheme="minorHAnsi" w:cstheme="minorHAnsi"/>
          <w:szCs w:val="16"/>
        </w:rPr>
        <w:footnoteRef/>
      </w:r>
      <w:r>
        <w:rPr>
          <w:rFonts w:asciiTheme="minorHAnsi" w:hAnsiTheme="minorHAnsi" w:cstheme="minorHAnsi"/>
          <w:szCs w:val="16"/>
        </w:rPr>
        <w:t xml:space="preserve"> No errors are generated for cohorts with population 0 in the base year, and these are not included in the observation counts. </w:t>
      </w:r>
    </w:p>
  </w:footnote>
  <w:footnote w:id="47">
    <w:p w14:paraId="5F88303B" w14:textId="77777777" w:rsidR="002250C8" w:rsidRDefault="002250C8" w:rsidP="002250C8">
      <w:pPr>
        <w:pStyle w:val="FootnoteText"/>
        <w:spacing w:line="240" w:lineRule="auto"/>
        <w:rPr>
          <w:rFonts w:asciiTheme="minorHAnsi" w:hAnsiTheme="minorHAnsi"/>
          <w:szCs w:val="16"/>
        </w:rPr>
      </w:pPr>
      <w:r>
        <w:rPr>
          <w:rStyle w:val="FootnoteReference"/>
          <w:rFonts w:asciiTheme="minorHAnsi" w:hAnsiTheme="minorHAnsi" w:cstheme="minorHAnsi"/>
          <w:szCs w:val="16"/>
        </w:rPr>
        <w:footnoteRef/>
      </w:r>
      <w:r>
        <w:rPr>
          <w:rFonts w:asciiTheme="minorHAnsi" w:hAnsiTheme="minorHAnsi" w:cstheme="minorHAnsi"/>
          <w:szCs w:val="16"/>
        </w:rPr>
        <w:t>While errors are</w:t>
      </w:r>
      <w:r>
        <w:rPr>
          <w:rFonts w:asciiTheme="minorHAnsi" w:hAnsiTheme="minorHAnsi"/>
          <w:szCs w:val="16"/>
        </w:rPr>
        <w:t xml:space="preserve"> calculated for 18 five-year age categories, single year age cohorts are assigned the same errors as the 5-year cohort groups to which they belong. See Table A2 in the Appendix of this report for size categories and age groups used in error assignment.</w:t>
      </w:r>
    </w:p>
  </w:footnote>
  <w:footnote w:id="48">
    <w:p w14:paraId="06AF253F" w14:textId="77777777" w:rsidR="002250C8" w:rsidRDefault="002250C8" w:rsidP="002250C8">
      <w:pPr>
        <w:pStyle w:val="ReportTitle"/>
        <w:rPr>
          <w:rFonts w:asciiTheme="minorHAnsi" w:hAnsiTheme="minorHAnsi" w:cstheme="minorHAnsi"/>
          <w:b w:val="0"/>
          <w:color w:val="auto"/>
          <w:sz w:val="18"/>
          <w:szCs w:val="18"/>
        </w:rPr>
      </w:pPr>
      <w:r>
        <w:rPr>
          <w:rStyle w:val="FootnoteReference"/>
          <w:rFonts w:asciiTheme="minorHAnsi" w:eastAsiaTheme="majorEastAsia" w:hAnsiTheme="minorHAnsi" w:cstheme="minorHAnsi"/>
          <w:b w:val="0"/>
          <w:color w:val="auto"/>
          <w:sz w:val="16"/>
          <w:szCs w:val="16"/>
        </w:rPr>
        <w:footnoteRef/>
      </w:r>
      <w:r>
        <w:rPr>
          <w:rFonts w:asciiTheme="minorHAnsi" w:hAnsiTheme="minorHAnsi" w:cstheme="minorHAnsi"/>
          <w:b w:val="0"/>
          <w:color w:val="auto"/>
          <w:sz w:val="16"/>
          <w:szCs w:val="16"/>
        </w:rPr>
        <w:t xml:space="preserve"> For testing results, refer to our report: </w:t>
      </w:r>
      <w:r>
        <w:rPr>
          <w:rFonts w:asciiTheme="minorHAnsi" w:hAnsiTheme="minorHAnsi" w:cstheme="minorHAnsi"/>
          <w:b w:val="0"/>
          <w:i/>
          <w:color w:val="auto"/>
          <w:sz w:val="16"/>
          <w:szCs w:val="16"/>
        </w:rPr>
        <w:t>Small Area Population Estimates for 2011 through 2020, Prepared for the Massachusetts Department of Public Health’s Bureau of Environmental Health</w:t>
      </w:r>
      <w:r>
        <w:rPr>
          <w:rFonts w:asciiTheme="minorHAnsi" w:hAnsiTheme="minorHAnsi" w:cstheme="minorHAnsi"/>
          <w:b w:val="0"/>
          <w:color w:val="auto"/>
          <w:sz w:val="16"/>
          <w:szCs w:val="16"/>
        </w:rPr>
        <w:t>, October 2016.</w:t>
      </w:r>
    </w:p>
  </w:footnote>
  <w:footnote w:id="49">
    <w:p w14:paraId="241FECB8" w14:textId="77777777" w:rsidR="00E9650F" w:rsidRDefault="00E9650F" w:rsidP="00E9650F">
      <w:pPr>
        <w:pStyle w:val="FootnoteText"/>
      </w:pPr>
      <w:r>
        <w:rPr>
          <w:rStyle w:val="FootnoteReference"/>
        </w:rPr>
        <w:footnoteRef/>
      </w:r>
      <w:r>
        <w:t xml:space="preserve"> Equidistance is approximate due to rounding and may vary by +/- 2 people.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2CFC0" w14:textId="77777777" w:rsidR="00135EFB" w:rsidRDefault="00135EFB">
    <w:pPr>
      <w:pStyle w:val="Header"/>
    </w:pPr>
    <w:r>
      <w:rPr>
        <w:noProof/>
      </w:rPr>
      <mc:AlternateContent>
        <mc:Choice Requires="wpg">
          <w:drawing>
            <wp:anchor distT="0" distB="0" distL="114300" distR="114300" simplePos="0" relativeHeight="251658240" behindDoc="0" locked="0" layoutInCell="1" allowOverlap="1" wp14:anchorId="70DA7F78" wp14:editId="09590CD1">
              <wp:simplePos x="0" y="0"/>
              <wp:positionH relativeFrom="column">
                <wp:posOffset>0</wp:posOffset>
              </wp:positionH>
              <wp:positionV relativeFrom="paragraph">
                <wp:posOffset>457200</wp:posOffset>
              </wp:positionV>
              <wp:extent cx="5943600" cy="5147945"/>
              <wp:effectExtent l="0" t="0" r="0" b="0"/>
              <wp:wrapNone/>
              <wp:docPr id="22" name="Group 22"/>
              <wp:cNvGraphicFramePr/>
              <a:graphic xmlns:a="http://schemas.openxmlformats.org/drawingml/2006/main">
                <a:graphicData uri="http://schemas.microsoft.com/office/word/2010/wordprocessingGroup">
                  <wpg:wgp>
                    <wpg:cNvGrpSpPr/>
                    <wpg:grpSpPr>
                      <a:xfrm>
                        <a:off x="0" y="0"/>
                        <a:ext cx="5943600" cy="5147945"/>
                        <a:chOff x="0" y="0"/>
                        <a:chExt cx="5943600" cy="5147945"/>
                      </a:xfrm>
                    </wpg:grpSpPr>
                    <pic:pic xmlns:pic="http://schemas.openxmlformats.org/drawingml/2006/picture">
                      <pic:nvPicPr>
                        <pic:cNvPr id="5" name="Picture 5"/>
                        <pic:cNvPicPr>
                          <a:picLocks noChangeAspect="1"/>
                        </pic:cNvPicPr>
                      </pic:nvPicPr>
                      <pic:blipFill rotWithShape="1">
                        <a:blip r:embed="rId1">
                          <a:extLst>
                            <a:ext uri="{28A0092B-C50C-407E-A947-70E740481C1C}">
                              <a14:useLocalDpi xmlns:a14="http://schemas.microsoft.com/office/drawing/2010/main" val="0"/>
                            </a:ext>
                          </a:extLst>
                        </a:blip>
                        <a:srcRect b="21323"/>
                        <a:stretch/>
                      </pic:blipFill>
                      <pic:spPr bwMode="auto">
                        <a:xfrm>
                          <a:off x="0" y="0"/>
                          <a:ext cx="5943600" cy="4572000"/>
                        </a:xfrm>
                        <a:prstGeom prst="rect">
                          <a:avLst/>
                        </a:prstGeom>
                        <a:ln>
                          <a:noFill/>
                        </a:ln>
                        <a:extLst>
                          <a:ext uri="{53640926-AAD7-44D8-BBD7-CCE9431645EC}">
                            <a14:shadowObscured xmlns:a14="http://schemas.microsoft.com/office/drawing/2010/main"/>
                          </a:ext>
                        </a:extLst>
                      </pic:spPr>
                    </pic:pic>
                    <wps:wsp>
                      <wps:cNvPr id="7" name="Rectangle 7"/>
                      <wps:cNvSpPr>
                        <a:spLocks/>
                      </wps:cNvSpPr>
                      <wps:spPr>
                        <a:xfrm>
                          <a:off x="0" y="4572000"/>
                          <a:ext cx="5943600" cy="575945"/>
                        </a:xfrm>
                        <a:prstGeom prst="rect">
                          <a:avLst/>
                        </a:prstGeom>
                        <a:solidFill>
                          <a:srgbClr val="C8C9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024EDC" id="Group 22" o:spid="_x0000_s1026" style="position:absolute;margin-left:0;margin-top:36pt;width:468pt;height:405.35pt;z-index:251658240" coordsize="59436,514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9436;height:45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">
                <v:imagedata r:id="rId2" o:title="" cropbottom="13974f"/>
              </v:shape>
              <v:rect id="Rectangle 7" o:spid="_x0000_s1028" style="position:absolute;top:45720;width:59436;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" fillcolor="#c8c9cb" stroked="f" strokeweight="1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EBC37" w14:textId="341E10FB" w:rsidR="00135EFB" w:rsidRDefault="00135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48045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98D5B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DB487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5EBD76"/>
    <w:lvl w:ilvl="0">
      <w:start w:val="1"/>
      <w:numFmt w:val="decimal"/>
      <w:lvlText w:val="%1."/>
      <w:lvlJc w:val="left"/>
      <w:pPr>
        <w:tabs>
          <w:tab w:val="num" w:pos="720"/>
        </w:tabs>
        <w:ind w:left="720" w:hanging="360"/>
      </w:pPr>
    </w:lvl>
  </w:abstractNum>
  <w:abstractNum w:abstractNumId="4" w15:restartNumberingAfterBreak="0">
    <w:nsid w:val="FFFFFF89"/>
    <w:multiLevelType w:val="singleLevel"/>
    <w:tmpl w:val="41828D3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BE00B3"/>
    <w:multiLevelType w:val="hybridMultilevel"/>
    <w:tmpl w:val="92762DEE"/>
    <w:lvl w:ilvl="0" w:tplc="C8120B4C">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F50211"/>
    <w:multiLevelType w:val="hybridMultilevel"/>
    <w:tmpl w:val="DA64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845259"/>
    <w:multiLevelType w:val="multilevel"/>
    <w:tmpl w:val="B358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84C63"/>
    <w:multiLevelType w:val="hybridMultilevel"/>
    <w:tmpl w:val="B2981148"/>
    <w:lvl w:ilvl="0" w:tplc="637C29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1312B1"/>
    <w:multiLevelType w:val="hybridMultilevel"/>
    <w:tmpl w:val="C8EE0366"/>
    <w:lvl w:ilvl="0" w:tplc="A454AB00">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F54FC2"/>
    <w:multiLevelType w:val="hybridMultilevel"/>
    <w:tmpl w:val="97C0501A"/>
    <w:lvl w:ilvl="0" w:tplc="FFFFFFFF">
      <w:start w:val="1"/>
      <w:numFmt w:val="decimal"/>
      <w:lvlText w:val="%1)"/>
      <w:lvlJc w:val="left"/>
      <w:pPr>
        <w:ind w:left="360" w:hanging="360"/>
      </w:pPr>
      <w:rPr>
        <w:rFonts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0D2B6CAB"/>
    <w:multiLevelType w:val="hybridMultilevel"/>
    <w:tmpl w:val="97C0501A"/>
    <w:lvl w:ilvl="0" w:tplc="FFFFFFFF">
      <w:start w:val="1"/>
      <w:numFmt w:val="decimal"/>
      <w:lvlText w:val="%1)"/>
      <w:lvlJc w:val="left"/>
      <w:pPr>
        <w:ind w:left="360" w:hanging="360"/>
      </w:pPr>
      <w:rPr>
        <w:rFonts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11765DB"/>
    <w:multiLevelType w:val="hybridMultilevel"/>
    <w:tmpl w:val="BD867518"/>
    <w:lvl w:ilvl="0" w:tplc="04090001">
      <w:start w:val="1"/>
      <w:numFmt w:val="bullet"/>
      <w:lvlText w:val=""/>
      <w:lvlJc w:val="left"/>
      <w:pPr>
        <w:tabs>
          <w:tab w:val="num" w:pos="720"/>
        </w:tabs>
        <w:ind w:left="720" w:hanging="360"/>
      </w:pPr>
      <w:rPr>
        <w:rFonts w:ascii="Symbol" w:hAnsi="Symbol" w:hint="default"/>
      </w:rPr>
    </w:lvl>
    <w:lvl w:ilvl="1" w:tplc="F9DCF5EA" w:tentative="1">
      <w:start w:val="1"/>
      <w:numFmt w:val="bullet"/>
      <w:lvlText w:val="•"/>
      <w:lvlJc w:val="left"/>
      <w:pPr>
        <w:tabs>
          <w:tab w:val="num" w:pos="1440"/>
        </w:tabs>
        <w:ind w:left="1440" w:hanging="360"/>
      </w:pPr>
      <w:rPr>
        <w:rFonts w:ascii="Arial" w:hAnsi="Arial" w:hint="default"/>
      </w:rPr>
    </w:lvl>
    <w:lvl w:ilvl="2" w:tplc="BCDA9ABC" w:tentative="1">
      <w:start w:val="1"/>
      <w:numFmt w:val="bullet"/>
      <w:lvlText w:val="•"/>
      <w:lvlJc w:val="left"/>
      <w:pPr>
        <w:tabs>
          <w:tab w:val="num" w:pos="2160"/>
        </w:tabs>
        <w:ind w:left="2160" w:hanging="360"/>
      </w:pPr>
      <w:rPr>
        <w:rFonts w:ascii="Arial" w:hAnsi="Arial" w:hint="default"/>
      </w:rPr>
    </w:lvl>
    <w:lvl w:ilvl="3" w:tplc="BC36D5F2" w:tentative="1">
      <w:start w:val="1"/>
      <w:numFmt w:val="bullet"/>
      <w:lvlText w:val="•"/>
      <w:lvlJc w:val="left"/>
      <w:pPr>
        <w:tabs>
          <w:tab w:val="num" w:pos="2880"/>
        </w:tabs>
        <w:ind w:left="2880" w:hanging="360"/>
      </w:pPr>
      <w:rPr>
        <w:rFonts w:ascii="Arial" w:hAnsi="Arial" w:hint="default"/>
      </w:rPr>
    </w:lvl>
    <w:lvl w:ilvl="4" w:tplc="2FF426C8" w:tentative="1">
      <w:start w:val="1"/>
      <w:numFmt w:val="bullet"/>
      <w:lvlText w:val="•"/>
      <w:lvlJc w:val="left"/>
      <w:pPr>
        <w:tabs>
          <w:tab w:val="num" w:pos="3600"/>
        </w:tabs>
        <w:ind w:left="3600" w:hanging="360"/>
      </w:pPr>
      <w:rPr>
        <w:rFonts w:ascii="Arial" w:hAnsi="Arial" w:hint="default"/>
      </w:rPr>
    </w:lvl>
    <w:lvl w:ilvl="5" w:tplc="21EA564E" w:tentative="1">
      <w:start w:val="1"/>
      <w:numFmt w:val="bullet"/>
      <w:lvlText w:val="•"/>
      <w:lvlJc w:val="left"/>
      <w:pPr>
        <w:tabs>
          <w:tab w:val="num" w:pos="4320"/>
        </w:tabs>
        <w:ind w:left="4320" w:hanging="360"/>
      </w:pPr>
      <w:rPr>
        <w:rFonts w:ascii="Arial" w:hAnsi="Arial" w:hint="default"/>
      </w:rPr>
    </w:lvl>
    <w:lvl w:ilvl="6" w:tplc="4A646DE0" w:tentative="1">
      <w:start w:val="1"/>
      <w:numFmt w:val="bullet"/>
      <w:lvlText w:val="•"/>
      <w:lvlJc w:val="left"/>
      <w:pPr>
        <w:tabs>
          <w:tab w:val="num" w:pos="5040"/>
        </w:tabs>
        <w:ind w:left="5040" w:hanging="360"/>
      </w:pPr>
      <w:rPr>
        <w:rFonts w:ascii="Arial" w:hAnsi="Arial" w:hint="default"/>
      </w:rPr>
    </w:lvl>
    <w:lvl w:ilvl="7" w:tplc="8DC64EB2" w:tentative="1">
      <w:start w:val="1"/>
      <w:numFmt w:val="bullet"/>
      <w:lvlText w:val="•"/>
      <w:lvlJc w:val="left"/>
      <w:pPr>
        <w:tabs>
          <w:tab w:val="num" w:pos="5760"/>
        </w:tabs>
        <w:ind w:left="5760" w:hanging="360"/>
      </w:pPr>
      <w:rPr>
        <w:rFonts w:ascii="Arial" w:hAnsi="Arial" w:hint="default"/>
      </w:rPr>
    </w:lvl>
    <w:lvl w:ilvl="8" w:tplc="72AA6A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3A6724D"/>
    <w:multiLevelType w:val="hybridMultilevel"/>
    <w:tmpl w:val="69A2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5115CB"/>
    <w:multiLevelType w:val="hybridMultilevel"/>
    <w:tmpl w:val="919C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9A2B8E"/>
    <w:multiLevelType w:val="hybridMultilevel"/>
    <w:tmpl w:val="3B0E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86723C"/>
    <w:multiLevelType w:val="hybridMultilevel"/>
    <w:tmpl w:val="776A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54361E"/>
    <w:multiLevelType w:val="hybridMultilevel"/>
    <w:tmpl w:val="9C14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3457B2"/>
    <w:multiLevelType w:val="hybridMultilevel"/>
    <w:tmpl w:val="0CEA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D869E4"/>
    <w:multiLevelType w:val="hybridMultilevel"/>
    <w:tmpl w:val="97C0501A"/>
    <w:lvl w:ilvl="0" w:tplc="FFFFFFFF">
      <w:start w:val="1"/>
      <w:numFmt w:val="decimal"/>
      <w:lvlText w:val="%1)"/>
      <w:lvlJc w:val="left"/>
      <w:pPr>
        <w:ind w:left="360" w:hanging="360"/>
      </w:pPr>
      <w:rPr>
        <w:rFonts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1CB866A5"/>
    <w:multiLevelType w:val="hybridMultilevel"/>
    <w:tmpl w:val="54A263EA"/>
    <w:lvl w:ilvl="0" w:tplc="04090001">
      <w:start w:val="1"/>
      <w:numFmt w:val="bullet"/>
      <w:lvlText w:val=""/>
      <w:lvlJc w:val="left"/>
      <w:pPr>
        <w:ind w:left="720" w:hanging="360"/>
      </w:pPr>
      <w:rPr>
        <w:rFonts w:ascii="Symbol" w:hAnsi="Symbol" w:hint="default"/>
      </w:rPr>
    </w:lvl>
    <w:lvl w:ilvl="1" w:tplc="1D8E2408">
      <w:start w:val="1"/>
      <w:numFmt w:val="bullet"/>
      <w:pStyle w:val="ListBullet2"/>
      <w:lvlText w:val="o"/>
      <w:lvlJc w:val="left"/>
      <w:pPr>
        <w:ind w:left="1440" w:hanging="360"/>
      </w:pPr>
      <w:rPr>
        <w:rFonts w:ascii="Courier New" w:hAnsi="Courier New" w:cs="Courier New" w:hint="default"/>
      </w:rPr>
    </w:lvl>
    <w:lvl w:ilvl="2" w:tplc="F25EB14E">
      <w:start w:val="1"/>
      <w:numFmt w:val="bullet"/>
      <w:pStyle w:val="ListBullet3"/>
      <w:lvlText w:val=""/>
      <w:lvlJc w:val="left"/>
      <w:pPr>
        <w:ind w:left="2160" w:hanging="360"/>
      </w:pPr>
      <w:rPr>
        <w:rFonts w:ascii="Wingdings" w:hAnsi="Wingdings" w:hint="default"/>
      </w:rPr>
    </w:lvl>
    <w:lvl w:ilvl="3" w:tplc="C08EB852">
      <w:start w:val="1"/>
      <w:numFmt w:val="bullet"/>
      <w:pStyle w:val="ListBullet4"/>
      <w:lvlText w:val="‒"/>
      <w:lvlJc w:val="left"/>
      <w:pPr>
        <w:ind w:left="2880" w:hanging="360"/>
      </w:pPr>
      <w:rPr>
        <w:rFonts w:ascii="Calibri" w:hAnsi="Calibri" w:hint="default"/>
      </w:rPr>
    </w:lvl>
    <w:lvl w:ilvl="4" w:tplc="79089F92">
      <w:start w:val="1"/>
      <w:numFmt w:val="bullet"/>
      <w:pStyle w:val="ListBullet5"/>
      <w:lvlText w:val="♦"/>
      <w:lvlJc w:val="left"/>
      <w:pPr>
        <w:ind w:left="3600" w:hanging="360"/>
      </w:pPr>
      <w:rPr>
        <w:rFonts w:ascii="Courier New" w:hAnsi="Courier New" w:hint="default"/>
        <w:sz w:val="18"/>
        <w:szCs w:val="18"/>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484D7B"/>
    <w:multiLevelType w:val="hybridMultilevel"/>
    <w:tmpl w:val="551E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F32B6"/>
    <w:multiLevelType w:val="hybridMultilevel"/>
    <w:tmpl w:val="6FEC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E534B6"/>
    <w:multiLevelType w:val="hybridMultilevel"/>
    <w:tmpl w:val="B998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E85B1F"/>
    <w:multiLevelType w:val="multilevel"/>
    <w:tmpl w:val="E2C06B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565494"/>
    <w:multiLevelType w:val="hybridMultilevel"/>
    <w:tmpl w:val="CD000D8A"/>
    <w:lvl w:ilvl="0" w:tplc="B5B8DEC2">
      <w:start w:val="1"/>
      <w:numFmt w:val="bullet"/>
      <w:lvlText w:val="•"/>
      <w:lvlJc w:val="left"/>
      <w:pPr>
        <w:tabs>
          <w:tab w:val="num" w:pos="720"/>
        </w:tabs>
        <w:ind w:left="720" w:hanging="360"/>
      </w:pPr>
      <w:rPr>
        <w:rFonts w:ascii="Arial" w:hAnsi="Arial" w:hint="default"/>
      </w:rPr>
    </w:lvl>
    <w:lvl w:ilvl="1" w:tplc="5CB40378">
      <w:start w:val="1"/>
      <w:numFmt w:val="bullet"/>
      <w:lvlText w:val="•"/>
      <w:lvlJc w:val="left"/>
      <w:pPr>
        <w:tabs>
          <w:tab w:val="num" w:pos="1440"/>
        </w:tabs>
        <w:ind w:left="1440" w:hanging="360"/>
      </w:pPr>
      <w:rPr>
        <w:rFonts w:ascii="Arial" w:hAnsi="Arial" w:hint="default"/>
      </w:rPr>
    </w:lvl>
    <w:lvl w:ilvl="2" w:tplc="66EE3474" w:tentative="1">
      <w:start w:val="1"/>
      <w:numFmt w:val="bullet"/>
      <w:lvlText w:val="•"/>
      <w:lvlJc w:val="left"/>
      <w:pPr>
        <w:tabs>
          <w:tab w:val="num" w:pos="2160"/>
        </w:tabs>
        <w:ind w:left="2160" w:hanging="360"/>
      </w:pPr>
      <w:rPr>
        <w:rFonts w:ascii="Arial" w:hAnsi="Arial" w:hint="default"/>
      </w:rPr>
    </w:lvl>
    <w:lvl w:ilvl="3" w:tplc="944E1666" w:tentative="1">
      <w:start w:val="1"/>
      <w:numFmt w:val="bullet"/>
      <w:lvlText w:val="•"/>
      <w:lvlJc w:val="left"/>
      <w:pPr>
        <w:tabs>
          <w:tab w:val="num" w:pos="2880"/>
        </w:tabs>
        <w:ind w:left="2880" w:hanging="360"/>
      </w:pPr>
      <w:rPr>
        <w:rFonts w:ascii="Arial" w:hAnsi="Arial" w:hint="default"/>
      </w:rPr>
    </w:lvl>
    <w:lvl w:ilvl="4" w:tplc="996EAC84" w:tentative="1">
      <w:start w:val="1"/>
      <w:numFmt w:val="bullet"/>
      <w:lvlText w:val="•"/>
      <w:lvlJc w:val="left"/>
      <w:pPr>
        <w:tabs>
          <w:tab w:val="num" w:pos="3600"/>
        </w:tabs>
        <w:ind w:left="3600" w:hanging="360"/>
      </w:pPr>
      <w:rPr>
        <w:rFonts w:ascii="Arial" w:hAnsi="Arial" w:hint="default"/>
      </w:rPr>
    </w:lvl>
    <w:lvl w:ilvl="5" w:tplc="C33416AE" w:tentative="1">
      <w:start w:val="1"/>
      <w:numFmt w:val="bullet"/>
      <w:lvlText w:val="•"/>
      <w:lvlJc w:val="left"/>
      <w:pPr>
        <w:tabs>
          <w:tab w:val="num" w:pos="4320"/>
        </w:tabs>
        <w:ind w:left="4320" w:hanging="360"/>
      </w:pPr>
      <w:rPr>
        <w:rFonts w:ascii="Arial" w:hAnsi="Arial" w:hint="default"/>
      </w:rPr>
    </w:lvl>
    <w:lvl w:ilvl="6" w:tplc="6A7C8B4C" w:tentative="1">
      <w:start w:val="1"/>
      <w:numFmt w:val="bullet"/>
      <w:lvlText w:val="•"/>
      <w:lvlJc w:val="left"/>
      <w:pPr>
        <w:tabs>
          <w:tab w:val="num" w:pos="5040"/>
        </w:tabs>
        <w:ind w:left="5040" w:hanging="360"/>
      </w:pPr>
      <w:rPr>
        <w:rFonts w:ascii="Arial" w:hAnsi="Arial" w:hint="default"/>
      </w:rPr>
    </w:lvl>
    <w:lvl w:ilvl="7" w:tplc="7B32C198" w:tentative="1">
      <w:start w:val="1"/>
      <w:numFmt w:val="bullet"/>
      <w:lvlText w:val="•"/>
      <w:lvlJc w:val="left"/>
      <w:pPr>
        <w:tabs>
          <w:tab w:val="num" w:pos="5760"/>
        </w:tabs>
        <w:ind w:left="5760" w:hanging="360"/>
      </w:pPr>
      <w:rPr>
        <w:rFonts w:ascii="Arial" w:hAnsi="Arial" w:hint="default"/>
      </w:rPr>
    </w:lvl>
    <w:lvl w:ilvl="8" w:tplc="5B10C6D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0450F2C"/>
    <w:multiLevelType w:val="hybridMultilevel"/>
    <w:tmpl w:val="987E80DE"/>
    <w:lvl w:ilvl="0" w:tplc="605C17F2">
      <w:start w:val="1"/>
      <w:numFmt w:val="bullet"/>
      <w:lvlText w:val="•"/>
      <w:lvlJc w:val="left"/>
      <w:pPr>
        <w:tabs>
          <w:tab w:val="num" w:pos="720"/>
        </w:tabs>
        <w:ind w:left="720" w:hanging="360"/>
      </w:pPr>
      <w:rPr>
        <w:rFonts w:ascii="Arial" w:hAnsi="Arial" w:hint="default"/>
      </w:rPr>
    </w:lvl>
    <w:lvl w:ilvl="1" w:tplc="EBE8E620" w:tentative="1">
      <w:start w:val="1"/>
      <w:numFmt w:val="bullet"/>
      <w:lvlText w:val="•"/>
      <w:lvlJc w:val="left"/>
      <w:pPr>
        <w:tabs>
          <w:tab w:val="num" w:pos="1440"/>
        </w:tabs>
        <w:ind w:left="1440" w:hanging="360"/>
      </w:pPr>
      <w:rPr>
        <w:rFonts w:ascii="Arial" w:hAnsi="Arial" w:hint="default"/>
      </w:rPr>
    </w:lvl>
    <w:lvl w:ilvl="2" w:tplc="F1F4B192" w:tentative="1">
      <w:start w:val="1"/>
      <w:numFmt w:val="bullet"/>
      <w:lvlText w:val="•"/>
      <w:lvlJc w:val="left"/>
      <w:pPr>
        <w:tabs>
          <w:tab w:val="num" w:pos="2160"/>
        </w:tabs>
        <w:ind w:left="2160" w:hanging="360"/>
      </w:pPr>
      <w:rPr>
        <w:rFonts w:ascii="Arial" w:hAnsi="Arial" w:hint="default"/>
      </w:rPr>
    </w:lvl>
    <w:lvl w:ilvl="3" w:tplc="B5B46948" w:tentative="1">
      <w:start w:val="1"/>
      <w:numFmt w:val="bullet"/>
      <w:lvlText w:val="•"/>
      <w:lvlJc w:val="left"/>
      <w:pPr>
        <w:tabs>
          <w:tab w:val="num" w:pos="2880"/>
        </w:tabs>
        <w:ind w:left="2880" w:hanging="360"/>
      </w:pPr>
      <w:rPr>
        <w:rFonts w:ascii="Arial" w:hAnsi="Arial" w:hint="default"/>
      </w:rPr>
    </w:lvl>
    <w:lvl w:ilvl="4" w:tplc="725007DC" w:tentative="1">
      <w:start w:val="1"/>
      <w:numFmt w:val="bullet"/>
      <w:lvlText w:val="•"/>
      <w:lvlJc w:val="left"/>
      <w:pPr>
        <w:tabs>
          <w:tab w:val="num" w:pos="3600"/>
        </w:tabs>
        <w:ind w:left="3600" w:hanging="360"/>
      </w:pPr>
      <w:rPr>
        <w:rFonts w:ascii="Arial" w:hAnsi="Arial" w:hint="default"/>
      </w:rPr>
    </w:lvl>
    <w:lvl w:ilvl="5" w:tplc="0380C036" w:tentative="1">
      <w:start w:val="1"/>
      <w:numFmt w:val="bullet"/>
      <w:lvlText w:val="•"/>
      <w:lvlJc w:val="left"/>
      <w:pPr>
        <w:tabs>
          <w:tab w:val="num" w:pos="4320"/>
        </w:tabs>
        <w:ind w:left="4320" w:hanging="360"/>
      </w:pPr>
      <w:rPr>
        <w:rFonts w:ascii="Arial" w:hAnsi="Arial" w:hint="default"/>
      </w:rPr>
    </w:lvl>
    <w:lvl w:ilvl="6" w:tplc="66680438" w:tentative="1">
      <w:start w:val="1"/>
      <w:numFmt w:val="bullet"/>
      <w:lvlText w:val="•"/>
      <w:lvlJc w:val="left"/>
      <w:pPr>
        <w:tabs>
          <w:tab w:val="num" w:pos="5040"/>
        </w:tabs>
        <w:ind w:left="5040" w:hanging="360"/>
      </w:pPr>
      <w:rPr>
        <w:rFonts w:ascii="Arial" w:hAnsi="Arial" w:hint="default"/>
      </w:rPr>
    </w:lvl>
    <w:lvl w:ilvl="7" w:tplc="5B46F972" w:tentative="1">
      <w:start w:val="1"/>
      <w:numFmt w:val="bullet"/>
      <w:lvlText w:val="•"/>
      <w:lvlJc w:val="left"/>
      <w:pPr>
        <w:tabs>
          <w:tab w:val="num" w:pos="5760"/>
        </w:tabs>
        <w:ind w:left="5760" w:hanging="360"/>
      </w:pPr>
      <w:rPr>
        <w:rFonts w:ascii="Arial" w:hAnsi="Arial" w:hint="default"/>
      </w:rPr>
    </w:lvl>
    <w:lvl w:ilvl="8" w:tplc="388A745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0D64F86"/>
    <w:multiLevelType w:val="hybridMultilevel"/>
    <w:tmpl w:val="3614F622"/>
    <w:lvl w:ilvl="0" w:tplc="A8DA58B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1C18A1"/>
    <w:multiLevelType w:val="hybridMultilevel"/>
    <w:tmpl w:val="97C0501A"/>
    <w:lvl w:ilvl="0" w:tplc="FFFFFFFF">
      <w:start w:val="1"/>
      <w:numFmt w:val="decimal"/>
      <w:lvlText w:val="%1)"/>
      <w:lvlJc w:val="left"/>
      <w:pPr>
        <w:ind w:left="360" w:hanging="360"/>
      </w:pPr>
      <w:rPr>
        <w:rFonts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33811E65"/>
    <w:multiLevelType w:val="hybridMultilevel"/>
    <w:tmpl w:val="8186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54099"/>
    <w:multiLevelType w:val="hybridMultilevel"/>
    <w:tmpl w:val="97C0501A"/>
    <w:lvl w:ilvl="0" w:tplc="71868EBC">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D57761D"/>
    <w:multiLevelType w:val="hybridMultilevel"/>
    <w:tmpl w:val="992A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F043D8"/>
    <w:multiLevelType w:val="hybridMultilevel"/>
    <w:tmpl w:val="D78CD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2A31E03"/>
    <w:multiLevelType w:val="hybridMultilevel"/>
    <w:tmpl w:val="19AEA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4A68E2"/>
    <w:multiLevelType w:val="hybridMultilevel"/>
    <w:tmpl w:val="F9E6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B8334C"/>
    <w:multiLevelType w:val="hybridMultilevel"/>
    <w:tmpl w:val="323C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D4389C"/>
    <w:multiLevelType w:val="hybridMultilevel"/>
    <w:tmpl w:val="C6925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C25BD8"/>
    <w:multiLevelType w:val="hybridMultilevel"/>
    <w:tmpl w:val="BBDA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533ECC"/>
    <w:multiLevelType w:val="hybridMultilevel"/>
    <w:tmpl w:val="91FE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011E33"/>
    <w:multiLevelType w:val="hybridMultilevel"/>
    <w:tmpl w:val="97C0501A"/>
    <w:lvl w:ilvl="0" w:tplc="FFFFFFFF">
      <w:start w:val="1"/>
      <w:numFmt w:val="decimal"/>
      <w:lvlText w:val="%1)"/>
      <w:lvlJc w:val="left"/>
      <w:pPr>
        <w:ind w:left="360" w:hanging="360"/>
      </w:pPr>
      <w:rPr>
        <w:rFonts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584F175F"/>
    <w:multiLevelType w:val="hybridMultilevel"/>
    <w:tmpl w:val="97C0501A"/>
    <w:lvl w:ilvl="0" w:tplc="FFFFFFFF">
      <w:start w:val="1"/>
      <w:numFmt w:val="decimal"/>
      <w:lvlText w:val="%1)"/>
      <w:lvlJc w:val="left"/>
      <w:pPr>
        <w:ind w:left="360" w:hanging="360"/>
      </w:pPr>
      <w:rPr>
        <w:rFonts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58BD1222"/>
    <w:multiLevelType w:val="multilevel"/>
    <w:tmpl w:val="0409001F"/>
    <w:styleLink w:val="111111"/>
    <w:lvl w:ilvl="0">
      <w:start w:val="1"/>
      <w:numFmt w:val="decimal"/>
      <w:lvlText w:val="%1."/>
      <w:lvlJc w:val="left"/>
      <w:pPr>
        <w:tabs>
          <w:tab w:val="num" w:pos="1440"/>
        </w:tabs>
        <w:ind w:left="1440" w:hanging="360"/>
      </w:pPr>
    </w:lvl>
    <w:lvl w:ilvl="1">
      <w:start w:val="1"/>
      <w:numFmt w:val="decimal"/>
      <w:lvlText w:val="%1.%2."/>
      <w:lvlJc w:val="left"/>
      <w:pPr>
        <w:tabs>
          <w:tab w:val="num" w:pos="1872"/>
        </w:tabs>
        <w:ind w:left="1872" w:hanging="432"/>
      </w:pPr>
    </w:lvl>
    <w:lvl w:ilvl="2">
      <w:start w:val="1"/>
      <w:numFmt w:val="decimal"/>
      <w:lvlText w:val="%1.%2.%3."/>
      <w:lvlJc w:val="left"/>
      <w:pPr>
        <w:tabs>
          <w:tab w:val="num" w:pos="2304"/>
        </w:tabs>
        <w:ind w:left="2304" w:hanging="504"/>
      </w:pPr>
    </w:lvl>
    <w:lvl w:ilvl="3">
      <w:start w:val="1"/>
      <w:numFmt w:val="decimal"/>
      <w:lvlText w:val="%1.%2.%3.%4."/>
      <w:lvlJc w:val="left"/>
      <w:pPr>
        <w:tabs>
          <w:tab w:val="num" w:pos="2880"/>
        </w:tabs>
        <w:ind w:left="2808" w:hanging="648"/>
      </w:pPr>
    </w:lvl>
    <w:lvl w:ilvl="4">
      <w:start w:val="1"/>
      <w:numFmt w:val="decimal"/>
      <w:lvlText w:val="%1.%2.%3.%4.%5."/>
      <w:lvlJc w:val="left"/>
      <w:pPr>
        <w:tabs>
          <w:tab w:val="num" w:pos="3600"/>
        </w:tabs>
        <w:ind w:left="3312" w:hanging="792"/>
      </w:pPr>
    </w:lvl>
    <w:lvl w:ilvl="5">
      <w:start w:val="1"/>
      <w:numFmt w:val="decimal"/>
      <w:lvlText w:val="%1.%2.%3.%4.%5.%6."/>
      <w:lvlJc w:val="left"/>
      <w:pPr>
        <w:tabs>
          <w:tab w:val="num" w:pos="3960"/>
        </w:tabs>
        <w:ind w:left="3816" w:hanging="936"/>
      </w:pPr>
    </w:lvl>
    <w:lvl w:ilvl="6">
      <w:start w:val="1"/>
      <w:numFmt w:val="decimal"/>
      <w:lvlText w:val="%1.%2.%3.%4.%5.%6.%7."/>
      <w:lvlJc w:val="left"/>
      <w:pPr>
        <w:tabs>
          <w:tab w:val="num" w:pos="4680"/>
        </w:tabs>
        <w:ind w:left="4320" w:hanging="1080"/>
      </w:pPr>
    </w:lvl>
    <w:lvl w:ilvl="7">
      <w:start w:val="1"/>
      <w:numFmt w:val="decimal"/>
      <w:lvlText w:val="%1.%2.%3.%4.%5.%6.%7.%8."/>
      <w:lvlJc w:val="left"/>
      <w:pPr>
        <w:tabs>
          <w:tab w:val="num" w:pos="5040"/>
        </w:tabs>
        <w:ind w:left="4824" w:hanging="1224"/>
      </w:pPr>
    </w:lvl>
    <w:lvl w:ilvl="8">
      <w:start w:val="1"/>
      <w:numFmt w:val="decimal"/>
      <w:lvlText w:val="%1.%2.%3.%4.%5.%6.%7.%8.%9."/>
      <w:lvlJc w:val="left"/>
      <w:pPr>
        <w:tabs>
          <w:tab w:val="num" w:pos="5760"/>
        </w:tabs>
        <w:ind w:left="5400" w:hanging="1440"/>
      </w:pPr>
    </w:lvl>
  </w:abstractNum>
  <w:abstractNum w:abstractNumId="42" w15:restartNumberingAfterBreak="0">
    <w:nsid w:val="607D536C"/>
    <w:multiLevelType w:val="hybridMultilevel"/>
    <w:tmpl w:val="437C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B16531"/>
    <w:multiLevelType w:val="hybridMultilevel"/>
    <w:tmpl w:val="8E80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366712"/>
    <w:multiLevelType w:val="hybridMultilevel"/>
    <w:tmpl w:val="E0A0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440609"/>
    <w:multiLevelType w:val="hybridMultilevel"/>
    <w:tmpl w:val="5496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1C292B"/>
    <w:multiLevelType w:val="hybridMultilevel"/>
    <w:tmpl w:val="006E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F109B"/>
    <w:multiLevelType w:val="hybridMultilevel"/>
    <w:tmpl w:val="84B0EAA8"/>
    <w:lvl w:ilvl="0" w:tplc="89E834D0">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460796"/>
    <w:multiLevelType w:val="hybridMultilevel"/>
    <w:tmpl w:val="5068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D70EF7"/>
    <w:multiLevelType w:val="hybridMultilevel"/>
    <w:tmpl w:val="8528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323424">
    <w:abstractNumId w:val="4"/>
  </w:num>
  <w:num w:numId="2" w16cid:durableId="551581102">
    <w:abstractNumId w:val="14"/>
  </w:num>
  <w:num w:numId="3" w16cid:durableId="265505777">
    <w:abstractNumId w:val="26"/>
  </w:num>
  <w:num w:numId="4" w16cid:durableId="1106576472">
    <w:abstractNumId w:val="27"/>
  </w:num>
  <w:num w:numId="5" w16cid:durableId="839196495">
    <w:abstractNumId w:val="43"/>
  </w:num>
  <w:num w:numId="6" w16cid:durableId="1267350549">
    <w:abstractNumId w:val="25"/>
  </w:num>
  <w:num w:numId="7" w16cid:durableId="621114338">
    <w:abstractNumId w:val="48"/>
  </w:num>
  <w:num w:numId="8" w16cid:durableId="380206261">
    <w:abstractNumId w:val="29"/>
  </w:num>
  <w:num w:numId="9" w16cid:durableId="659892162">
    <w:abstractNumId w:val="18"/>
  </w:num>
  <w:num w:numId="10" w16cid:durableId="2077701219">
    <w:abstractNumId w:val="49"/>
  </w:num>
  <w:num w:numId="11" w16cid:durableId="913055150">
    <w:abstractNumId w:val="42"/>
  </w:num>
  <w:num w:numId="12" w16cid:durableId="1840848211">
    <w:abstractNumId w:val="45"/>
  </w:num>
  <w:num w:numId="13" w16cid:durableId="858277703">
    <w:abstractNumId w:val="17"/>
  </w:num>
  <w:num w:numId="14" w16cid:durableId="311183161">
    <w:abstractNumId w:val="46"/>
  </w:num>
  <w:num w:numId="15" w16cid:durableId="1267617983">
    <w:abstractNumId w:val="22"/>
  </w:num>
  <w:num w:numId="16" w16cid:durableId="610287013">
    <w:abstractNumId w:val="31"/>
  </w:num>
  <w:num w:numId="17" w16cid:durableId="1866940756">
    <w:abstractNumId w:val="44"/>
  </w:num>
  <w:num w:numId="18" w16cid:durableId="183595608">
    <w:abstractNumId w:val="6"/>
  </w:num>
  <w:num w:numId="19" w16cid:durableId="928539024">
    <w:abstractNumId w:val="35"/>
  </w:num>
  <w:num w:numId="20" w16cid:durableId="2139716932">
    <w:abstractNumId w:val="37"/>
  </w:num>
  <w:num w:numId="21" w16cid:durableId="1975408320">
    <w:abstractNumId w:val="12"/>
  </w:num>
  <w:num w:numId="22" w16cid:durableId="1642269039">
    <w:abstractNumId w:val="20"/>
  </w:num>
  <w:num w:numId="23" w16cid:durableId="2120753690">
    <w:abstractNumId w:val="9"/>
  </w:num>
  <w:num w:numId="24" w16cid:durableId="533081660">
    <w:abstractNumId w:val="3"/>
  </w:num>
  <w:num w:numId="25" w16cid:durableId="628702931">
    <w:abstractNumId w:val="2"/>
  </w:num>
  <w:num w:numId="26" w16cid:durableId="926888139">
    <w:abstractNumId w:val="1"/>
  </w:num>
  <w:num w:numId="27" w16cid:durableId="649867055">
    <w:abstractNumId w:val="0"/>
  </w:num>
  <w:num w:numId="28" w16cid:durableId="1687976766">
    <w:abstractNumId w:val="34"/>
  </w:num>
  <w:num w:numId="29" w16cid:durableId="606159099">
    <w:abstractNumId w:val="13"/>
  </w:num>
  <w:num w:numId="30" w16cid:durableId="1788085302">
    <w:abstractNumId w:val="23"/>
  </w:num>
  <w:num w:numId="31" w16cid:durableId="645473881">
    <w:abstractNumId w:val="32"/>
  </w:num>
  <w:num w:numId="32" w16cid:durableId="1801192055">
    <w:abstractNumId w:val="8"/>
  </w:num>
  <w:num w:numId="33" w16cid:durableId="82577126">
    <w:abstractNumId w:val="33"/>
  </w:num>
  <w:num w:numId="34" w16cid:durableId="1168136272">
    <w:abstractNumId w:val="30"/>
  </w:num>
  <w:num w:numId="35" w16cid:durableId="756096206">
    <w:abstractNumId w:val="41"/>
  </w:num>
  <w:num w:numId="36" w16cid:durableId="1651908347">
    <w:abstractNumId w:val="7"/>
  </w:num>
  <w:num w:numId="37" w16cid:durableId="1808618980">
    <w:abstractNumId w:val="36"/>
  </w:num>
  <w:num w:numId="38" w16cid:durableId="2097743260">
    <w:abstractNumId w:val="5"/>
  </w:num>
  <w:num w:numId="39" w16cid:durableId="87163350">
    <w:abstractNumId w:val="16"/>
  </w:num>
  <w:num w:numId="40" w16cid:durableId="1496142808">
    <w:abstractNumId w:val="40"/>
  </w:num>
  <w:num w:numId="41" w16cid:durableId="386338035">
    <w:abstractNumId w:val="24"/>
  </w:num>
  <w:num w:numId="42" w16cid:durableId="882404967">
    <w:abstractNumId w:val="47"/>
  </w:num>
  <w:num w:numId="43" w16cid:durableId="266156258">
    <w:abstractNumId w:val="19"/>
  </w:num>
  <w:num w:numId="44" w16cid:durableId="53087565">
    <w:abstractNumId w:val="10"/>
  </w:num>
  <w:num w:numId="45" w16cid:durableId="274022183">
    <w:abstractNumId w:val="28"/>
  </w:num>
  <w:num w:numId="46" w16cid:durableId="1010447830">
    <w:abstractNumId w:val="39"/>
  </w:num>
  <w:num w:numId="47" w16cid:durableId="657810924">
    <w:abstractNumId w:val="11"/>
  </w:num>
  <w:num w:numId="48" w16cid:durableId="561255205">
    <w:abstractNumId w:val="15"/>
  </w:num>
  <w:num w:numId="49" w16cid:durableId="613825161">
    <w:abstractNumId w:val="38"/>
  </w:num>
  <w:num w:numId="50" w16cid:durableId="17296469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727"/>
    <w:rsid w:val="0000087F"/>
    <w:rsid w:val="0000097B"/>
    <w:rsid w:val="00000C73"/>
    <w:rsid w:val="00001098"/>
    <w:rsid w:val="00001DA6"/>
    <w:rsid w:val="00001EAB"/>
    <w:rsid w:val="0000209B"/>
    <w:rsid w:val="000021E6"/>
    <w:rsid w:val="00002B54"/>
    <w:rsid w:val="000042F2"/>
    <w:rsid w:val="0000452B"/>
    <w:rsid w:val="00004AD9"/>
    <w:rsid w:val="0000553C"/>
    <w:rsid w:val="00005660"/>
    <w:rsid w:val="00005B8F"/>
    <w:rsid w:val="00005CB2"/>
    <w:rsid w:val="00006161"/>
    <w:rsid w:val="00006351"/>
    <w:rsid w:val="000069B5"/>
    <w:rsid w:val="00006DCD"/>
    <w:rsid w:val="00007131"/>
    <w:rsid w:val="000073EA"/>
    <w:rsid w:val="00007B1F"/>
    <w:rsid w:val="000106E0"/>
    <w:rsid w:val="00010747"/>
    <w:rsid w:val="0001085F"/>
    <w:rsid w:val="00011127"/>
    <w:rsid w:val="000117F3"/>
    <w:rsid w:val="0001187F"/>
    <w:rsid w:val="00011D14"/>
    <w:rsid w:val="00011D7F"/>
    <w:rsid w:val="00011FC2"/>
    <w:rsid w:val="00012335"/>
    <w:rsid w:val="00012FBF"/>
    <w:rsid w:val="0001315C"/>
    <w:rsid w:val="0001342A"/>
    <w:rsid w:val="0001345C"/>
    <w:rsid w:val="0001366F"/>
    <w:rsid w:val="00014330"/>
    <w:rsid w:val="000144F2"/>
    <w:rsid w:val="000150DB"/>
    <w:rsid w:val="00015A5F"/>
    <w:rsid w:val="00015D10"/>
    <w:rsid w:val="00015EC3"/>
    <w:rsid w:val="00015F05"/>
    <w:rsid w:val="000167B1"/>
    <w:rsid w:val="00016BA5"/>
    <w:rsid w:val="00017343"/>
    <w:rsid w:val="00020477"/>
    <w:rsid w:val="0002086E"/>
    <w:rsid w:val="00020CBC"/>
    <w:rsid w:val="0002144B"/>
    <w:rsid w:val="0002207C"/>
    <w:rsid w:val="000230CC"/>
    <w:rsid w:val="00023359"/>
    <w:rsid w:val="00023C51"/>
    <w:rsid w:val="000244CF"/>
    <w:rsid w:val="000246F0"/>
    <w:rsid w:val="00025C8A"/>
    <w:rsid w:val="000277A1"/>
    <w:rsid w:val="00027873"/>
    <w:rsid w:val="000278B4"/>
    <w:rsid w:val="00027D53"/>
    <w:rsid w:val="00030003"/>
    <w:rsid w:val="00030E9D"/>
    <w:rsid w:val="00030F79"/>
    <w:rsid w:val="000321F6"/>
    <w:rsid w:val="00032950"/>
    <w:rsid w:val="000330CF"/>
    <w:rsid w:val="00033902"/>
    <w:rsid w:val="00033E73"/>
    <w:rsid w:val="0003415B"/>
    <w:rsid w:val="00034585"/>
    <w:rsid w:val="0003463D"/>
    <w:rsid w:val="0003467D"/>
    <w:rsid w:val="00034CD7"/>
    <w:rsid w:val="00035E9E"/>
    <w:rsid w:val="00035FF2"/>
    <w:rsid w:val="0003631F"/>
    <w:rsid w:val="00036FE0"/>
    <w:rsid w:val="0003750E"/>
    <w:rsid w:val="00037A41"/>
    <w:rsid w:val="00037BA7"/>
    <w:rsid w:val="000402A9"/>
    <w:rsid w:val="000402B1"/>
    <w:rsid w:val="00040829"/>
    <w:rsid w:val="00040CC4"/>
    <w:rsid w:val="00041171"/>
    <w:rsid w:val="00041589"/>
    <w:rsid w:val="000415E6"/>
    <w:rsid w:val="000417B7"/>
    <w:rsid w:val="00042107"/>
    <w:rsid w:val="00042EE1"/>
    <w:rsid w:val="00043590"/>
    <w:rsid w:val="0004376E"/>
    <w:rsid w:val="00043EA1"/>
    <w:rsid w:val="00044A25"/>
    <w:rsid w:val="0004527A"/>
    <w:rsid w:val="000455C7"/>
    <w:rsid w:val="000467AF"/>
    <w:rsid w:val="00046FC3"/>
    <w:rsid w:val="000470EC"/>
    <w:rsid w:val="0004721C"/>
    <w:rsid w:val="000521ED"/>
    <w:rsid w:val="00052765"/>
    <w:rsid w:val="000528E6"/>
    <w:rsid w:val="00052B5D"/>
    <w:rsid w:val="00052BA2"/>
    <w:rsid w:val="00053389"/>
    <w:rsid w:val="00054BAF"/>
    <w:rsid w:val="0005601E"/>
    <w:rsid w:val="00056746"/>
    <w:rsid w:val="000568EB"/>
    <w:rsid w:val="0005710D"/>
    <w:rsid w:val="00057369"/>
    <w:rsid w:val="000576B5"/>
    <w:rsid w:val="00057716"/>
    <w:rsid w:val="00057772"/>
    <w:rsid w:val="00057F41"/>
    <w:rsid w:val="0006001C"/>
    <w:rsid w:val="000601F7"/>
    <w:rsid w:val="0006035E"/>
    <w:rsid w:val="00060387"/>
    <w:rsid w:val="000606A1"/>
    <w:rsid w:val="000621B6"/>
    <w:rsid w:val="00062276"/>
    <w:rsid w:val="0006236B"/>
    <w:rsid w:val="000623CF"/>
    <w:rsid w:val="00062BBD"/>
    <w:rsid w:val="00063507"/>
    <w:rsid w:val="000635E2"/>
    <w:rsid w:val="00063CF1"/>
    <w:rsid w:val="0006568F"/>
    <w:rsid w:val="00065845"/>
    <w:rsid w:val="00066437"/>
    <w:rsid w:val="00067078"/>
    <w:rsid w:val="0006734B"/>
    <w:rsid w:val="0006735C"/>
    <w:rsid w:val="00067F75"/>
    <w:rsid w:val="0007006A"/>
    <w:rsid w:val="000703B9"/>
    <w:rsid w:val="000703F3"/>
    <w:rsid w:val="00071D7A"/>
    <w:rsid w:val="00071E5B"/>
    <w:rsid w:val="00071F61"/>
    <w:rsid w:val="00072A8F"/>
    <w:rsid w:val="00072D1F"/>
    <w:rsid w:val="00072EA4"/>
    <w:rsid w:val="00073499"/>
    <w:rsid w:val="000734B9"/>
    <w:rsid w:val="00073E4D"/>
    <w:rsid w:val="000751B1"/>
    <w:rsid w:val="00075F07"/>
    <w:rsid w:val="00075F62"/>
    <w:rsid w:val="00076B17"/>
    <w:rsid w:val="00077054"/>
    <w:rsid w:val="00077380"/>
    <w:rsid w:val="0007740F"/>
    <w:rsid w:val="00077951"/>
    <w:rsid w:val="00077DB3"/>
    <w:rsid w:val="00077E51"/>
    <w:rsid w:val="000807D5"/>
    <w:rsid w:val="00080853"/>
    <w:rsid w:val="00081229"/>
    <w:rsid w:val="000812E9"/>
    <w:rsid w:val="00081400"/>
    <w:rsid w:val="00082A5F"/>
    <w:rsid w:val="00082A8E"/>
    <w:rsid w:val="00083560"/>
    <w:rsid w:val="000837BC"/>
    <w:rsid w:val="00083E20"/>
    <w:rsid w:val="00084046"/>
    <w:rsid w:val="0008443B"/>
    <w:rsid w:val="00084551"/>
    <w:rsid w:val="000849E1"/>
    <w:rsid w:val="00084C28"/>
    <w:rsid w:val="00086012"/>
    <w:rsid w:val="00086707"/>
    <w:rsid w:val="00086808"/>
    <w:rsid w:val="0008722A"/>
    <w:rsid w:val="000874EE"/>
    <w:rsid w:val="0009028F"/>
    <w:rsid w:val="0009059A"/>
    <w:rsid w:val="00090BF6"/>
    <w:rsid w:val="00090D6B"/>
    <w:rsid w:val="00091048"/>
    <w:rsid w:val="0009136E"/>
    <w:rsid w:val="00091982"/>
    <w:rsid w:val="0009198A"/>
    <w:rsid w:val="00091AB5"/>
    <w:rsid w:val="00092359"/>
    <w:rsid w:val="00092A46"/>
    <w:rsid w:val="00093D9C"/>
    <w:rsid w:val="00093E5F"/>
    <w:rsid w:val="00093ED8"/>
    <w:rsid w:val="00093FDD"/>
    <w:rsid w:val="00094123"/>
    <w:rsid w:val="0009424C"/>
    <w:rsid w:val="00094321"/>
    <w:rsid w:val="00095A81"/>
    <w:rsid w:val="00095FC3"/>
    <w:rsid w:val="0009663B"/>
    <w:rsid w:val="00096CC1"/>
    <w:rsid w:val="00096FDE"/>
    <w:rsid w:val="0009772C"/>
    <w:rsid w:val="0009785E"/>
    <w:rsid w:val="00097D4A"/>
    <w:rsid w:val="00097F81"/>
    <w:rsid w:val="000A0EE3"/>
    <w:rsid w:val="000A0FD7"/>
    <w:rsid w:val="000A167D"/>
    <w:rsid w:val="000A1861"/>
    <w:rsid w:val="000A1D89"/>
    <w:rsid w:val="000A2501"/>
    <w:rsid w:val="000A27EC"/>
    <w:rsid w:val="000A2AEA"/>
    <w:rsid w:val="000A4420"/>
    <w:rsid w:val="000A5915"/>
    <w:rsid w:val="000A67FD"/>
    <w:rsid w:val="000A68AA"/>
    <w:rsid w:val="000A69DC"/>
    <w:rsid w:val="000A7048"/>
    <w:rsid w:val="000A7080"/>
    <w:rsid w:val="000A742A"/>
    <w:rsid w:val="000A797F"/>
    <w:rsid w:val="000A7DAA"/>
    <w:rsid w:val="000B055C"/>
    <w:rsid w:val="000B1226"/>
    <w:rsid w:val="000B12A7"/>
    <w:rsid w:val="000B1A1F"/>
    <w:rsid w:val="000B1EEC"/>
    <w:rsid w:val="000B27A4"/>
    <w:rsid w:val="000B29C8"/>
    <w:rsid w:val="000B2D2D"/>
    <w:rsid w:val="000B2DA6"/>
    <w:rsid w:val="000B37F0"/>
    <w:rsid w:val="000B3D3B"/>
    <w:rsid w:val="000B40EA"/>
    <w:rsid w:val="000B5AB5"/>
    <w:rsid w:val="000B5F33"/>
    <w:rsid w:val="000B640C"/>
    <w:rsid w:val="000B685E"/>
    <w:rsid w:val="000B6B44"/>
    <w:rsid w:val="000B760C"/>
    <w:rsid w:val="000B763B"/>
    <w:rsid w:val="000B7BD2"/>
    <w:rsid w:val="000C03CD"/>
    <w:rsid w:val="000C223C"/>
    <w:rsid w:val="000C22A5"/>
    <w:rsid w:val="000C24AD"/>
    <w:rsid w:val="000C306F"/>
    <w:rsid w:val="000C311D"/>
    <w:rsid w:val="000C3E94"/>
    <w:rsid w:val="000C3FF2"/>
    <w:rsid w:val="000C4E58"/>
    <w:rsid w:val="000C4E5D"/>
    <w:rsid w:val="000C5BB2"/>
    <w:rsid w:val="000C5E6B"/>
    <w:rsid w:val="000C63E9"/>
    <w:rsid w:val="000C6D8B"/>
    <w:rsid w:val="000C75D1"/>
    <w:rsid w:val="000C776C"/>
    <w:rsid w:val="000C7826"/>
    <w:rsid w:val="000C7BA9"/>
    <w:rsid w:val="000C7FD6"/>
    <w:rsid w:val="000D0DF7"/>
    <w:rsid w:val="000D1336"/>
    <w:rsid w:val="000D1537"/>
    <w:rsid w:val="000D1F9E"/>
    <w:rsid w:val="000D20A6"/>
    <w:rsid w:val="000D20D2"/>
    <w:rsid w:val="000D2866"/>
    <w:rsid w:val="000D304C"/>
    <w:rsid w:val="000D33E9"/>
    <w:rsid w:val="000D41FD"/>
    <w:rsid w:val="000D45E0"/>
    <w:rsid w:val="000D45E8"/>
    <w:rsid w:val="000D4811"/>
    <w:rsid w:val="000D4F40"/>
    <w:rsid w:val="000D54BB"/>
    <w:rsid w:val="000D57AC"/>
    <w:rsid w:val="000D5809"/>
    <w:rsid w:val="000D5A6B"/>
    <w:rsid w:val="000D5B27"/>
    <w:rsid w:val="000D5CC2"/>
    <w:rsid w:val="000D5D37"/>
    <w:rsid w:val="000D6153"/>
    <w:rsid w:val="000D67B3"/>
    <w:rsid w:val="000D719C"/>
    <w:rsid w:val="000D7723"/>
    <w:rsid w:val="000D7FEA"/>
    <w:rsid w:val="000E00C1"/>
    <w:rsid w:val="000E0A5F"/>
    <w:rsid w:val="000E0B46"/>
    <w:rsid w:val="000E0CDB"/>
    <w:rsid w:val="000E0D43"/>
    <w:rsid w:val="000E15F5"/>
    <w:rsid w:val="000E1805"/>
    <w:rsid w:val="000E20E6"/>
    <w:rsid w:val="000E2620"/>
    <w:rsid w:val="000E2FBE"/>
    <w:rsid w:val="000E33AC"/>
    <w:rsid w:val="000E3AB6"/>
    <w:rsid w:val="000E432A"/>
    <w:rsid w:val="000E46BD"/>
    <w:rsid w:val="000E49F8"/>
    <w:rsid w:val="000E4CBF"/>
    <w:rsid w:val="000E4E5B"/>
    <w:rsid w:val="000E4FAB"/>
    <w:rsid w:val="000E5078"/>
    <w:rsid w:val="000E55E8"/>
    <w:rsid w:val="000E586A"/>
    <w:rsid w:val="000E6084"/>
    <w:rsid w:val="000E62DF"/>
    <w:rsid w:val="000E64DE"/>
    <w:rsid w:val="000E69D6"/>
    <w:rsid w:val="000E6B6D"/>
    <w:rsid w:val="000E70EF"/>
    <w:rsid w:val="000E7D44"/>
    <w:rsid w:val="000F0612"/>
    <w:rsid w:val="000F0C3F"/>
    <w:rsid w:val="000F1B88"/>
    <w:rsid w:val="000F1EAA"/>
    <w:rsid w:val="000F2842"/>
    <w:rsid w:val="000F2B0E"/>
    <w:rsid w:val="000F2D21"/>
    <w:rsid w:val="000F2D38"/>
    <w:rsid w:val="000F356D"/>
    <w:rsid w:val="000F3628"/>
    <w:rsid w:val="000F37E5"/>
    <w:rsid w:val="000F3AF8"/>
    <w:rsid w:val="000F3B4C"/>
    <w:rsid w:val="000F3D28"/>
    <w:rsid w:val="000F40DC"/>
    <w:rsid w:val="000F4478"/>
    <w:rsid w:val="000F4839"/>
    <w:rsid w:val="000F49EB"/>
    <w:rsid w:val="000F4BA4"/>
    <w:rsid w:val="000F4E07"/>
    <w:rsid w:val="000F5302"/>
    <w:rsid w:val="000F5482"/>
    <w:rsid w:val="000F5B70"/>
    <w:rsid w:val="000F654C"/>
    <w:rsid w:val="000F69FF"/>
    <w:rsid w:val="000F7348"/>
    <w:rsid w:val="000F7A21"/>
    <w:rsid w:val="000F7A7F"/>
    <w:rsid w:val="001001FA"/>
    <w:rsid w:val="0010078E"/>
    <w:rsid w:val="001007CF"/>
    <w:rsid w:val="00100A44"/>
    <w:rsid w:val="00100A77"/>
    <w:rsid w:val="00100A7F"/>
    <w:rsid w:val="00100B1B"/>
    <w:rsid w:val="0010132A"/>
    <w:rsid w:val="0010151F"/>
    <w:rsid w:val="0010176E"/>
    <w:rsid w:val="00101C35"/>
    <w:rsid w:val="00101D45"/>
    <w:rsid w:val="00101E6F"/>
    <w:rsid w:val="0010237E"/>
    <w:rsid w:val="00102C71"/>
    <w:rsid w:val="00103043"/>
    <w:rsid w:val="00103077"/>
    <w:rsid w:val="001033A2"/>
    <w:rsid w:val="001034AD"/>
    <w:rsid w:val="001036D0"/>
    <w:rsid w:val="00103735"/>
    <w:rsid w:val="00103751"/>
    <w:rsid w:val="00103FFC"/>
    <w:rsid w:val="001049C4"/>
    <w:rsid w:val="00105264"/>
    <w:rsid w:val="0010563B"/>
    <w:rsid w:val="00105649"/>
    <w:rsid w:val="00105A67"/>
    <w:rsid w:val="00105D55"/>
    <w:rsid w:val="0010607F"/>
    <w:rsid w:val="00106FD9"/>
    <w:rsid w:val="00107202"/>
    <w:rsid w:val="00107719"/>
    <w:rsid w:val="0011038B"/>
    <w:rsid w:val="0011062C"/>
    <w:rsid w:val="00110C92"/>
    <w:rsid w:val="0011188C"/>
    <w:rsid w:val="00111CF2"/>
    <w:rsid w:val="00111EE0"/>
    <w:rsid w:val="00112168"/>
    <w:rsid w:val="00112559"/>
    <w:rsid w:val="00112E6F"/>
    <w:rsid w:val="001136D0"/>
    <w:rsid w:val="0011435A"/>
    <w:rsid w:val="001143CF"/>
    <w:rsid w:val="00114C3A"/>
    <w:rsid w:val="00115829"/>
    <w:rsid w:val="001159D4"/>
    <w:rsid w:val="00116B64"/>
    <w:rsid w:val="00116FB8"/>
    <w:rsid w:val="00117021"/>
    <w:rsid w:val="001177F6"/>
    <w:rsid w:val="0011785F"/>
    <w:rsid w:val="0011787F"/>
    <w:rsid w:val="001203F5"/>
    <w:rsid w:val="001205F2"/>
    <w:rsid w:val="0012069E"/>
    <w:rsid w:val="001218BD"/>
    <w:rsid w:val="001220B3"/>
    <w:rsid w:val="00122982"/>
    <w:rsid w:val="00122C6F"/>
    <w:rsid w:val="00122FB2"/>
    <w:rsid w:val="00123130"/>
    <w:rsid w:val="0012336D"/>
    <w:rsid w:val="0012351F"/>
    <w:rsid w:val="001235C7"/>
    <w:rsid w:val="00123B16"/>
    <w:rsid w:val="00123D08"/>
    <w:rsid w:val="00124184"/>
    <w:rsid w:val="00124E86"/>
    <w:rsid w:val="001250F3"/>
    <w:rsid w:val="001251C9"/>
    <w:rsid w:val="00126C38"/>
    <w:rsid w:val="00126DC6"/>
    <w:rsid w:val="001276CF"/>
    <w:rsid w:val="00130842"/>
    <w:rsid w:val="001308BA"/>
    <w:rsid w:val="00130F8E"/>
    <w:rsid w:val="00131556"/>
    <w:rsid w:val="0013160B"/>
    <w:rsid w:val="001326B2"/>
    <w:rsid w:val="001326D2"/>
    <w:rsid w:val="00132758"/>
    <w:rsid w:val="0013367E"/>
    <w:rsid w:val="00133C08"/>
    <w:rsid w:val="00134164"/>
    <w:rsid w:val="001345D9"/>
    <w:rsid w:val="001346D1"/>
    <w:rsid w:val="00134CB7"/>
    <w:rsid w:val="00134F1E"/>
    <w:rsid w:val="00135206"/>
    <w:rsid w:val="00135B69"/>
    <w:rsid w:val="00135DDB"/>
    <w:rsid w:val="00135EFB"/>
    <w:rsid w:val="00136587"/>
    <w:rsid w:val="001367F2"/>
    <w:rsid w:val="00136D95"/>
    <w:rsid w:val="001374A3"/>
    <w:rsid w:val="00140020"/>
    <w:rsid w:val="0014050F"/>
    <w:rsid w:val="00140C0B"/>
    <w:rsid w:val="00140D43"/>
    <w:rsid w:val="001414EA"/>
    <w:rsid w:val="0014174D"/>
    <w:rsid w:val="00141C18"/>
    <w:rsid w:val="00141C2E"/>
    <w:rsid w:val="00142099"/>
    <w:rsid w:val="001426F0"/>
    <w:rsid w:val="00143536"/>
    <w:rsid w:val="00144985"/>
    <w:rsid w:val="00144F77"/>
    <w:rsid w:val="00145480"/>
    <w:rsid w:val="00145882"/>
    <w:rsid w:val="00146099"/>
    <w:rsid w:val="001462B4"/>
    <w:rsid w:val="00146566"/>
    <w:rsid w:val="00146F8B"/>
    <w:rsid w:val="00146FFF"/>
    <w:rsid w:val="00147428"/>
    <w:rsid w:val="00147895"/>
    <w:rsid w:val="00147E13"/>
    <w:rsid w:val="00147EE8"/>
    <w:rsid w:val="00152512"/>
    <w:rsid w:val="0015277D"/>
    <w:rsid w:val="00152C24"/>
    <w:rsid w:val="00152D76"/>
    <w:rsid w:val="00152EEF"/>
    <w:rsid w:val="001535AB"/>
    <w:rsid w:val="00153838"/>
    <w:rsid w:val="00153917"/>
    <w:rsid w:val="00153A11"/>
    <w:rsid w:val="00154506"/>
    <w:rsid w:val="00154901"/>
    <w:rsid w:val="00154DDF"/>
    <w:rsid w:val="00155301"/>
    <w:rsid w:val="0015542E"/>
    <w:rsid w:val="0015546C"/>
    <w:rsid w:val="00155568"/>
    <w:rsid w:val="00155833"/>
    <w:rsid w:val="00155B57"/>
    <w:rsid w:val="00155CAF"/>
    <w:rsid w:val="0015632F"/>
    <w:rsid w:val="001564BA"/>
    <w:rsid w:val="00156DE4"/>
    <w:rsid w:val="00156F23"/>
    <w:rsid w:val="00157437"/>
    <w:rsid w:val="00157CC4"/>
    <w:rsid w:val="00157CF7"/>
    <w:rsid w:val="00160060"/>
    <w:rsid w:val="001601D0"/>
    <w:rsid w:val="0016099A"/>
    <w:rsid w:val="00160C38"/>
    <w:rsid w:val="00160D02"/>
    <w:rsid w:val="001611A6"/>
    <w:rsid w:val="0016122E"/>
    <w:rsid w:val="00161A9E"/>
    <w:rsid w:val="00161B42"/>
    <w:rsid w:val="00162757"/>
    <w:rsid w:val="00163527"/>
    <w:rsid w:val="00163D31"/>
    <w:rsid w:val="00164136"/>
    <w:rsid w:val="00164C92"/>
    <w:rsid w:val="00165509"/>
    <w:rsid w:val="001655F2"/>
    <w:rsid w:val="00165FBB"/>
    <w:rsid w:val="001661F7"/>
    <w:rsid w:val="001668C7"/>
    <w:rsid w:val="001671B0"/>
    <w:rsid w:val="001672DA"/>
    <w:rsid w:val="001676AF"/>
    <w:rsid w:val="0016773B"/>
    <w:rsid w:val="00170BF5"/>
    <w:rsid w:val="00170E25"/>
    <w:rsid w:val="0017126D"/>
    <w:rsid w:val="001712F0"/>
    <w:rsid w:val="001713C3"/>
    <w:rsid w:val="00171A46"/>
    <w:rsid w:val="001722FA"/>
    <w:rsid w:val="001728F4"/>
    <w:rsid w:val="0017335C"/>
    <w:rsid w:val="00173502"/>
    <w:rsid w:val="001739C4"/>
    <w:rsid w:val="00173A14"/>
    <w:rsid w:val="00173D8E"/>
    <w:rsid w:val="00174253"/>
    <w:rsid w:val="0017441D"/>
    <w:rsid w:val="00174742"/>
    <w:rsid w:val="00174A8A"/>
    <w:rsid w:val="00175AC2"/>
    <w:rsid w:val="00175B5F"/>
    <w:rsid w:val="001767D0"/>
    <w:rsid w:val="0017687F"/>
    <w:rsid w:val="00176C6F"/>
    <w:rsid w:val="0017710A"/>
    <w:rsid w:val="001775FF"/>
    <w:rsid w:val="001776D2"/>
    <w:rsid w:val="00177A95"/>
    <w:rsid w:val="00177B00"/>
    <w:rsid w:val="0018032C"/>
    <w:rsid w:val="00180AC5"/>
    <w:rsid w:val="00180C61"/>
    <w:rsid w:val="00181583"/>
    <w:rsid w:val="00181A12"/>
    <w:rsid w:val="0018278C"/>
    <w:rsid w:val="001828A6"/>
    <w:rsid w:val="00182AA8"/>
    <w:rsid w:val="001836FC"/>
    <w:rsid w:val="0018425D"/>
    <w:rsid w:val="0018437D"/>
    <w:rsid w:val="00184C3E"/>
    <w:rsid w:val="001852D4"/>
    <w:rsid w:val="00186DF2"/>
    <w:rsid w:val="001877D2"/>
    <w:rsid w:val="00187A2F"/>
    <w:rsid w:val="00187C73"/>
    <w:rsid w:val="00187CCC"/>
    <w:rsid w:val="00187DBF"/>
    <w:rsid w:val="00190022"/>
    <w:rsid w:val="0019048B"/>
    <w:rsid w:val="00190523"/>
    <w:rsid w:val="0019155E"/>
    <w:rsid w:val="00191C6C"/>
    <w:rsid w:val="00191E95"/>
    <w:rsid w:val="00192842"/>
    <w:rsid w:val="001928B6"/>
    <w:rsid w:val="00192EE8"/>
    <w:rsid w:val="00193113"/>
    <w:rsid w:val="001933EA"/>
    <w:rsid w:val="0019359B"/>
    <w:rsid w:val="00193801"/>
    <w:rsid w:val="001949BF"/>
    <w:rsid w:val="00195207"/>
    <w:rsid w:val="00195BEA"/>
    <w:rsid w:val="00196113"/>
    <w:rsid w:val="00196694"/>
    <w:rsid w:val="0019674C"/>
    <w:rsid w:val="00196DA6"/>
    <w:rsid w:val="001A04FA"/>
    <w:rsid w:val="001A0963"/>
    <w:rsid w:val="001A0DEC"/>
    <w:rsid w:val="001A0E9D"/>
    <w:rsid w:val="001A146F"/>
    <w:rsid w:val="001A15F1"/>
    <w:rsid w:val="001A1BA1"/>
    <w:rsid w:val="001A1E4A"/>
    <w:rsid w:val="001A1EC2"/>
    <w:rsid w:val="001A20EB"/>
    <w:rsid w:val="001A21ED"/>
    <w:rsid w:val="001A22B4"/>
    <w:rsid w:val="001A29BE"/>
    <w:rsid w:val="001A30FC"/>
    <w:rsid w:val="001A3184"/>
    <w:rsid w:val="001A5032"/>
    <w:rsid w:val="001A512B"/>
    <w:rsid w:val="001A6100"/>
    <w:rsid w:val="001A69F1"/>
    <w:rsid w:val="001A6D04"/>
    <w:rsid w:val="001A7ED6"/>
    <w:rsid w:val="001A7FF2"/>
    <w:rsid w:val="001B0387"/>
    <w:rsid w:val="001B094F"/>
    <w:rsid w:val="001B0AC2"/>
    <w:rsid w:val="001B0FBC"/>
    <w:rsid w:val="001B1075"/>
    <w:rsid w:val="001B17E0"/>
    <w:rsid w:val="001B19F9"/>
    <w:rsid w:val="001B1AC0"/>
    <w:rsid w:val="001B2CC5"/>
    <w:rsid w:val="001B2D48"/>
    <w:rsid w:val="001B306B"/>
    <w:rsid w:val="001B30C0"/>
    <w:rsid w:val="001B3133"/>
    <w:rsid w:val="001B3517"/>
    <w:rsid w:val="001B3C54"/>
    <w:rsid w:val="001B51C6"/>
    <w:rsid w:val="001B545F"/>
    <w:rsid w:val="001B54EF"/>
    <w:rsid w:val="001B6160"/>
    <w:rsid w:val="001B6F66"/>
    <w:rsid w:val="001B6FD9"/>
    <w:rsid w:val="001B7165"/>
    <w:rsid w:val="001B73DB"/>
    <w:rsid w:val="001B78A1"/>
    <w:rsid w:val="001C0B41"/>
    <w:rsid w:val="001C0B5E"/>
    <w:rsid w:val="001C0D36"/>
    <w:rsid w:val="001C29FD"/>
    <w:rsid w:val="001C3D57"/>
    <w:rsid w:val="001C3EDD"/>
    <w:rsid w:val="001C4382"/>
    <w:rsid w:val="001C44DC"/>
    <w:rsid w:val="001C535D"/>
    <w:rsid w:val="001C7B9C"/>
    <w:rsid w:val="001C7BE2"/>
    <w:rsid w:val="001D0149"/>
    <w:rsid w:val="001D0613"/>
    <w:rsid w:val="001D070D"/>
    <w:rsid w:val="001D1D01"/>
    <w:rsid w:val="001D215A"/>
    <w:rsid w:val="001D2412"/>
    <w:rsid w:val="001D34FE"/>
    <w:rsid w:val="001D3692"/>
    <w:rsid w:val="001D4A2F"/>
    <w:rsid w:val="001D4B8F"/>
    <w:rsid w:val="001D4D9A"/>
    <w:rsid w:val="001D5582"/>
    <w:rsid w:val="001D5B83"/>
    <w:rsid w:val="001D6706"/>
    <w:rsid w:val="001D68F6"/>
    <w:rsid w:val="001D6940"/>
    <w:rsid w:val="001D6D8E"/>
    <w:rsid w:val="001D6EBE"/>
    <w:rsid w:val="001D70F5"/>
    <w:rsid w:val="001D7FAC"/>
    <w:rsid w:val="001E034A"/>
    <w:rsid w:val="001E15BE"/>
    <w:rsid w:val="001E1611"/>
    <w:rsid w:val="001E1D59"/>
    <w:rsid w:val="001E1DAF"/>
    <w:rsid w:val="001E1DF1"/>
    <w:rsid w:val="001E2714"/>
    <w:rsid w:val="001E3293"/>
    <w:rsid w:val="001E39DC"/>
    <w:rsid w:val="001E3A4D"/>
    <w:rsid w:val="001E501F"/>
    <w:rsid w:val="001E683A"/>
    <w:rsid w:val="001E6971"/>
    <w:rsid w:val="001E6DE8"/>
    <w:rsid w:val="001E6F57"/>
    <w:rsid w:val="001E70A3"/>
    <w:rsid w:val="001E7C14"/>
    <w:rsid w:val="001E7DCC"/>
    <w:rsid w:val="001F05D3"/>
    <w:rsid w:val="001F1605"/>
    <w:rsid w:val="001F1F11"/>
    <w:rsid w:val="001F2A5B"/>
    <w:rsid w:val="001F2B27"/>
    <w:rsid w:val="001F2BC1"/>
    <w:rsid w:val="001F30F2"/>
    <w:rsid w:val="001F3B6C"/>
    <w:rsid w:val="001F3ED3"/>
    <w:rsid w:val="001F47EF"/>
    <w:rsid w:val="001F4B6D"/>
    <w:rsid w:val="001F4DB4"/>
    <w:rsid w:val="001F4E7B"/>
    <w:rsid w:val="001F5802"/>
    <w:rsid w:val="001F60E8"/>
    <w:rsid w:val="001F611C"/>
    <w:rsid w:val="001F70D2"/>
    <w:rsid w:val="001F75B3"/>
    <w:rsid w:val="001F799E"/>
    <w:rsid w:val="001F7CC3"/>
    <w:rsid w:val="001F7DE7"/>
    <w:rsid w:val="0020075B"/>
    <w:rsid w:val="00200CE2"/>
    <w:rsid w:val="00201019"/>
    <w:rsid w:val="00201307"/>
    <w:rsid w:val="00201848"/>
    <w:rsid w:val="0020217F"/>
    <w:rsid w:val="002025AB"/>
    <w:rsid w:val="00202891"/>
    <w:rsid w:val="00202BE6"/>
    <w:rsid w:val="00202D7C"/>
    <w:rsid w:val="0020328A"/>
    <w:rsid w:val="002035BB"/>
    <w:rsid w:val="0020379D"/>
    <w:rsid w:val="00203832"/>
    <w:rsid w:val="00204265"/>
    <w:rsid w:val="00204775"/>
    <w:rsid w:val="00204A72"/>
    <w:rsid w:val="0020504E"/>
    <w:rsid w:val="0020633E"/>
    <w:rsid w:val="00206543"/>
    <w:rsid w:val="00206AB5"/>
    <w:rsid w:val="0020714F"/>
    <w:rsid w:val="0020763D"/>
    <w:rsid w:val="00207AEC"/>
    <w:rsid w:val="00207BC3"/>
    <w:rsid w:val="002101C0"/>
    <w:rsid w:val="002101EE"/>
    <w:rsid w:val="00210A10"/>
    <w:rsid w:val="00210C81"/>
    <w:rsid w:val="002113F3"/>
    <w:rsid w:val="00211701"/>
    <w:rsid w:val="002117D9"/>
    <w:rsid w:val="002117F7"/>
    <w:rsid w:val="00211E8D"/>
    <w:rsid w:val="00212463"/>
    <w:rsid w:val="002128D9"/>
    <w:rsid w:val="00212B30"/>
    <w:rsid w:val="00212C3E"/>
    <w:rsid w:val="00213330"/>
    <w:rsid w:val="002134AB"/>
    <w:rsid w:val="002134FE"/>
    <w:rsid w:val="002135FC"/>
    <w:rsid w:val="0021387F"/>
    <w:rsid w:val="00213F07"/>
    <w:rsid w:val="00214363"/>
    <w:rsid w:val="00214443"/>
    <w:rsid w:val="002146DB"/>
    <w:rsid w:val="002153FF"/>
    <w:rsid w:val="00216193"/>
    <w:rsid w:val="002164B9"/>
    <w:rsid w:val="00216CA9"/>
    <w:rsid w:val="00216FCE"/>
    <w:rsid w:val="002177BB"/>
    <w:rsid w:val="00217E55"/>
    <w:rsid w:val="002200D9"/>
    <w:rsid w:val="00220308"/>
    <w:rsid w:val="002206A1"/>
    <w:rsid w:val="002206A6"/>
    <w:rsid w:val="00220921"/>
    <w:rsid w:val="00220995"/>
    <w:rsid w:val="002209B4"/>
    <w:rsid w:val="00220DFC"/>
    <w:rsid w:val="0022103C"/>
    <w:rsid w:val="00221118"/>
    <w:rsid w:val="002212A8"/>
    <w:rsid w:val="00221303"/>
    <w:rsid w:val="00221735"/>
    <w:rsid w:val="00222198"/>
    <w:rsid w:val="0022276B"/>
    <w:rsid w:val="00222826"/>
    <w:rsid w:val="00222DDA"/>
    <w:rsid w:val="002230AF"/>
    <w:rsid w:val="002233B7"/>
    <w:rsid w:val="002241EA"/>
    <w:rsid w:val="00224334"/>
    <w:rsid w:val="002245EB"/>
    <w:rsid w:val="00224642"/>
    <w:rsid w:val="00224CBA"/>
    <w:rsid w:val="00224DD3"/>
    <w:rsid w:val="002250C8"/>
    <w:rsid w:val="0022537B"/>
    <w:rsid w:val="00225A47"/>
    <w:rsid w:val="00225E19"/>
    <w:rsid w:val="00226749"/>
    <w:rsid w:val="00226B79"/>
    <w:rsid w:val="00226B93"/>
    <w:rsid w:val="00226C54"/>
    <w:rsid w:val="00226DE8"/>
    <w:rsid w:val="00227A6E"/>
    <w:rsid w:val="00227CD3"/>
    <w:rsid w:val="00230737"/>
    <w:rsid w:val="0023086C"/>
    <w:rsid w:val="00231C2A"/>
    <w:rsid w:val="00232675"/>
    <w:rsid w:val="00232873"/>
    <w:rsid w:val="0023345D"/>
    <w:rsid w:val="00233B0A"/>
    <w:rsid w:val="00233D09"/>
    <w:rsid w:val="00233EA9"/>
    <w:rsid w:val="00233F0C"/>
    <w:rsid w:val="00233F84"/>
    <w:rsid w:val="0023416B"/>
    <w:rsid w:val="00234776"/>
    <w:rsid w:val="00234ED7"/>
    <w:rsid w:val="0023509A"/>
    <w:rsid w:val="00235836"/>
    <w:rsid w:val="002358C2"/>
    <w:rsid w:val="00235DFF"/>
    <w:rsid w:val="00235EBA"/>
    <w:rsid w:val="00237981"/>
    <w:rsid w:val="00237EF4"/>
    <w:rsid w:val="00237F04"/>
    <w:rsid w:val="00240B9B"/>
    <w:rsid w:val="00240DEC"/>
    <w:rsid w:val="00241097"/>
    <w:rsid w:val="0024184C"/>
    <w:rsid w:val="00241B58"/>
    <w:rsid w:val="00241D5D"/>
    <w:rsid w:val="00241EF6"/>
    <w:rsid w:val="00242386"/>
    <w:rsid w:val="0024254A"/>
    <w:rsid w:val="002427C8"/>
    <w:rsid w:val="00242BB2"/>
    <w:rsid w:val="002444FF"/>
    <w:rsid w:val="00244747"/>
    <w:rsid w:val="002450C4"/>
    <w:rsid w:val="002452E1"/>
    <w:rsid w:val="00245E4E"/>
    <w:rsid w:val="00246E3B"/>
    <w:rsid w:val="00247175"/>
    <w:rsid w:val="002474EB"/>
    <w:rsid w:val="00247F2D"/>
    <w:rsid w:val="002500E6"/>
    <w:rsid w:val="002504D2"/>
    <w:rsid w:val="002507E5"/>
    <w:rsid w:val="0025164D"/>
    <w:rsid w:val="00252D34"/>
    <w:rsid w:val="00252DAF"/>
    <w:rsid w:val="00253AC2"/>
    <w:rsid w:val="002544C1"/>
    <w:rsid w:val="00254BF8"/>
    <w:rsid w:val="00255BEB"/>
    <w:rsid w:val="00256682"/>
    <w:rsid w:val="0025674D"/>
    <w:rsid w:val="00257026"/>
    <w:rsid w:val="00257361"/>
    <w:rsid w:val="002614B2"/>
    <w:rsid w:val="00261AC5"/>
    <w:rsid w:val="002620C9"/>
    <w:rsid w:val="0026377E"/>
    <w:rsid w:val="002638B2"/>
    <w:rsid w:val="00263F71"/>
    <w:rsid w:val="002640A4"/>
    <w:rsid w:val="00264883"/>
    <w:rsid w:val="00264E77"/>
    <w:rsid w:val="00265918"/>
    <w:rsid w:val="00265CA5"/>
    <w:rsid w:val="00265D30"/>
    <w:rsid w:val="00265DBE"/>
    <w:rsid w:val="00266A5D"/>
    <w:rsid w:val="00266C53"/>
    <w:rsid w:val="00266D16"/>
    <w:rsid w:val="0026705B"/>
    <w:rsid w:val="00267244"/>
    <w:rsid w:val="00267279"/>
    <w:rsid w:val="002674C3"/>
    <w:rsid w:val="00270629"/>
    <w:rsid w:val="002707BF"/>
    <w:rsid w:val="0027082B"/>
    <w:rsid w:val="00270E01"/>
    <w:rsid w:val="0027190A"/>
    <w:rsid w:val="00271E7C"/>
    <w:rsid w:val="00272F2B"/>
    <w:rsid w:val="00273E58"/>
    <w:rsid w:val="0027405F"/>
    <w:rsid w:val="002745AA"/>
    <w:rsid w:val="002745C8"/>
    <w:rsid w:val="002748A2"/>
    <w:rsid w:val="002750EE"/>
    <w:rsid w:val="0027538F"/>
    <w:rsid w:val="00275684"/>
    <w:rsid w:val="002757FA"/>
    <w:rsid w:val="00275D1A"/>
    <w:rsid w:val="002760BC"/>
    <w:rsid w:val="002766D7"/>
    <w:rsid w:val="00276948"/>
    <w:rsid w:val="00276B09"/>
    <w:rsid w:val="002773B2"/>
    <w:rsid w:val="00277545"/>
    <w:rsid w:val="002776B4"/>
    <w:rsid w:val="00277CB6"/>
    <w:rsid w:val="00277CEB"/>
    <w:rsid w:val="0028083C"/>
    <w:rsid w:val="00281D81"/>
    <w:rsid w:val="002821B6"/>
    <w:rsid w:val="0028276F"/>
    <w:rsid w:val="002827A5"/>
    <w:rsid w:val="00282A4B"/>
    <w:rsid w:val="00282AAB"/>
    <w:rsid w:val="00282F4D"/>
    <w:rsid w:val="00283EF6"/>
    <w:rsid w:val="00284508"/>
    <w:rsid w:val="00284696"/>
    <w:rsid w:val="002849E0"/>
    <w:rsid w:val="00284C60"/>
    <w:rsid w:val="00285399"/>
    <w:rsid w:val="00285DC5"/>
    <w:rsid w:val="00285F79"/>
    <w:rsid w:val="002860D8"/>
    <w:rsid w:val="00286B94"/>
    <w:rsid w:val="00286BBF"/>
    <w:rsid w:val="00286DD1"/>
    <w:rsid w:val="00287010"/>
    <w:rsid w:val="002870F9"/>
    <w:rsid w:val="002873F1"/>
    <w:rsid w:val="00287839"/>
    <w:rsid w:val="00287A59"/>
    <w:rsid w:val="00287B37"/>
    <w:rsid w:val="00287F2F"/>
    <w:rsid w:val="00287FEF"/>
    <w:rsid w:val="002904FC"/>
    <w:rsid w:val="00290612"/>
    <w:rsid w:val="002908CB"/>
    <w:rsid w:val="00290BF3"/>
    <w:rsid w:val="00290BF5"/>
    <w:rsid w:val="002913DB"/>
    <w:rsid w:val="002915F7"/>
    <w:rsid w:val="00291D0E"/>
    <w:rsid w:val="00291E24"/>
    <w:rsid w:val="00291EF1"/>
    <w:rsid w:val="002921F5"/>
    <w:rsid w:val="0029259E"/>
    <w:rsid w:val="002926E8"/>
    <w:rsid w:val="002930AF"/>
    <w:rsid w:val="00293737"/>
    <w:rsid w:val="00293ABE"/>
    <w:rsid w:val="00293AFD"/>
    <w:rsid w:val="00293BA4"/>
    <w:rsid w:val="00293D4A"/>
    <w:rsid w:val="00293F0A"/>
    <w:rsid w:val="002942C0"/>
    <w:rsid w:val="002945D1"/>
    <w:rsid w:val="002947C7"/>
    <w:rsid w:val="00294AB1"/>
    <w:rsid w:val="0029568E"/>
    <w:rsid w:val="002960BA"/>
    <w:rsid w:val="002965FE"/>
    <w:rsid w:val="0029666B"/>
    <w:rsid w:val="00296883"/>
    <w:rsid w:val="00296B5E"/>
    <w:rsid w:val="00297423"/>
    <w:rsid w:val="00297E91"/>
    <w:rsid w:val="00297FCC"/>
    <w:rsid w:val="002A060D"/>
    <w:rsid w:val="002A13DB"/>
    <w:rsid w:val="002A1534"/>
    <w:rsid w:val="002A1CBF"/>
    <w:rsid w:val="002A1E86"/>
    <w:rsid w:val="002A225C"/>
    <w:rsid w:val="002A257F"/>
    <w:rsid w:val="002A3D6A"/>
    <w:rsid w:val="002A48AC"/>
    <w:rsid w:val="002A5026"/>
    <w:rsid w:val="002A54E3"/>
    <w:rsid w:val="002A59A7"/>
    <w:rsid w:val="002A5AA2"/>
    <w:rsid w:val="002A5AAF"/>
    <w:rsid w:val="002A5BA0"/>
    <w:rsid w:val="002A5BF0"/>
    <w:rsid w:val="002A6BB2"/>
    <w:rsid w:val="002A7041"/>
    <w:rsid w:val="002A709D"/>
    <w:rsid w:val="002A732C"/>
    <w:rsid w:val="002A7C9C"/>
    <w:rsid w:val="002B00EA"/>
    <w:rsid w:val="002B0FCA"/>
    <w:rsid w:val="002B128F"/>
    <w:rsid w:val="002B2538"/>
    <w:rsid w:val="002B26EC"/>
    <w:rsid w:val="002B2D37"/>
    <w:rsid w:val="002B3731"/>
    <w:rsid w:val="002B385C"/>
    <w:rsid w:val="002B49F1"/>
    <w:rsid w:val="002B4BA5"/>
    <w:rsid w:val="002B4D4B"/>
    <w:rsid w:val="002B5A10"/>
    <w:rsid w:val="002B6262"/>
    <w:rsid w:val="002B637E"/>
    <w:rsid w:val="002B7762"/>
    <w:rsid w:val="002B7928"/>
    <w:rsid w:val="002B7B93"/>
    <w:rsid w:val="002C04F4"/>
    <w:rsid w:val="002C0730"/>
    <w:rsid w:val="002C0B17"/>
    <w:rsid w:val="002C0EC9"/>
    <w:rsid w:val="002C10D9"/>
    <w:rsid w:val="002C17F9"/>
    <w:rsid w:val="002C24C8"/>
    <w:rsid w:val="002C26B8"/>
    <w:rsid w:val="002C28C2"/>
    <w:rsid w:val="002C2AE3"/>
    <w:rsid w:val="002C2D0F"/>
    <w:rsid w:val="002C2DFA"/>
    <w:rsid w:val="002C2EEF"/>
    <w:rsid w:val="002C2FCA"/>
    <w:rsid w:val="002C332B"/>
    <w:rsid w:val="002C3D42"/>
    <w:rsid w:val="002C3E4F"/>
    <w:rsid w:val="002C48AD"/>
    <w:rsid w:val="002C6317"/>
    <w:rsid w:val="002C7566"/>
    <w:rsid w:val="002C7940"/>
    <w:rsid w:val="002D0960"/>
    <w:rsid w:val="002D09CB"/>
    <w:rsid w:val="002D0D09"/>
    <w:rsid w:val="002D0D8E"/>
    <w:rsid w:val="002D12BE"/>
    <w:rsid w:val="002D1327"/>
    <w:rsid w:val="002D1720"/>
    <w:rsid w:val="002D1A5E"/>
    <w:rsid w:val="002D1C05"/>
    <w:rsid w:val="002D1C37"/>
    <w:rsid w:val="002D20F7"/>
    <w:rsid w:val="002D2EEC"/>
    <w:rsid w:val="002D51E1"/>
    <w:rsid w:val="002D625C"/>
    <w:rsid w:val="002D676C"/>
    <w:rsid w:val="002D6F97"/>
    <w:rsid w:val="002D7053"/>
    <w:rsid w:val="002D7145"/>
    <w:rsid w:val="002D7605"/>
    <w:rsid w:val="002D79E4"/>
    <w:rsid w:val="002E00FF"/>
    <w:rsid w:val="002E0241"/>
    <w:rsid w:val="002E0B80"/>
    <w:rsid w:val="002E1446"/>
    <w:rsid w:val="002E1564"/>
    <w:rsid w:val="002E2199"/>
    <w:rsid w:val="002E3260"/>
    <w:rsid w:val="002E3787"/>
    <w:rsid w:val="002E3B80"/>
    <w:rsid w:val="002E3C75"/>
    <w:rsid w:val="002E4C63"/>
    <w:rsid w:val="002E4D1E"/>
    <w:rsid w:val="002E53C3"/>
    <w:rsid w:val="002E54A2"/>
    <w:rsid w:val="002E590E"/>
    <w:rsid w:val="002E5D2E"/>
    <w:rsid w:val="002E7360"/>
    <w:rsid w:val="002E78F5"/>
    <w:rsid w:val="002E79E4"/>
    <w:rsid w:val="002E7B04"/>
    <w:rsid w:val="002E7DAD"/>
    <w:rsid w:val="002F07D4"/>
    <w:rsid w:val="002F0E64"/>
    <w:rsid w:val="002F100D"/>
    <w:rsid w:val="002F1666"/>
    <w:rsid w:val="002F1A9F"/>
    <w:rsid w:val="002F1E95"/>
    <w:rsid w:val="002F1F69"/>
    <w:rsid w:val="002F2C4C"/>
    <w:rsid w:val="002F32BF"/>
    <w:rsid w:val="002F34D1"/>
    <w:rsid w:val="002F3588"/>
    <w:rsid w:val="002F394E"/>
    <w:rsid w:val="002F47FD"/>
    <w:rsid w:val="002F4B78"/>
    <w:rsid w:val="002F5483"/>
    <w:rsid w:val="002F5965"/>
    <w:rsid w:val="002F6375"/>
    <w:rsid w:val="002F6B59"/>
    <w:rsid w:val="002F723E"/>
    <w:rsid w:val="00300644"/>
    <w:rsid w:val="0030080A"/>
    <w:rsid w:val="00301403"/>
    <w:rsid w:val="0030155C"/>
    <w:rsid w:val="00301650"/>
    <w:rsid w:val="003016D5"/>
    <w:rsid w:val="00301FA1"/>
    <w:rsid w:val="00301FA4"/>
    <w:rsid w:val="003023AD"/>
    <w:rsid w:val="003033DC"/>
    <w:rsid w:val="003041CA"/>
    <w:rsid w:val="00304478"/>
    <w:rsid w:val="003049C0"/>
    <w:rsid w:val="00305001"/>
    <w:rsid w:val="00305241"/>
    <w:rsid w:val="00305904"/>
    <w:rsid w:val="00305FCD"/>
    <w:rsid w:val="00306429"/>
    <w:rsid w:val="00306C7C"/>
    <w:rsid w:val="00307240"/>
    <w:rsid w:val="003072A6"/>
    <w:rsid w:val="00307752"/>
    <w:rsid w:val="003078BB"/>
    <w:rsid w:val="00307CD6"/>
    <w:rsid w:val="00307E79"/>
    <w:rsid w:val="003103F0"/>
    <w:rsid w:val="00310896"/>
    <w:rsid w:val="0031118C"/>
    <w:rsid w:val="00311459"/>
    <w:rsid w:val="00311766"/>
    <w:rsid w:val="00311EFA"/>
    <w:rsid w:val="00311F7C"/>
    <w:rsid w:val="003139C7"/>
    <w:rsid w:val="00313A6F"/>
    <w:rsid w:val="00313E98"/>
    <w:rsid w:val="003144E6"/>
    <w:rsid w:val="00314A95"/>
    <w:rsid w:val="0031560C"/>
    <w:rsid w:val="00315759"/>
    <w:rsid w:val="003158F2"/>
    <w:rsid w:val="003163D1"/>
    <w:rsid w:val="00316497"/>
    <w:rsid w:val="003168E9"/>
    <w:rsid w:val="003178B8"/>
    <w:rsid w:val="00317906"/>
    <w:rsid w:val="0032022B"/>
    <w:rsid w:val="00320667"/>
    <w:rsid w:val="00320BDE"/>
    <w:rsid w:val="00320E3C"/>
    <w:rsid w:val="003210F8"/>
    <w:rsid w:val="0032185C"/>
    <w:rsid w:val="0032188C"/>
    <w:rsid w:val="00321C6C"/>
    <w:rsid w:val="003220D4"/>
    <w:rsid w:val="00322385"/>
    <w:rsid w:val="0032240D"/>
    <w:rsid w:val="003227AC"/>
    <w:rsid w:val="0032467E"/>
    <w:rsid w:val="003246EB"/>
    <w:rsid w:val="00324C88"/>
    <w:rsid w:val="00325887"/>
    <w:rsid w:val="00325985"/>
    <w:rsid w:val="00326CEC"/>
    <w:rsid w:val="00327457"/>
    <w:rsid w:val="003277CE"/>
    <w:rsid w:val="00327865"/>
    <w:rsid w:val="003302A7"/>
    <w:rsid w:val="00330D0C"/>
    <w:rsid w:val="00330F13"/>
    <w:rsid w:val="003312C9"/>
    <w:rsid w:val="0033183F"/>
    <w:rsid w:val="00331C8B"/>
    <w:rsid w:val="00331E60"/>
    <w:rsid w:val="003326C6"/>
    <w:rsid w:val="00332A6F"/>
    <w:rsid w:val="00332C9D"/>
    <w:rsid w:val="0033342A"/>
    <w:rsid w:val="0033377C"/>
    <w:rsid w:val="003338C9"/>
    <w:rsid w:val="00333B0B"/>
    <w:rsid w:val="00334667"/>
    <w:rsid w:val="00334A08"/>
    <w:rsid w:val="00334D3A"/>
    <w:rsid w:val="00334FBD"/>
    <w:rsid w:val="00335164"/>
    <w:rsid w:val="00335320"/>
    <w:rsid w:val="00335799"/>
    <w:rsid w:val="003360AC"/>
    <w:rsid w:val="00336542"/>
    <w:rsid w:val="00337510"/>
    <w:rsid w:val="00337E52"/>
    <w:rsid w:val="00340058"/>
    <w:rsid w:val="00340992"/>
    <w:rsid w:val="00340AF5"/>
    <w:rsid w:val="00340CEC"/>
    <w:rsid w:val="00341803"/>
    <w:rsid w:val="00341DA9"/>
    <w:rsid w:val="00341EB5"/>
    <w:rsid w:val="0034200D"/>
    <w:rsid w:val="003422DF"/>
    <w:rsid w:val="00342F81"/>
    <w:rsid w:val="003430FC"/>
    <w:rsid w:val="003431D3"/>
    <w:rsid w:val="00343660"/>
    <w:rsid w:val="0034397F"/>
    <w:rsid w:val="003444FE"/>
    <w:rsid w:val="00344AD9"/>
    <w:rsid w:val="00344B4A"/>
    <w:rsid w:val="00344E94"/>
    <w:rsid w:val="00344FB6"/>
    <w:rsid w:val="00345741"/>
    <w:rsid w:val="00345FFD"/>
    <w:rsid w:val="003462E2"/>
    <w:rsid w:val="0034638B"/>
    <w:rsid w:val="003465A6"/>
    <w:rsid w:val="00347937"/>
    <w:rsid w:val="00347E9C"/>
    <w:rsid w:val="003500C3"/>
    <w:rsid w:val="003501CB"/>
    <w:rsid w:val="003508C6"/>
    <w:rsid w:val="00350AA6"/>
    <w:rsid w:val="00350B42"/>
    <w:rsid w:val="003512E7"/>
    <w:rsid w:val="0035237C"/>
    <w:rsid w:val="003531CC"/>
    <w:rsid w:val="003533A0"/>
    <w:rsid w:val="00353B03"/>
    <w:rsid w:val="00353C75"/>
    <w:rsid w:val="003549AE"/>
    <w:rsid w:val="00354E9C"/>
    <w:rsid w:val="003552BC"/>
    <w:rsid w:val="0035606C"/>
    <w:rsid w:val="00356388"/>
    <w:rsid w:val="00356B72"/>
    <w:rsid w:val="00356BA0"/>
    <w:rsid w:val="00356C02"/>
    <w:rsid w:val="00356CC1"/>
    <w:rsid w:val="00357459"/>
    <w:rsid w:val="00357559"/>
    <w:rsid w:val="003600E2"/>
    <w:rsid w:val="00360B3C"/>
    <w:rsid w:val="00360F3B"/>
    <w:rsid w:val="00361314"/>
    <w:rsid w:val="0036161B"/>
    <w:rsid w:val="003620C4"/>
    <w:rsid w:val="003623BC"/>
    <w:rsid w:val="0036287F"/>
    <w:rsid w:val="0036293E"/>
    <w:rsid w:val="00362E57"/>
    <w:rsid w:val="0036331C"/>
    <w:rsid w:val="00363877"/>
    <w:rsid w:val="00363958"/>
    <w:rsid w:val="003647F0"/>
    <w:rsid w:val="00364EEA"/>
    <w:rsid w:val="00365522"/>
    <w:rsid w:val="0036571A"/>
    <w:rsid w:val="003657F8"/>
    <w:rsid w:val="00366D2B"/>
    <w:rsid w:val="00367A8D"/>
    <w:rsid w:val="00367B48"/>
    <w:rsid w:val="00370182"/>
    <w:rsid w:val="003704C9"/>
    <w:rsid w:val="0037065C"/>
    <w:rsid w:val="00370845"/>
    <w:rsid w:val="003708D4"/>
    <w:rsid w:val="0037123E"/>
    <w:rsid w:val="00371CCF"/>
    <w:rsid w:val="00371D9F"/>
    <w:rsid w:val="00372559"/>
    <w:rsid w:val="00372DF7"/>
    <w:rsid w:val="00375DB8"/>
    <w:rsid w:val="003768CC"/>
    <w:rsid w:val="00376FA4"/>
    <w:rsid w:val="00377130"/>
    <w:rsid w:val="00377631"/>
    <w:rsid w:val="00377B60"/>
    <w:rsid w:val="003800E2"/>
    <w:rsid w:val="00380C33"/>
    <w:rsid w:val="00382950"/>
    <w:rsid w:val="00382B98"/>
    <w:rsid w:val="00382D3A"/>
    <w:rsid w:val="00382DD3"/>
    <w:rsid w:val="00382F57"/>
    <w:rsid w:val="003831BE"/>
    <w:rsid w:val="00383528"/>
    <w:rsid w:val="0038361E"/>
    <w:rsid w:val="0038482A"/>
    <w:rsid w:val="00384B45"/>
    <w:rsid w:val="00385183"/>
    <w:rsid w:val="003857A7"/>
    <w:rsid w:val="00387657"/>
    <w:rsid w:val="003903EC"/>
    <w:rsid w:val="00391126"/>
    <w:rsid w:val="003911E0"/>
    <w:rsid w:val="0039134E"/>
    <w:rsid w:val="0039172D"/>
    <w:rsid w:val="00391ACF"/>
    <w:rsid w:val="003920DA"/>
    <w:rsid w:val="003924E5"/>
    <w:rsid w:val="00393D20"/>
    <w:rsid w:val="00393E89"/>
    <w:rsid w:val="003941C8"/>
    <w:rsid w:val="0039501E"/>
    <w:rsid w:val="003952DD"/>
    <w:rsid w:val="0039559F"/>
    <w:rsid w:val="00395A4C"/>
    <w:rsid w:val="00396097"/>
    <w:rsid w:val="0039638E"/>
    <w:rsid w:val="003966CF"/>
    <w:rsid w:val="00396AC1"/>
    <w:rsid w:val="00396E91"/>
    <w:rsid w:val="0039714F"/>
    <w:rsid w:val="0039721A"/>
    <w:rsid w:val="00397537"/>
    <w:rsid w:val="0039793B"/>
    <w:rsid w:val="003A0275"/>
    <w:rsid w:val="003A03B3"/>
    <w:rsid w:val="003A0465"/>
    <w:rsid w:val="003A1086"/>
    <w:rsid w:val="003A1515"/>
    <w:rsid w:val="003A15A7"/>
    <w:rsid w:val="003A2774"/>
    <w:rsid w:val="003A28D9"/>
    <w:rsid w:val="003A2D60"/>
    <w:rsid w:val="003A3518"/>
    <w:rsid w:val="003A3917"/>
    <w:rsid w:val="003A3987"/>
    <w:rsid w:val="003A39D4"/>
    <w:rsid w:val="003A429F"/>
    <w:rsid w:val="003A455F"/>
    <w:rsid w:val="003A487B"/>
    <w:rsid w:val="003A4DCE"/>
    <w:rsid w:val="003A50D3"/>
    <w:rsid w:val="003A530C"/>
    <w:rsid w:val="003A543B"/>
    <w:rsid w:val="003A56B5"/>
    <w:rsid w:val="003A5C8D"/>
    <w:rsid w:val="003A62BC"/>
    <w:rsid w:val="003A66EE"/>
    <w:rsid w:val="003A67DF"/>
    <w:rsid w:val="003A68D5"/>
    <w:rsid w:val="003A781E"/>
    <w:rsid w:val="003A7F16"/>
    <w:rsid w:val="003B0275"/>
    <w:rsid w:val="003B038A"/>
    <w:rsid w:val="003B0F7D"/>
    <w:rsid w:val="003B1635"/>
    <w:rsid w:val="003B180F"/>
    <w:rsid w:val="003B1B36"/>
    <w:rsid w:val="003B1CF8"/>
    <w:rsid w:val="003B2351"/>
    <w:rsid w:val="003B2424"/>
    <w:rsid w:val="003B24C2"/>
    <w:rsid w:val="003B289E"/>
    <w:rsid w:val="003B2BC8"/>
    <w:rsid w:val="003B2DE4"/>
    <w:rsid w:val="003B3712"/>
    <w:rsid w:val="003B4528"/>
    <w:rsid w:val="003B46D3"/>
    <w:rsid w:val="003B4D4B"/>
    <w:rsid w:val="003B4F48"/>
    <w:rsid w:val="003B4FEB"/>
    <w:rsid w:val="003B5B16"/>
    <w:rsid w:val="003B6839"/>
    <w:rsid w:val="003B7559"/>
    <w:rsid w:val="003B792B"/>
    <w:rsid w:val="003B799A"/>
    <w:rsid w:val="003B7FFB"/>
    <w:rsid w:val="003B7FFE"/>
    <w:rsid w:val="003C1035"/>
    <w:rsid w:val="003C152E"/>
    <w:rsid w:val="003C1644"/>
    <w:rsid w:val="003C195B"/>
    <w:rsid w:val="003C1B64"/>
    <w:rsid w:val="003C2247"/>
    <w:rsid w:val="003C232D"/>
    <w:rsid w:val="003C2595"/>
    <w:rsid w:val="003C2763"/>
    <w:rsid w:val="003C30C6"/>
    <w:rsid w:val="003C3309"/>
    <w:rsid w:val="003C455C"/>
    <w:rsid w:val="003C466D"/>
    <w:rsid w:val="003C6718"/>
    <w:rsid w:val="003C6EDA"/>
    <w:rsid w:val="003C72CF"/>
    <w:rsid w:val="003C791D"/>
    <w:rsid w:val="003C7F14"/>
    <w:rsid w:val="003D0ECE"/>
    <w:rsid w:val="003D1A43"/>
    <w:rsid w:val="003D1E07"/>
    <w:rsid w:val="003D2541"/>
    <w:rsid w:val="003D26DF"/>
    <w:rsid w:val="003D34B3"/>
    <w:rsid w:val="003D3645"/>
    <w:rsid w:val="003D3C2D"/>
    <w:rsid w:val="003D3C40"/>
    <w:rsid w:val="003D44E0"/>
    <w:rsid w:val="003D45A1"/>
    <w:rsid w:val="003D49A7"/>
    <w:rsid w:val="003D4BB9"/>
    <w:rsid w:val="003D611F"/>
    <w:rsid w:val="003D6270"/>
    <w:rsid w:val="003D66E4"/>
    <w:rsid w:val="003D6FE5"/>
    <w:rsid w:val="003D7677"/>
    <w:rsid w:val="003E015C"/>
    <w:rsid w:val="003E0A6B"/>
    <w:rsid w:val="003E114F"/>
    <w:rsid w:val="003E12C5"/>
    <w:rsid w:val="003E13EF"/>
    <w:rsid w:val="003E2206"/>
    <w:rsid w:val="003E22A2"/>
    <w:rsid w:val="003E234D"/>
    <w:rsid w:val="003E2B0B"/>
    <w:rsid w:val="003E36D4"/>
    <w:rsid w:val="003E3F83"/>
    <w:rsid w:val="003E40A1"/>
    <w:rsid w:val="003E435A"/>
    <w:rsid w:val="003E4425"/>
    <w:rsid w:val="003E48DC"/>
    <w:rsid w:val="003E4CA7"/>
    <w:rsid w:val="003E4E7C"/>
    <w:rsid w:val="003E50ED"/>
    <w:rsid w:val="003E518F"/>
    <w:rsid w:val="003E5735"/>
    <w:rsid w:val="003E5D47"/>
    <w:rsid w:val="003E5DA0"/>
    <w:rsid w:val="003E5E00"/>
    <w:rsid w:val="003E60AC"/>
    <w:rsid w:val="003E6A04"/>
    <w:rsid w:val="003E6B30"/>
    <w:rsid w:val="003E7673"/>
    <w:rsid w:val="003E7702"/>
    <w:rsid w:val="003E7824"/>
    <w:rsid w:val="003F064D"/>
    <w:rsid w:val="003F0F06"/>
    <w:rsid w:val="003F1584"/>
    <w:rsid w:val="003F1A5C"/>
    <w:rsid w:val="003F1AE9"/>
    <w:rsid w:val="003F1B56"/>
    <w:rsid w:val="003F2BEE"/>
    <w:rsid w:val="003F2CD5"/>
    <w:rsid w:val="003F3796"/>
    <w:rsid w:val="003F391B"/>
    <w:rsid w:val="003F3961"/>
    <w:rsid w:val="003F3A58"/>
    <w:rsid w:val="003F3AA8"/>
    <w:rsid w:val="003F46D4"/>
    <w:rsid w:val="003F474D"/>
    <w:rsid w:val="003F4BBB"/>
    <w:rsid w:val="003F59F8"/>
    <w:rsid w:val="003F5BDC"/>
    <w:rsid w:val="003F71F1"/>
    <w:rsid w:val="003F764D"/>
    <w:rsid w:val="003F7680"/>
    <w:rsid w:val="003F79CE"/>
    <w:rsid w:val="003F7C4D"/>
    <w:rsid w:val="004002B5"/>
    <w:rsid w:val="0040076F"/>
    <w:rsid w:val="0040094C"/>
    <w:rsid w:val="00401B6E"/>
    <w:rsid w:val="0040269F"/>
    <w:rsid w:val="004029B4"/>
    <w:rsid w:val="0040389D"/>
    <w:rsid w:val="004043BB"/>
    <w:rsid w:val="004043E9"/>
    <w:rsid w:val="00404B57"/>
    <w:rsid w:val="00405152"/>
    <w:rsid w:val="004056AE"/>
    <w:rsid w:val="0040591E"/>
    <w:rsid w:val="0040597A"/>
    <w:rsid w:val="00406CA5"/>
    <w:rsid w:val="00406DD7"/>
    <w:rsid w:val="004070DA"/>
    <w:rsid w:val="00407A3F"/>
    <w:rsid w:val="00407FB1"/>
    <w:rsid w:val="00410375"/>
    <w:rsid w:val="0041094F"/>
    <w:rsid w:val="00410F45"/>
    <w:rsid w:val="00410F46"/>
    <w:rsid w:val="00411083"/>
    <w:rsid w:val="00411087"/>
    <w:rsid w:val="004111F9"/>
    <w:rsid w:val="0041188B"/>
    <w:rsid w:val="00411C14"/>
    <w:rsid w:val="00411C29"/>
    <w:rsid w:val="0041270F"/>
    <w:rsid w:val="00412783"/>
    <w:rsid w:val="00412966"/>
    <w:rsid w:val="00412979"/>
    <w:rsid w:val="004136D3"/>
    <w:rsid w:val="004136EC"/>
    <w:rsid w:val="00413CAD"/>
    <w:rsid w:val="00414D58"/>
    <w:rsid w:val="004159B1"/>
    <w:rsid w:val="00415DCA"/>
    <w:rsid w:val="004164D8"/>
    <w:rsid w:val="00416681"/>
    <w:rsid w:val="00416832"/>
    <w:rsid w:val="00416C3A"/>
    <w:rsid w:val="00416D53"/>
    <w:rsid w:val="004173A2"/>
    <w:rsid w:val="00417C85"/>
    <w:rsid w:val="00417E30"/>
    <w:rsid w:val="004202E0"/>
    <w:rsid w:val="0042082C"/>
    <w:rsid w:val="00421932"/>
    <w:rsid w:val="00421F95"/>
    <w:rsid w:val="00421FB2"/>
    <w:rsid w:val="00422533"/>
    <w:rsid w:val="004234FC"/>
    <w:rsid w:val="00423602"/>
    <w:rsid w:val="004240E0"/>
    <w:rsid w:val="0042446A"/>
    <w:rsid w:val="00424C46"/>
    <w:rsid w:val="0042556B"/>
    <w:rsid w:val="004255E8"/>
    <w:rsid w:val="004261D5"/>
    <w:rsid w:val="004267E3"/>
    <w:rsid w:val="004268CE"/>
    <w:rsid w:val="00427249"/>
    <w:rsid w:val="00427423"/>
    <w:rsid w:val="00427BB0"/>
    <w:rsid w:val="00427C43"/>
    <w:rsid w:val="00427E06"/>
    <w:rsid w:val="00431037"/>
    <w:rsid w:val="00431B46"/>
    <w:rsid w:val="00431C64"/>
    <w:rsid w:val="00431D0F"/>
    <w:rsid w:val="0043236C"/>
    <w:rsid w:val="00432728"/>
    <w:rsid w:val="00432D2D"/>
    <w:rsid w:val="00433488"/>
    <w:rsid w:val="00434193"/>
    <w:rsid w:val="00434BA7"/>
    <w:rsid w:val="004357CD"/>
    <w:rsid w:val="00436335"/>
    <w:rsid w:val="004365AA"/>
    <w:rsid w:val="004379D5"/>
    <w:rsid w:val="00437A73"/>
    <w:rsid w:val="004401C3"/>
    <w:rsid w:val="00442236"/>
    <w:rsid w:val="004423D7"/>
    <w:rsid w:val="00442B5C"/>
    <w:rsid w:val="00442C77"/>
    <w:rsid w:val="00442F54"/>
    <w:rsid w:val="0044319B"/>
    <w:rsid w:val="00443281"/>
    <w:rsid w:val="004439A4"/>
    <w:rsid w:val="00443A90"/>
    <w:rsid w:val="00444F4A"/>
    <w:rsid w:val="004466EC"/>
    <w:rsid w:val="0044706F"/>
    <w:rsid w:val="004473B3"/>
    <w:rsid w:val="004473BF"/>
    <w:rsid w:val="00450725"/>
    <w:rsid w:val="00450BC7"/>
    <w:rsid w:val="00450BE2"/>
    <w:rsid w:val="00450C34"/>
    <w:rsid w:val="00450F31"/>
    <w:rsid w:val="004511FA"/>
    <w:rsid w:val="00451F63"/>
    <w:rsid w:val="004520D7"/>
    <w:rsid w:val="00452402"/>
    <w:rsid w:val="00452E83"/>
    <w:rsid w:val="00452F1C"/>
    <w:rsid w:val="00452FA8"/>
    <w:rsid w:val="00453060"/>
    <w:rsid w:val="00453614"/>
    <w:rsid w:val="004545F8"/>
    <w:rsid w:val="004548CA"/>
    <w:rsid w:val="00454A64"/>
    <w:rsid w:val="00454E3C"/>
    <w:rsid w:val="00455313"/>
    <w:rsid w:val="0045557D"/>
    <w:rsid w:val="004555BD"/>
    <w:rsid w:val="00456A07"/>
    <w:rsid w:val="0045721A"/>
    <w:rsid w:val="00457575"/>
    <w:rsid w:val="004575F5"/>
    <w:rsid w:val="0045767A"/>
    <w:rsid w:val="00457BFB"/>
    <w:rsid w:val="00457E2E"/>
    <w:rsid w:val="00460AAA"/>
    <w:rsid w:val="00460CD1"/>
    <w:rsid w:val="0046143F"/>
    <w:rsid w:val="00461529"/>
    <w:rsid w:val="004616D1"/>
    <w:rsid w:val="004619D1"/>
    <w:rsid w:val="0046247A"/>
    <w:rsid w:val="00462C40"/>
    <w:rsid w:val="004634A1"/>
    <w:rsid w:val="00463A97"/>
    <w:rsid w:val="0046426A"/>
    <w:rsid w:val="004644E0"/>
    <w:rsid w:val="004645D4"/>
    <w:rsid w:val="00464986"/>
    <w:rsid w:val="00464A30"/>
    <w:rsid w:val="00465517"/>
    <w:rsid w:val="00466211"/>
    <w:rsid w:val="004663ED"/>
    <w:rsid w:val="0046688B"/>
    <w:rsid w:val="00466DD7"/>
    <w:rsid w:val="004670A0"/>
    <w:rsid w:val="00467183"/>
    <w:rsid w:val="00467ACB"/>
    <w:rsid w:val="00467F3A"/>
    <w:rsid w:val="0047004C"/>
    <w:rsid w:val="00470CD7"/>
    <w:rsid w:val="00470F1F"/>
    <w:rsid w:val="00471667"/>
    <w:rsid w:val="004716BE"/>
    <w:rsid w:val="00471733"/>
    <w:rsid w:val="00471FDF"/>
    <w:rsid w:val="00472188"/>
    <w:rsid w:val="004726B4"/>
    <w:rsid w:val="004736D8"/>
    <w:rsid w:val="00473B0D"/>
    <w:rsid w:val="00473B20"/>
    <w:rsid w:val="00474028"/>
    <w:rsid w:val="00474E1F"/>
    <w:rsid w:val="0047595D"/>
    <w:rsid w:val="00475DC1"/>
    <w:rsid w:val="00476B0F"/>
    <w:rsid w:val="004775E2"/>
    <w:rsid w:val="00477E47"/>
    <w:rsid w:val="00480264"/>
    <w:rsid w:val="00480652"/>
    <w:rsid w:val="004808DC"/>
    <w:rsid w:val="004818D2"/>
    <w:rsid w:val="00481983"/>
    <w:rsid w:val="00481A40"/>
    <w:rsid w:val="00481A43"/>
    <w:rsid w:val="00481F4D"/>
    <w:rsid w:val="0048233F"/>
    <w:rsid w:val="00482BA7"/>
    <w:rsid w:val="00482EEA"/>
    <w:rsid w:val="00483121"/>
    <w:rsid w:val="004835B6"/>
    <w:rsid w:val="004839E2"/>
    <w:rsid w:val="00483ABF"/>
    <w:rsid w:val="00483C01"/>
    <w:rsid w:val="00484528"/>
    <w:rsid w:val="00484962"/>
    <w:rsid w:val="00484F72"/>
    <w:rsid w:val="0048552A"/>
    <w:rsid w:val="004857E3"/>
    <w:rsid w:val="00485E9E"/>
    <w:rsid w:val="004861FF"/>
    <w:rsid w:val="00486302"/>
    <w:rsid w:val="00486962"/>
    <w:rsid w:val="00486C6C"/>
    <w:rsid w:val="00486E90"/>
    <w:rsid w:val="00487056"/>
    <w:rsid w:val="00487584"/>
    <w:rsid w:val="004875D0"/>
    <w:rsid w:val="00487B51"/>
    <w:rsid w:val="004907F5"/>
    <w:rsid w:val="00490EC2"/>
    <w:rsid w:val="004913DA"/>
    <w:rsid w:val="00491D8E"/>
    <w:rsid w:val="00491EFB"/>
    <w:rsid w:val="00492E38"/>
    <w:rsid w:val="00492F69"/>
    <w:rsid w:val="00492FD3"/>
    <w:rsid w:val="004930B9"/>
    <w:rsid w:val="004939AE"/>
    <w:rsid w:val="0049474E"/>
    <w:rsid w:val="004949A4"/>
    <w:rsid w:val="00495147"/>
    <w:rsid w:val="00495F5F"/>
    <w:rsid w:val="004969B6"/>
    <w:rsid w:val="00496AEF"/>
    <w:rsid w:val="004973BE"/>
    <w:rsid w:val="0049793B"/>
    <w:rsid w:val="004A0200"/>
    <w:rsid w:val="004A0787"/>
    <w:rsid w:val="004A0D4A"/>
    <w:rsid w:val="004A1080"/>
    <w:rsid w:val="004A110A"/>
    <w:rsid w:val="004A1726"/>
    <w:rsid w:val="004A1901"/>
    <w:rsid w:val="004A1A15"/>
    <w:rsid w:val="004A1A64"/>
    <w:rsid w:val="004A1E58"/>
    <w:rsid w:val="004A1FBB"/>
    <w:rsid w:val="004A23ED"/>
    <w:rsid w:val="004A2B68"/>
    <w:rsid w:val="004A2ED8"/>
    <w:rsid w:val="004A42E2"/>
    <w:rsid w:val="004A47B5"/>
    <w:rsid w:val="004A530C"/>
    <w:rsid w:val="004A586B"/>
    <w:rsid w:val="004A5942"/>
    <w:rsid w:val="004A6628"/>
    <w:rsid w:val="004A6771"/>
    <w:rsid w:val="004A7728"/>
    <w:rsid w:val="004A7B1D"/>
    <w:rsid w:val="004A7CFE"/>
    <w:rsid w:val="004B0C3C"/>
    <w:rsid w:val="004B0CA7"/>
    <w:rsid w:val="004B1552"/>
    <w:rsid w:val="004B1779"/>
    <w:rsid w:val="004B1796"/>
    <w:rsid w:val="004B2EE4"/>
    <w:rsid w:val="004B32B9"/>
    <w:rsid w:val="004B372F"/>
    <w:rsid w:val="004B38E8"/>
    <w:rsid w:val="004B3C71"/>
    <w:rsid w:val="004B44E1"/>
    <w:rsid w:val="004B44E3"/>
    <w:rsid w:val="004B4B59"/>
    <w:rsid w:val="004B4C65"/>
    <w:rsid w:val="004B5138"/>
    <w:rsid w:val="004B52AB"/>
    <w:rsid w:val="004B6740"/>
    <w:rsid w:val="004B7014"/>
    <w:rsid w:val="004B7038"/>
    <w:rsid w:val="004B71B4"/>
    <w:rsid w:val="004C0BF8"/>
    <w:rsid w:val="004C0C40"/>
    <w:rsid w:val="004C0FCD"/>
    <w:rsid w:val="004C1958"/>
    <w:rsid w:val="004C1C6D"/>
    <w:rsid w:val="004C2040"/>
    <w:rsid w:val="004C226B"/>
    <w:rsid w:val="004C233D"/>
    <w:rsid w:val="004C29A0"/>
    <w:rsid w:val="004C29F4"/>
    <w:rsid w:val="004C2BB8"/>
    <w:rsid w:val="004C356F"/>
    <w:rsid w:val="004C3658"/>
    <w:rsid w:val="004C457E"/>
    <w:rsid w:val="004C5247"/>
    <w:rsid w:val="004C554A"/>
    <w:rsid w:val="004C5DF4"/>
    <w:rsid w:val="004C606E"/>
    <w:rsid w:val="004C60E1"/>
    <w:rsid w:val="004C670C"/>
    <w:rsid w:val="004C68D6"/>
    <w:rsid w:val="004C6C51"/>
    <w:rsid w:val="004C6E90"/>
    <w:rsid w:val="004C75D2"/>
    <w:rsid w:val="004D03C9"/>
    <w:rsid w:val="004D098C"/>
    <w:rsid w:val="004D0F6F"/>
    <w:rsid w:val="004D0FAD"/>
    <w:rsid w:val="004D14ED"/>
    <w:rsid w:val="004D1858"/>
    <w:rsid w:val="004D1AB4"/>
    <w:rsid w:val="004D1D9C"/>
    <w:rsid w:val="004D250E"/>
    <w:rsid w:val="004D298C"/>
    <w:rsid w:val="004D2FA9"/>
    <w:rsid w:val="004D30D5"/>
    <w:rsid w:val="004D358A"/>
    <w:rsid w:val="004D3FE0"/>
    <w:rsid w:val="004D4153"/>
    <w:rsid w:val="004D415E"/>
    <w:rsid w:val="004D442B"/>
    <w:rsid w:val="004D44DA"/>
    <w:rsid w:val="004D4738"/>
    <w:rsid w:val="004D4875"/>
    <w:rsid w:val="004D4B60"/>
    <w:rsid w:val="004D5235"/>
    <w:rsid w:val="004D5288"/>
    <w:rsid w:val="004D578C"/>
    <w:rsid w:val="004D57F7"/>
    <w:rsid w:val="004D58C1"/>
    <w:rsid w:val="004D6338"/>
    <w:rsid w:val="004D67F1"/>
    <w:rsid w:val="004D6F3B"/>
    <w:rsid w:val="004D72EE"/>
    <w:rsid w:val="004D773D"/>
    <w:rsid w:val="004D7B0A"/>
    <w:rsid w:val="004E0019"/>
    <w:rsid w:val="004E0276"/>
    <w:rsid w:val="004E0429"/>
    <w:rsid w:val="004E084D"/>
    <w:rsid w:val="004E098E"/>
    <w:rsid w:val="004E0B84"/>
    <w:rsid w:val="004E1642"/>
    <w:rsid w:val="004E19BB"/>
    <w:rsid w:val="004E1ACE"/>
    <w:rsid w:val="004E209A"/>
    <w:rsid w:val="004E2A4E"/>
    <w:rsid w:val="004E30E0"/>
    <w:rsid w:val="004E386F"/>
    <w:rsid w:val="004E3BB1"/>
    <w:rsid w:val="004E3D80"/>
    <w:rsid w:val="004E43C4"/>
    <w:rsid w:val="004E4493"/>
    <w:rsid w:val="004E5CBF"/>
    <w:rsid w:val="004E61E9"/>
    <w:rsid w:val="004E6A15"/>
    <w:rsid w:val="004E709E"/>
    <w:rsid w:val="004E7126"/>
    <w:rsid w:val="004E72DB"/>
    <w:rsid w:val="004E7443"/>
    <w:rsid w:val="004E749B"/>
    <w:rsid w:val="004E7617"/>
    <w:rsid w:val="004F112C"/>
    <w:rsid w:val="004F1550"/>
    <w:rsid w:val="004F16F4"/>
    <w:rsid w:val="004F1A5C"/>
    <w:rsid w:val="004F1B49"/>
    <w:rsid w:val="004F1F59"/>
    <w:rsid w:val="004F231A"/>
    <w:rsid w:val="004F24B6"/>
    <w:rsid w:val="004F37E6"/>
    <w:rsid w:val="004F39E9"/>
    <w:rsid w:val="004F3BBA"/>
    <w:rsid w:val="004F3BE8"/>
    <w:rsid w:val="004F4698"/>
    <w:rsid w:val="004F49A8"/>
    <w:rsid w:val="004F5889"/>
    <w:rsid w:val="004F5F48"/>
    <w:rsid w:val="004F6035"/>
    <w:rsid w:val="004F68AE"/>
    <w:rsid w:val="00500180"/>
    <w:rsid w:val="005003B4"/>
    <w:rsid w:val="0050046C"/>
    <w:rsid w:val="00500534"/>
    <w:rsid w:val="0050055D"/>
    <w:rsid w:val="00500849"/>
    <w:rsid w:val="00500920"/>
    <w:rsid w:val="00500AD1"/>
    <w:rsid w:val="00500C6B"/>
    <w:rsid w:val="00500F23"/>
    <w:rsid w:val="00501067"/>
    <w:rsid w:val="005011FA"/>
    <w:rsid w:val="0050121D"/>
    <w:rsid w:val="00501551"/>
    <w:rsid w:val="005015D1"/>
    <w:rsid w:val="00501CED"/>
    <w:rsid w:val="00501F6E"/>
    <w:rsid w:val="00502A6A"/>
    <w:rsid w:val="00502E53"/>
    <w:rsid w:val="00503757"/>
    <w:rsid w:val="00503785"/>
    <w:rsid w:val="005044CE"/>
    <w:rsid w:val="005055A4"/>
    <w:rsid w:val="00505A2A"/>
    <w:rsid w:val="00505DF6"/>
    <w:rsid w:val="00505E4A"/>
    <w:rsid w:val="00506DFF"/>
    <w:rsid w:val="005074EB"/>
    <w:rsid w:val="0050759D"/>
    <w:rsid w:val="00507704"/>
    <w:rsid w:val="00510058"/>
    <w:rsid w:val="005102DB"/>
    <w:rsid w:val="00510718"/>
    <w:rsid w:val="00510EC2"/>
    <w:rsid w:val="00511462"/>
    <w:rsid w:val="005115D8"/>
    <w:rsid w:val="005118A3"/>
    <w:rsid w:val="0051216C"/>
    <w:rsid w:val="00513362"/>
    <w:rsid w:val="005138DC"/>
    <w:rsid w:val="0051396F"/>
    <w:rsid w:val="00513BC8"/>
    <w:rsid w:val="00513D3F"/>
    <w:rsid w:val="00513FBD"/>
    <w:rsid w:val="005141EA"/>
    <w:rsid w:val="00514890"/>
    <w:rsid w:val="00514A41"/>
    <w:rsid w:val="00515B23"/>
    <w:rsid w:val="005174C4"/>
    <w:rsid w:val="00517B77"/>
    <w:rsid w:val="00520C7D"/>
    <w:rsid w:val="00521605"/>
    <w:rsid w:val="005219D6"/>
    <w:rsid w:val="00522247"/>
    <w:rsid w:val="00522A64"/>
    <w:rsid w:val="00522E37"/>
    <w:rsid w:val="005230CF"/>
    <w:rsid w:val="0052315D"/>
    <w:rsid w:val="0052362C"/>
    <w:rsid w:val="00525549"/>
    <w:rsid w:val="00525643"/>
    <w:rsid w:val="0052582C"/>
    <w:rsid w:val="005258A3"/>
    <w:rsid w:val="00525D19"/>
    <w:rsid w:val="005265B1"/>
    <w:rsid w:val="0052662A"/>
    <w:rsid w:val="00526F41"/>
    <w:rsid w:val="0052744C"/>
    <w:rsid w:val="005301DC"/>
    <w:rsid w:val="005314D3"/>
    <w:rsid w:val="0053188F"/>
    <w:rsid w:val="005321DC"/>
    <w:rsid w:val="00532203"/>
    <w:rsid w:val="00532217"/>
    <w:rsid w:val="00532AE1"/>
    <w:rsid w:val="00532AEE"/>
    <w:rsid w:val="00532D85"/>
    <w:rsid w:val="0053303E"/>
    <w:rsid w:val="005335F4"/>
    <w:rsid w:val="0053529B"/>
    <w:rsid w:val="00535832"/>
    <w:rsid w:val="00537195"/>
    <w:rsid w:val="0053778C"/>
    <w:rsid w:val="00537E2B"/>
    <w:rsid w:val="0054004E"/>
    <w:rsid w:val="00540786"/>
    <w:rsid w:val="00540A2F"/>
    <w:rsid w:val="00540AD2"/>
    <w:rsid w:val="00541177"/>
    <w:rsid w:val="005413F8"/>
    <w:rsid w:val="00541A39"/>
    <w:rsid w:val="00541D0B"/>
    <w:rsid w:val="00541E2A"/>
    <w:rsid w:val="0054223A"/>
    <w:rsid w:val="00542580"/>
    <w:rsid w:val="005427DB"/>
    <w:rsid w:val="00542908"/>
    <w:rsid w:val="00542D1C"/>
    <w:rsid w:val="00542E67"/>
    <w:rsid w:val="00543497"/>
    <w:rsid w:val="005435B9"/>
    <w:rsid w:val="00543C5D"/>
    <w:rsid w:val="00543DA7"/>
    <w:rsid w:val="00544677"/>
    <w:rsid w:val="00544D0B"/>
    <w:rsid w:val="00545043"/>
    <w:rsid w:val="0054632D"/>
    <w:rsid w:val="005476B4"/>
    <w:rsid w:val="005477BD"/>
    <w:rsid w:val="00550A69"/>
    <w:rsid w:val="00550D32"/>
    <w:rsid w:val="00550E0C"/>
    <w:rsid w:val="005513CD"/>
    <w:rsid w:val="005518F2"/>
    <w:rsid w:val="00553068"/>
    <w:rsid w:val="00553A42"/>
    <w:rsid w:val="00553AC7"/>
    <w:rsid w:val="005540B4"/>
    <w:rsid w:val="00554275"/>
    <w:rsid w:val="0055484A"/>
    <w:rsid w:val="00554D44"/>
    <w:rsid w:val="00554EFA"/>
    <w:rsid w:val="005555D8"/>
    <w:rsid w:val="0055587E"/>
    <w:rsid w:val="005559AF"/>
    <w:rsid w:val="00555BCB"/>
    <w:rsid w:val="005561AF"/>
    <w:rsid w:val="0055623A"/>
    <w:rsid w:val="00556249"/>
    <w:rsid w:val="005566FB"/>
    <w:rsid w:val="0055681D"/>
    <w:rsid w:val="005568FE"/>
    <w:rsid w:val="00556F73"/>
    <w:rsid w:val="005571D1"/>
    <w:rsid w:val="005600A7"/>
    <w:rsid w:val="005606F8"/>
    <w:rsid w:val="00560A00"/>
    <w:rsid w:val="00560F39"/>
    <w:rsid w:val="00561C7F"/>
    <w:rsid w:val="00561C87"/>
    <w:rsid w:val="005629C4"/>
    <w:rsid w:val="005630F5"/>
    <w:rsid w:val="00563256"/>
    <w:rsid w:val="005638E7"/>
    <w:rsid w:val="00564126"/>
    <w:rsid w:val="005641B1"/>
    <w:rsid w:val="00564B19"/>
    <w:rsid w:val="00564BEB"/>
    <w:rsid w:val="00564EAE"/>
    <w:rsid w:val="0056535B"/>
    <w:rsid w:val="00565649"/>
    <w:rsid w:val="0056613B"/>
    <w:rsid w:val="005663C6"/>
    <w:rsid w:val="005664A1"/>
    <w:rsid w:val="00567689"/>
    <w:rsid w:val="005676C8"/>
    <w:rsid w:val="005677DF"/>
    <w:rsid w:val="00567F38"/>
    <w:rsid w:val="00570A85"/>
    <w:rsid w:val="00570CD2"/>
    <w:rsid w:val="00570FFF"/>
    <w:rsid w:val="0057115E"/>
    <w:rsid w:val="005711DC"/>
    <w:rsid w:val="00571480"/>
    <w:rsid w:val="00572148"/>
    <w:rsid w:val="00572479"/>
    <w:rsid w:val="00572FC6"/>
    <w:rsid w:val="00573130"/>
    <w:rsid w:val="00573805"/>
    <w:rsid w:val="00573D8A"/>
    <w:rsid w:val="00574094"/>
    <w:rsid w:val="00574367"/>
    <w:rsid w:val="0057484C"/>
    <w:rsid w:val="00574AAE"/>
    <w:rsid w:val="005750D0"/>
    <w:rsid w:val="00575216"/>
    <w:rsid w:val="00575265"/>
    <w:rsid w:val="0057579A"/>
    <w:rsid w:val="005757F2"/>
    <w:rsid w:val="00575979"/>
    <w:rsid w:val="00575A8D"/>
    <w:rsid w:val="00575AAC"/>
    <w:rsid w:val="00575C32"/>
    <w:rsid w:val="0057612C"/>
    <w:rsid w:val="00576204"/>
    <w:rsid w:val="005762E9"/>
    <w:rsid w:val="00576443"/>
    <w:rsid w:val="00576675"/>
    <w:rsid w:val="005768B4"/>
    <w:rsid w:val="0057695E"/>
    <w:rsid w:val="005769AC"/>
    <w:rsid w:val="005772DC"/>
    <w:rsid w:val="00577AAC"/>
    <w:rsid w:val="00577EB1"/>
    <w:rsid w:val="005800DE"/>
    <w:rsid w:val="005809D9"/>
    <w:rsid w:val="00580B6E"/>
    <w:rsid w:val="00581A11"/>
    <w:rsid w:val="00582076"/>
    <w:rsid w:val="005823EF"/>
    <w:rsid w:val="00582579"/>
    <w:rsid w:val="00582AB4"/>
    <w:rsid w:val="00582C75"/>
    <w:rsid w:val="0058302B"/>
    <w:rsid w:val="005837E5"/>
    <w:rsid w:val="005839E3"/>
    <w:rsid w:val="005846EE"/>
    <w:rsid w:val="0058513D"/>
    <w:rsid w:val="00585388"/>
    <w:rsid w:val="0058590C"/>
    <w:rsid w:val="00585923"/>
    <w:rsid w:val="00585B16"/>
    <w:rsid w:val="00586270"/>
    <w:rsid w:val="00586FD2"/>
    <w:rsid w:val="00587471"/>
    <w:rsid w:val="0058793B"/>
    <w:rsid w:val="00587CE7"/>
    <w:rsid w:val="00590AFB"/>
    <w:rsid w:val="00590C03"/>
    <w:rsid w:val="00590D83"/>
    <w:rsid w:val="00591AB4"/>
    <w:rsid w:val="00591B64"/>
    <w:rsid w:val="00591D4F"/>
    <w:rsid w:val="00592AE4"/>
    <w:rsid w:val="00592D47"/>
    <w:rsid w:val="005934CF"/>
    <w:rsid w:val="005935EE"/>
    <w:rsid w:val="00593B76"/>
    <w:rsid w:val="00594667"/>
    <w:rsid w:val="005946FD"/>
    <w:rsid w:val="005949F7"/>
    <w:rsid w:val="005957ED"/>
    <w:rsid w:val="00595F26"/>
    <w:rsid w:val="0059654F"/>
    <w:rsid w:val="005965F5"/>
    <w:rsid w:val="00597242"/>
    <w:rsid w:val="00597621"/>
    <w:rsid w:val="005978E7"/>
    <w:rsid w:val="005A0447"/>
    <w:rsid w:val="005A1074"/>
    <w:rsid w:val="005A1319"/>
    <w:rsid w:val="005A14E6"/>
    <w:rsid w:val="005A16D8"/>
    <w:rsid w:val="005A1932"/>
    <w:rsid w:val="005A2081"/>
    <w:rsid w:val="005A23EC"/>
    <w:rsid w:val="005A2B7A"/>
    <w:rsid w:val="005A3298"/>
    <w:rsid w:val="005A3576"/>
    <w:rsid w:val="005A3EF7"/>
    <w:rsid w:val="005A5DD6"/>
    <w:rsid w:val="005A66DD"/>
    <w:rsid w:val="005A6B84"/>
    <w:rsid w:val="005A6EB6"/>
    <w:rsid w:val="005A6EB7"/>
    <w:rsid w:val="005A72D4"/>
    <w:rsid w:val="005A7A5B"/>
    <w:rsid w:val="005A7DD3"/>
    <w:rsid w:val="005B04BF"/>
    <w:rsid w:val="005B0CC1"/>
    <w:rsid w:val="005B1421"/>
    <w:rsid w:val="005B15CB"/>
    <w:rsid w:val="005B1958"/>
    <w:rsid w:val="005B1B41"/>
    <w:rsid w:val="005B1D72"/>
    <w:rsid w:val="005B1FB3"/>
    <w:rsid w:val="005B26B4"/>
    <w:rsid w:val="005B3343"/>
    <w:rsid w:val="005B373F"/>
    <w:rsid w:val="005B3E37"/>
    <w:rsid w:val="005B42EF"/>
    <w:rsid w:val="005B4781"/>
    <w:rsid w:val="005B4AB1"/>
    <w:rsid w:val="005B4B75"/>
    <w:rsid w:val="005B6F35"/>
    <w:rsid w:val="005B7683"/>
    <w:rsid w:val="005B7A0A"/>
    <w:rsid w:val="005C010A"/>
    <w:rsid w:val="005C024E"/>
    <w:rsid w:val="005C056E"/>
    <w:rsid w:val="005C0FA3"/>
    <w:rsid w:val="005C14E8"/>
    <w:rsid w:val="005C18F0"/>
    <w:rsid w:val="005C1E6F"/>
    <w:rsid w:val="005C2355"/>
    <w:rsid w:val="005C23DB"/>
    <w:rsid w:val="005C2945"/>
    <w:rsid w:val="005C2DC9"/>
    <w:rsid w:val="005C2F27"/>
    <w:rsid w:val="005C351A"/>
    <w:rsid w:val="005C396F"/>
    <w:rsid w:val="005C3B32"/>
    <w:rsid w:val="005C454A"/>
    <w:rsid w:val="005C455B"/>
    <w:rsid w:val="005C4778"/>
    <w:rsid w:val="005C486A"/>
    <w:rsid w:val="005C49CC"/>
    <w:rsid w:val="005C4C13"/>
    <w:rsid w:val="005C4C7E"/>
    <w:rsid w:val="005C4F6A"/>
    <w:rsid w:val="005C4F94"/>
    <w:rsid w:val="005C5227"/>
    <w:rsid w:val="005C5342"/>
    <w:rsid w:val="005C5C8F"/>
    <w:rsid w:val="005C6232"/>
    <w:rsid w:val="005C6386"/>
    <w:rsid w:val="005C71A7"/>
    <w:rsid w:val="005D02ED"/>
    <w:rsid w:val="005D0671"/>
    <w:rsid w:val="005D06C0"/>
    <w:rsid w:val="005D0DB5"/>
    <w:rsid w:val="005D1330"/>
    <w:rsid w:val="005D1C6A"/>
    <w:rsid w:val="005D1D5F"/>
    <w:rsid w:val="005D28D6"/>
    <w:rsid w:val="005D2E68"/>
    <w:rsid w:val="005D30FA"/>
    <w:rsid w:val="005D3488"/>
    <w:rsid w:val="005D3D06"/>
    <w:rsid w:val="005D3FBE"/>
    <w:rsid w:val="005D5532"/>
    <w:rsid w:val="005D5618"/>
    <w:rsid w:val="005D5776"/>
    <w:rsid w:val="005D5F42"/>
    <w:rsid w:val="005D61BB"/>
    <w:rsid w:val="005D65B3"/>
    <w:rsid w:val="005D67D0"/>
    <w:rsid w:val="005D6BC5"/>
    <w:rsid w:val="005D7C19"/>
    <w:rsid w:val="005E061A"/>
    <w:rsid w:val="005E07AD"/>
    <w:rsid w:val="005E0E1F"/>
    <w:rsid w:val="005E1C79"/>
    <w:rsid w:val="005E203D"/>
    <w:rsid w:val="005E22CF"/>
    <w:rsid w:val="005E3065"/>
    <w:rsid w:val="005E30C7"/>
    <w:rsid w:val="005E3775"/>
    <w:rsid w:val="005E3960"/>
    <w:rsid w:val="005E3B0B"/>
    <w:rsid w:val="005E3E3E"/>
    <w:rsid w:val="005E40ED"/>
    <w:rsid w:val="005E451E"/>
    <w:rsid w:val="005E487E"/>
    <w:rsid w:val="005E4EB5"/>
    <w:rsid w:val="005E4F7A"/>
    <w:rsid w:val="005E526B"/>
    <w:rsid w:val="005E596B"/>
    <w:rsid w:val="005E788C"/>
    <w:rsid w:val="005F035A"/>
    <w:rsid w:val="005F0AC3"/>
    <w:rsid w:val="005F0EFF"/>
    <w:rsid w:val="005F12E7"/>
    <w:rsid w:val="005F1BB0"/>
    <w:rsid w:val="005F1F42"/>
    <w:rsid w:val="005F219B"/>
    <w:rsid w:val="005F2A3C"/>
    <w:rsid w:val="005F2E87"/>
    <w:rsid w:val="005F347B"/>
    <w:rsid w:val="005F3B77"/>
    <w:rsid w:val="005F4853"/>
    <w:rsid w:val="005F4AB0"/>
    <w:rsid w:val="005F4AC0"/>
    <w:rsid w:val="005F585C"/>
    <w:rsid w:val="005F58B3"/>
    <w:rsid w:val="005F5EB5"/>
    <w:rsid w:val="005F6D7B"/>
    <w:rsid w:val="005F743E"/>
    <w:rsid w:val="005F7FE2"/>
    <w:rsid w:val="00600123"/>
    <w:rsid w:val="00600A19"/>
    <w:rsid w:val="00600B56"/>
    <w:rsid w:val="00601685"/>
    <w:rsid w:val="00601ECC"/>
    <w:rsid w:val="00601EFA"/>
    <w:rsid w:val="00602DA3"/>
    <w:rsid w:val="00602E89"/>
    <w:rsid w:val="00603C3E"/>
    <w:rsid w:val="00604543"/>
    <w:rsid w:val="00604760"/>
    <w:rsid w:val="00604A74"/>
    <w:rsid w:val="006051FB"/>
    <w:rsid w:val="00605909"/>
    <w:rsid w:val="006062FB"/>
    <w:rsid w:val="006064B1"/>
    <w:rsid w:val="0060741C"/>
    <w:rsid w:val="00607D8E"/>
    <w:rsid w:val="00610651"/>
    <w:rsid w:val="006107D2"/>
    <w:rsid w:val="00610A2F"/>
    <w:rsid w:val="00610C5A"/>
    <w:rsid w:val="0061106B"/>
    <w:rsid w:val="006112DE"/>
    <w:rsid w:val="00611878"/>
    <w:rsid w:val="00611F53"/>
    <w:rsid w:val="00612375"/>
    <w:rsid w:val="00612456"/>
    <w:rsid w:val="00612AB0"/>
    <w:rsid w:val="006134A7"/>
    <w:rsid w:val="00613666"/>
    <w:rsid w:val="00613709"/>
    <w:rsid w:val="0061380C"/>
    <w:rsid w:val="00613A1A"/>
    <w:rsid w:val="0061445B"/>
    <w:rsid w:val="00614A2C"/>
    <w:rsid w:val="00614BDF"/>
    <w:rsid w:val="006153BA"/>
    <w:rsid w:val="0061561A"/>
    <w:rsid w:val="0061570E"/>
    <w:rsid w:val="00615DD9"/>
    <w:rsid w:val="00616938"/>
    <w:rsid w:val="00616BE0"/>
    <w:rsid w:val="00616C12"/>
    <w:rsid w:val="00616E0B"/>
    <w:rsid w:val="0061744F"/>
    <w:rsid w:val="00617C31"/>
    <w:rsid w:val="00617EC4"/>
    <w:rsid w:val="0062021D"/>
    <w:rsid w:val="0062047C"/>
    <w:rsid w:val="0062084B"/>
    <w:rsid w:val="00620BE3"/>
    <w:rsid w:val="00620E7D"/>
    <w:rsid w:val="006212E8"/>
    <w:rsid w:val="006214D5"/>
    <w:rsid w:val="00621C55"/>
    <w:rsid w:val="00621FE6"/>
    <w:rsid w:val="00622A5E"/>
    <w:rsid w:val="006235DE"/>
    <w:rsid w:val="00623A55"/>
    <w:rsid w:val="006240D3"/>
    <w:rsid w:val="00624239"/>
    <w:rsid w:val="00624872"/>
    <w:rsid w:val="00624B58"/>
    <w:rsid w:val="00624BB5"/>
    <w:rsid w:val="0062537E"/>
    <w:rsid w:val="006261C7"/>
    <w:rsid w:val="00626E4D"/>
    <w:rsid w:val="006270F4"/>
    <w:rsid w:val="00627318"/>
    <w:rsid w:val="00630C75"/>
    <w:rsid w:val="00630EA1"/>
    <w:rsid w:val="00631541"/>
    <w:rsid w:val="00631BA1"/>
    <w:rsid w:val="0063251D"/>
    <w:rsid w:val="006325B8"/>
    <w:rsid w:val="0063277A"/>
    <w:rsid w:val="00632989"/>
    <w:rsid w:val="00632C5C"/>
    <w:rsid w:val="006330C4"/>
    <w:rsid w:val="006335A1"/>
    <w:rsid w:val="00633B0E"/>
    <w:rsid w:val="006342C4"/>
    <w:rsid w:val="0063430F"/>
    <w:rsid w:val="00634833"/>
    <w:rsid w:val="00634A16"/>
    <w:rsid w:val="00634DB2"/>
    <w:rsid w:val="00636365"/>
    <w:rsid w:val="00636558"/>
    <w:rsid w:val="00637081"/>
    <w:rsid w:val="00637107"/>
    <w:rsid w:val="00637AA2"/>
    <w:rsid w:val="00637E69"/>
    <w:rsid w:val="00640232"/>
    <w:rsid w:val="0064039F"/>
    <w:rsid w:val="00640453"/>
    <w:rsid w:val="00640456"/>
    <w:rsid w:val="006404E4"/>
    <w:rsid w:val="00641673"/>
    <w:rsid w:val="006419B3"/>
    <w:rsid w:val="00642A55"/>
    <w:rsid w:val="00642DE5"/>
    <w:rsid w:val="0064305A"/>
    <w:rsid w:val="006431B3"/>
    <w:rsid w:val="00643818"/>
    <w:rsid w:val="00643C3C"/>
    <w:rsid w:val="00643C66"/>
    <w:rsid w:val="006444A3"/>
    <w:rsid w:val="00644C71"/>
    <w:rsid w:val="0064509B"/>
    <w:rsid w:val="006450CA"/>
    <w:rsid w:val="0064532C"/>
    <w:rsid w:val="00645CC8"/>
    <w:rsid w:val="00646F47"/>
    <w:rsid w:val="006470DF"/>
    <w:rsid w:val="00647D74"/>
    <w:rsid w:val="00650E9B"/>
    <w:rsid w:val="00652204"/>
    <w:rsid w:val="0065250E"/>
    <w:rsid w:val="00652549"/>
    <w:rsid w:val="00652FD6"/>
    <w:rsid w:val="00653335"/>
    <w:rsid w:val="00653C7A"/>
    <w:rsid w:val="00653F9E"/>
    <w:rsid w:val="00654153"/>
    <w:rsid w:val="006547CF"/>
    <w:rsid w:val="00654FEE"/>
    <w:rsid w:val="00655265"/>
    <w:rsid w:val="00655FBB"/>
    <w:rsid w:val="006560A8"/>
    <w:rsid w:val="0065622E"/>
    <w:rsid w:val="0065727E"/>
    <w:rsid w:val="00657D0F"/>
    <w:rsid w:val="00660164"/>
    <w:rsid w:val="006604F3"/>
    <w:rsid w:val="006607F5"/>
    <w:rsid w:val="00660AAB"/>
    <w:rsid w:val="00661D3D"/>
    <w:rsid w:val="0066222F"/>
    <w:rsid w:val="00662F2B"/>
    <w:rsid w:val="0066305C"/>
    <w:rsid w:val="006630B9"/>
    <w:rsid w:val="00663405"/>
    <w:rsid w:val="00663731"/>
    <w:rsid w:val="00664178"/>
    <w:rsid w:val="00664CC3"/>
    <w:rsid w:val="00664E9E"/>
    <w:rsid w:val="00664EE3"/>
    <w:rsid w:val="00665039"/>
    <w:rsid w:val="0066514F"/>
    <w:rsid w:val="006663F5"/>
    <w:rsid w:val="00666DA2"/>
    <w:rsid w:val="00667898"/>
    <w:rsid w:val="00667F63"/>
    <w:rsid w:val="0067045F"/>
    <w:rsid w:val="00670D08"/>
    <w:rsid w:val="00670E29"/>
    <w:rsid w:val="00670E37"/>
    <w:rsid w:val="00671355"/>
    <w:rsid w:val="0067194D"/>
    <w:rsid w:val="00671D8C"/>
    <w:rsid w:val="00671FCF"/>
    <w:rsid w:val="006722D7"/>
    <w:rsid w:val="006724E8"/>
    <w:rsid w:val="00673166"/>
    <w:rsid w:val="00673B4C"/>
    <w:rsid w:val="00674C3B"/>
    <w:rsid w:val="00674FAB"/>
    <w:rsid w:val="0067609A"/>
    <w:rsid w:val="00676609"/>
    <w:rsid w:val="00677218"/>
    <w:rsid w:val="0067754A"/>
    <w:rsid w:val="006775FA"/>
    <w:rsid w:val="00680527"/>
    <w:rsid w:val="00680767"/>
    <w:rsid w:val="00680BF5"/>
    <w:rsid w:val="00680F6B"/>
    <w:rsid w:val="0068101D"/>
    <w:rsid w:val="00681612"/>
    <w:rsid w:val="0068190A"/>
    <w:rsid w:val="00681ACA"/>
    <w:rsid w:val="0068219C"/>
    <w:rsid w:val="006823FB"/>
    <w:rsid w:val="006828DB"/>
    <w:rsid w:val="00682A91"/>
    <w:rsid w:val="00682CB2"/>
    <w:rsid w:val="006837C9"/>
    <w:rsid w:val="006837F2"/>
    <w:rsid w:val="00683980"/>
    <w:rsid w:val="00683FBB"/>
    <w:rsid w:val="0068437A"/>
    <w:rsid w:val="006845C8"/>
    <w:rsid w:val="00684856"/>
    <w:rsid w:val="00684B80"/>
    <w:rsid w:val="006851DB"/>
    <w:rsid w:val="0068544E"/>
    <w:rsid w:val="006854F4"/>
    <w:rsid w:val="006859B8"/>
    <w:rsid w:val="00686A0F"/>
    <w:rsid w:val="00686A8A"/>
    <w:rsid w:val="00686AA2"/>
    <w:rsid w:val="006872B7"/>
    <w:rsid w:val="00687438"/>
    <w:rsid w:val="006878FA"/>
    <w:rsid w:val="00687D32"/>
    <w:rsid w:val="0069033E"/>
    <w:rsid w:val="00691099"/>
    <w:rsid w:val="006913C4"/>
    <w:rsid w:val="006915E3"/>
    <w:rsid w:val="006920FD"/>
    <w:rsid w:val="006921A0"/>
    <w:rsid w:val="006921AA"/>
    <w:rsid w:val="00692E3D"/>
    <w:rsid w:val="006936DE"/>
    <w:rsid w:val="00693871"/>
    <w:rsid w:val="00694260"/>
    <w:rsid w:val="00694592"/>
    <w:rsid w:val="00694599"/>
    <w:rsid w:val="00694A81"/>
    <w:rsid w:val="00694C69"/>
    <w:rsid w:val="00695641"/>
    <w:rsid w:val="006956FF"/>
    <w:rsid w:val="0069591A"/>
    <w:rsid w:val="00695BF9"/>
    <w:rsid w:val="006960C9"/>
    <w:rsid w:val="00696A53"/>
    <w:rsid w:val="00696CD4"/>
    <w:rsid w:val="00696E2C"/>
    <w:rsid w:val="00696F5E"/>
    <w:rsid w:val="006976EB"/>
    <w:rsid w:val="006977B7"/>
    <w:rsid w:val="00697BA6"/>
    <w:rsid w:val="00697F8D"/>
    <w:rsid w:val="006A01EE"/>
    <w:rsid w:val="006A03A5"/>
    <w:rsid w:val="006A03AB"/>
    <w:rsid w:val="006A07E8"/>
    <w:rsid w:val="006A1A02"/>
    <w:rsid w:val="006A1FB7"/>
    <w:rsid w:val="006A2812"/>
    <w:rsid w:val="006A2F71"/>
    <w:rsid w:val="006A314E"/>
    <w:rsid w:val="006A317D"/>
    <w:rsid w:val="006A34A2"/>
    <w:rsid w:val="006A3B80"/>
    <w:rsid w:val="006A4125"/>
    <w:rsid w:val="006A4972"/>
    <w:rsid w:val="006A4C40"/>
    <w:rsid w:val="006A4E96"/>
    <w:rsid w:val="006A577A"/>
    <w:rsid w:val="006A5F7C"/>
    <w:rsid w:val="006A5FDF"/>
    <w:rsid w:val="006A6273"/>
    <w:rsid w:val="006A63C6"/>
    <w:rsid w:val="006A671A"/>
    <w:rsid w:val="006A740B"/>
    <w:rsid w:val="006A787B"/>
    <w:rsid w:val="006A78BE"/>
    <w:rsid w:val="006B0F4F"/>
    <w:rsid w:val="006B0F6C"/>
    <w:rsid w:val="006B1334"/>
    <w:rsid w:val="006B162D"/>
    <w:rsid w:val="006B18B3"/>
    <w:rsid w:val="006B1A0F"/>
    <w:rsid w:val="006B289B"/>
    <w:rsid w:val="006B36A3"/>
    <w:rsid w:val="006B39C5"/>
    <w:rsid w:val="006B4034"/>
    <w:rsid w:val="006B5A71"/>
    <w:rsid w:val="006B5B19"/>
    <w:rsid w:val="006B6788"/>
    <w:rsid w:val="006B6C36"/>
    <w:rsid w:val="006B6DA2"/>
    <w:rsid w:val="006B7926"/>
    <w:rsid w:val="006C076F"/>
    <w:rsid w:val="006C0B64"/>
    <w:rsid w:val="006C0BDC"/>
    <w:rsid w:val="006C0CBF"/>
    <w:rsid w:val="006C0D56"/>
    <w:rsid w:val="006C1222"/>
    <w:rsid w:val="006C1DAF"/>
    <w:rsid w:val="006C25DD"/>
    <w:rsid w:val="006C3D3C"/>
    <w:rsid w:val="006C3E93"/>
    <w:rsid w:val="006C45C1"/>
    <w:rsid w:val="006C53E1"/>
    <w:rsid w:val="006C5EA7"/>
    <w:rsid w:val="006C60D3"/>
    <w:rsid w:val="006C6AE5"/>
    <w:rsid w:val="006C6FDE"/>
    <w:rsid w:val="006C7275"/>
    <w:rsid w:val="006C79EE"/>
    <w:rsid w:val="006C7F5C"/>
    <w:rsid w:val="006D0205"/>
    <w:rsid w:val="006D0911"/>
    <w:rsid w:val="006D1220"/>
    <w:rsid w:val="006D1929"/>
    <w:rsid w:val="006D1DAB"/>
    <w:rsid w:val="006D21DE"/>
    <w:rsid w:val="006D2376"/>
    <w:rsid w:val="006D23E0"/>
    <w:rsid w:val="006D256F"/>
    <w:rsid w:val="006D34CE"/>
    <w:rsid w:val="006D3CCE"/>
    <w:rsid w:val="006D3F99"/>
    <w:rsid w:val="006D43F8"/>
    <w:rsid w:val="006D540B"/>
    <w:rsid w:val="006D5871"/>
    <w:rsid w:val="006D5A9B"/>
    <w:rsid w:val="006D5C98"/>
    <w:rsid w:val="006D6086"/>
    <w:rsid w:val="006D6167"/>
    <w:rsid w:val="006D68E6"/>
    <w:rsid w:val="006D6AF2"/>
    <w:rsid w:val="006D7173"/>
    <w:rsid w:val="006D72C0"/>
    <w:rsid w:val="006E007E"/>
    <w:rsid w:val="006E08B1"/>
    <w:rsid w:val="006E12E6"/>
    <w:rsid w:val="006E135B"/>
    <w:rsid w:val="006E1D44"/>
    <w:rsid w:val="006E3737"/>
    <w:rsid w:val="006E384A"/>
    <w:rsid w:val="006E3A26"/>
    <w:rsid w:val="006E3B01"/>
    <w:rsid w:val="006E408D"/>
    <w:rsid w:val="006E5396"/>
    <w:rsid w:val="006E66FE"/>
    <w:rsid w:val="006E6DDD"/>
    <w:rsid w:val="006E76E0"/>
    <w:rsid w:val="006F1399"/>
    <w:rsid w:val="006F16C7"/>
    <w:rsid w:val="006F1AD5"/>
    <w:rsid w:val="006F1C17"/>
    <w:rsid w:val="006F22C9"/>
    <w:rsid w:val="006F230B"/>
    <w:rsid w:val="006F23EF"/>
    <w:rsid w:val="006F2756"/>
    <w:rsid w:val="006F2985"/>
    <w:rsid w:val="006F3882"/>
    <w:rsid w:val="006F39A6"/>
    <w:rsid w:val="006F3A6B"/>
    <w:rsid w:val="006F3BCD"/>
    <w:rsid w:val="006F427E"/>
    <w:rsid w:val="006F43BA"/>
    <w:rsid w:val="006F4AA6"/>
    <w:rsid w:val="006F4BB6"/>
    <w:rsid w:val="006F4FDA"/>
    <w:rsid w:val="006F56EE"/>
    <w:rsid w:val="006F5D62"/>
    <w:rsid w:val="006F5EDF"/>
    <w:rsid w:val="006F60E8"/>
    <w:rsid w:val="006F68B9"/>
    <w:rsid w:val="006F6D2F"/>
    <w:rsid w:val="006F7826"/>
    <w:rsid w:val="006F7C84"/>
    <w:rsid w:val="007002CB"/>
    <w:rsid w:val="007004DD"/>
    <w:rsid w:val="00700533"/>
    <w:rsid w:val="00700534"/>
    <w:rsid w:val="00700566"/>
    <w:rsid w:val="0070093F"/>
    <w:rsid w:val="00700CE3"/>
    <w:rsid w:val="00701B85"/>
    <w:rsid w:val="00701BF0"/>
    <w:rsid w:val="00701CCD"/>
    <w:rsid w:val="0070210A"/>
    <w:rsid w:val="007025FE"/>
    <w:rsid w:val="00702A35"/>
    <w:rsid w:val="00703B33"/>
    <w:rsid w:val="00703EE8"/>
    <w:rsid w:val="00704D97"/>
    <w:rsid w:val="00705E93"/>
    <w:rsid w:val="0070613A"/>
    <w:rsid w:val="0070636F"/>
    <w:rsid w:val="00706506"/>
    <w:rsid w:val="00707042"/>
    <w:rsid w:val="007070DB"/>
    <w:rsid w:val="00707E89"/>
    <w:rsid w:val="00710034"/>
    <w:rsid w:val="007105D0"/>
    <w:rsid w:val="007106DF"/>
    <w:rsid w:val="00710D07"/>
    <w:rsid w:val="0071150B"/>
    <w:rsid w:val="007116A9"/>
    <w:rsid w:val="00712472"/>
    <w:rsid w:val="00712A11"/>
    <w:rsid w:val="00712F9D"/>
    <w:rsid w:val="007140F9"/>
    <w:rsid w:val="0071493A"/>
    <w:rsid w:val="00714EE5"/>
    <w:rsid w:val="00715277"/>
    <w:rsid w:val="007153CE"/>
    <w:rsid w:val="007153D0"/>
    <w:rsid w:val="0071552D"/>
    <w:rsid w:val="00715975"/>
    <w:rsid w:val="0071704A"/>
    <w:rsid w:val="00717484"/>
    <w:rsid w:val="00717571"/>
    <w:rsid w:val="00717D03"/>
    <w:rsid w:val="00720A74"/>
    <w:rsid w:val="00720AB7"/>
    <w:rsid w:val="0072201A"/>
    <w:rsid w:val="00722C4D"/>
    <w:rsid w:val="00722C87"/>
    <w:rsid w:val="0072324F"/>
    <w:rsid w:val="00723737"/>
    <w:rsid w:val="007239E3"/>
    <w:rsid w:val="007239E5"/>
    <w:rsid w:val="007240E6"/>
    <w:rsid w:val="00724A69"/>
    <w:rsid w:val="00724C5B"/>
    <w:rsid w:val="00724EA5"/>
    <w:rsid w:val="0072530F"/>
    <w:rsid w:val="00725420"/>
    <w:rsid w:val="0072556A"/>
    <w:rsid w:val="00725A72"/>
    <w:rsid w:val="00725B92"/>
    <w:rsid w:val="00726711"/>
    <w:rsid w:val="00726937"/>
    <w:rsid w:val="00726C3A"/>
    <w:rsid w:val="00727220"/>
    <w:rsid w:val="0072759D"/>
    <w:rsid w:val="00730019"/>
    <w:rsid w:val="0073039E"/>
    <w:rsid w:val="007310EF"/>
    <w:rsid w:val="0073131C"/>
    <w:rsid w:val="007316AC"/>
    <w:rsid w:val="007320C7"/>
    <w:rsid w:val="00732B6C"/>
    <w:rsid w:val="00732F18"/>
    <w:rsid w:val="0073315F"/>
    <w:rsid w:val="0073345F"/>
    <w:rsid w:val="007337FB"/>
    <w:rsid w:val="00733D64"/>
    <w:rsid w:val="00734D1E"/>
    <w:rsid w:val="007354C5"/>
    <w:rsid w:val="0073583B"/>
    <w:rsid w:val="00735A48"/>
    <w:rsid w:val="00735D4B"/>
    <w:rsid w:val="007369B6"/>
    <w:rsid w:val="00736CA6"/>
    <w:rsid w:val="00736FFA"/>
    <w:rsid w:val="007375AA"/>
    <w:rsid w:val="00737DAB"/>
    <w:rsid w:val="00737FB9"/>
    <w:rsid w:val="0074042A"/>
    <w:rsid w:val="007405B3"/>
    <w:rsid w:val="007407B3"/>
    <w:rsid w:val="00741618"/>
    <w:rsid w:val="007425CE"/>
    <w:rsid w:val="007426AD"/>
    <w:rsid w:val="00742C93"/>
    <w:rsid w:val="00743FA9"/>
    <w:rsid w:val="00744278"/>
    <w:rsid w:val="00744725"/>
    <w:rsid w:val="00744979"/>
    <w:rsid w:val="00744C41"/>
    <w:rsid w:val="00744CDB"/>
    <w:rsid w:val="00744E9C"/>
    <w:rsid w:val="00745C6A"/>
    <w:rsid w:val="00745F38"/>
    <w:rsid w:val="0074692B"/>
    <w:rsid w:val="007469B3"/>
    <w:rsid w:val="00746AFE"/>
    <w:rsid w:val="0074775E"/>
    <w:rsid w:val="00747E06"/>
    <w:rsid w:val="00750B12"/>
    <w:rsid w:val="007521CC"/>
    <w:rsid w:val="00752541"/>
    <w:rsid w:val="00752A92"/>
    <w:rsid w:val="00752CA3"/>
    <w:rsid w:val="00752EC2"/>
    <w:rsid w:val="007530DA"/>
    <w:rsid w:val="00753345"/>
    <w:rsid w:val="00753D81"/>
    <w:rsid w:val="00753F2D"/>
    <w:rsid w:val="00754FA8"/>
    <w:rsid w:val="0075579F"/>
    <w:rsid w:val="0075597C"/>
    <w:rsid w:val="007559A2"/>
    <w:rsid w:val="00755B76"/>
    <w:rsid w:val="00755D98"/>
    <w:rsid w:val="00756567"/>
    <w:rsid w:val="007566E6"/>
    <w:rsid w:val="007569C6"/>
    <w:rsid w:val="00756D18"/>
    <w:rsid w:val="00757369"/>
    <w:rsid w:val="00757ACF"/>
    <w:rsid w:val="00757DA6"/>
    <w:rsid w:val="0076013E"/>
    <w:rsid w:val="007612FC"/>
    <w:rsid w:val="00761B6B"/>
    <w:rsid w:val="00761C2E"/>
    <w:rsid w:val="00761DAD"/>
    <w:rsid w:val="00761DD9"/>
    <w:rsid w:val="007630F1"/>
    <w:rsid w:val="007641E8"/>
    <w:rsid w:val="00764658"/>
    <w:rsid w:val="00764952"/>
    <w:rsid w:val="00764EEC"/>
    <w:rsid w:val="007653C2"/>
    <w:rsid w:val="007658FC"/>
    <w:rsid w:val="00765E96"/>
    <w:rsid w:val="00766396"/>
    <w:rsid w:val="007669C5"/>
    <w:rsid w:val="007672DC"/>
    <w:rsid w:val="00767558"/>
    <w:rsid w:val="00767811"/>
    <w:rsid w:val="00767FCA"/>
    <w:rsid w:val="0077051C"/>
    <w:rsid w:val="0077064D"/>
    <w:rsid w:val="007708C6"/>
    <w:rsid w:val="00771D37"/>
    <w:rsid w:val="00771DBB"/>
    <w:rsid w:val="007721CF"/>
    <w:rsid w:val="00772A42"/>
    <w:rsid w:val="00772BC6"/>
    <w:rsid w:val="00772F4F"/>
    <w:rsid w:val="0077345E"/>
    <w:rsid w:val="00773537"/>
    <w:rsid w:val="00773EFD"/>
    <w:rsid w:val="00774744"/>
    <w:rsid w:val="00774832"/>
    <w:rsid w:val="00774EF3"/>
    <w:rsid w:val="00775229"/>
    <w:rsid w:val="0077535A"/>
    <w:rsid w:val="00775399"/>
    <w:rsid w:val="00775542"/>
    <w:rsid w:val="00775CED"/>
    <w:rsid w:val="00775D51"/>
    <w:rsid w:val="00776347"/>
    <w:rsid w:val="00776A43"/>
    <w:rsid w:val="00777267"/>
    <w:rsid w:val="00777322"/>
    <w:rsid w:val="007775F7"/>
    <w:rsid w:val="00777B14"/>
    <w:rsid w:val="00777D8A"/>
    <w:rsid w:val="00777E69"/>
    <w:rsid w:val="00781503"/>
    <w:rsid w:val="007819E1"/>
    <w:rsid w:val="00781CE2"/>
    <w:rsid w:val="007820EE"/>
    <w:rsid w:val="00782B94"/>
    <w:rsid w:val="0078333D"/>
    <w:rsid w:val="007837C1"/>
    <w:rsid w:val="007839AA"/>
    <w:rsid w:val="00784B80"/>
    <w:rsid w:val="0078577F"/>
    <w:rsid w:val="00785837"/>
    <w:rsid w:val="00786096"/>
    <w:rsid w:val="00786B3F"/>
    <w:rsid w:val="00786C86"/>
    <w:rsid w:val="00786E2B"/>
    <w:rsid w:val="0078773F"/>
    <w:rsid w:val="0078792A"/>
    <w:rsid w:val="00787959"/>
    <w:rsid w:val="00790392"/>
    <w:rsid w:val="0079059D"/>
    <w:rsid w:val="0079082A"/>
    <w:rsid w:val="007908B8"/>
    <w:rsid w:val="00790D11"/>
    <w:rsid w:val="00790E94"/>
    <w:rsid w:val="00792C91"/>
    <w:rsid w:val="0079307F"/>
    <w:rsid w:val="007933A4"/>
    <w:rsid w:val="00793C1B"/>
    <w:rsid w:val="007943FF"/>
    <w:rsid w:val="00794D72"/>
    <w:rsid w:val="00794E2F"/>
    <w:rsid w:val="0079521D"/>
    <w:rsid w:val="00795265"/>
    <w:rsid w:val="0079576A"/>
    <w:rsid w:val="007962D5"/>
    <w:rsid w:val="00796C77"/>
    <w:rsid w:val="00796F90"/>
    <w:rsid w:val="007977CC"/>
    <w:rsid w:val="007979AE"/>
    <w:rsid w:val="007A0002"/>
    <w:rsid w:val="007A1639"/>
    <w:rsid w:val="007A16FE"/>
    <w:rsid w:val="007A1AA9"/>
    <w:rsid w:val="007A1E78"/>
    <w:rsid w:val="007A1FD5"/>
    <w:rsid w:val="007A21D5"/>
    <w:rsid w:val="007A23AD"/>
    <w:rsid w:val="007A2AB7"/>
    <w:rsid w:val="007A3616"/>
    <w:rsid w:val="007A4074"/>
    <w:rsid w:val="007A5462"/>
    <w:rsid w:val="007A57A4"/>
    <w:rsid w:val="007A5ACD"/>
    <w:rsid w:val="007A5B48"/>
    <w:rsid w:val="007A5D77"/>
    <w:rsid w:val="007A64AD"/>
    <w:rsid w:val="007A69FB"/>
    <w:rsid w:val="007A718D"/>
    <w:rsid w:val="007A7504"/>
    <w:rsid w:val="007A77DB"/>
    <w:rsid w:val="007B025F"/>
    <w:rsid w:val="007B0617"/>
    <w:rsid w:val="007B1B89"/>
    <w:rsid w:val="007B1C8F"/>
    <w:rsid w:val="007B2285"/>
    <w:rsid w:val="007B2668"/>
    <w:rsid w:val="007B27BE"/>
    <w:rsid w:val="007B2C7D"/>
    <w:rsid w:val="007B32EF"/>
    <w:rsid w:val="007B3439"/>
    <w:rsid w:val="007B3B70"/>
    <w:rsid w:val="007B47F3"/>
    <w:rsid w:val="007B53D8"/>
    <w:rsid w:val="007B6795"/>
    <w:rsid w:val="007B71C5"/>
    <w:rsid w:val="007B77C0"/>
    <w:rsid w:val="007B77E8"/>
    <w:rsid w:val="007B7BC9"/>
    <w:rsid w:val="007C08B2"/>
    <w:rsid w:val="007C0A31"/>
    <w:rsid w:val="007C1DDB"/>
    <w:rsid w:val="007C20B9"/>
    <w:rsid w:val="007C20EA"/>
    <w:rsid w:val="007C31F7"/>
    <w:rsid w:val="007C3978"/>
    <w:rsid w:val="007C399B"/>
    <w:rsid w:val="007C498D"/>
    <w:rsid w:val="007C554D"/>
    <w:rsid w:val="007C6000"/>
    <w:rsid w:val="007C617D"/>
    <w:rsid w:val="007C62A6"/>
    <w:rsid w:val="007C687F"/>
    <w:rsid w:val="007C6A77"/>
    <w:rsid w:val="007C74ED"/>
    <w:rsid w:val="007C78EC"/>
    <w:rsid w:val="007C7CF6"/>
    <w:rsid w:val="007D06DE"/>
    <w:rsid w:val="007D1163"/>
    <w:rsid w:val="007D16E6"/>
    <w:rsid w:val="007D1709"/>
    <w:rsid w:val="007D178A"/>
    <w:rsid w:val="007D1C1E"/>
    <w:rsid w:val="007D2B19"/>
    <w:rsid w:val="007D2E87"/>
    <w:rsid w:val="007D31FC"/>
    <w:rsid w:val="007D34FE"/>
    <w:rsid w:val="007D383A"/>
    <w:rsid w:val="007D482B"/>
    <w:rsid w:val="007D48F5"/>
    <w:rsid w:val="007D4995"/>
    <w:rsid w:val="007D547B"/>
    <w:rsid w:val="007D55E8"/>
    <w:rsid w:val="007D58EF"/>
    <w:rsid w:val="007D594A"/>
    <w:rsid w:val="007D5B5E"/>
    <w:rsid w:val="007D5BFD"/>
    <w:rsid w:val="007D63E2"/>
    <w:rsid w:val="007D6DB4"/>
    <w:rsid w:val="007D6EC0"/>
    <w:rsid w:val="007E0523"/>
    <w:rsid w:val="007E06AB"/>
    <w:rsid w:val="007E0C17"/>
    <w:rsid w:val="007E0DDD"/>
    <w:rsid w:val="007E16BB"/>
    <w:rsid w:val="007E1912"/>
    <w:rsid w:val="007E2133"/>
    <w:rsid w:val="007E239A"/>
    <w:rsid w:val="007E266C"/>
    <w:rsid w:val="007E2C1B"/>
    <w:rsid w:val="007E31AB"/>
    <w:rsid w:val="007E33C0"/>
    <w:rsid w:val="007E341A"/>
    <w:rsid w:val="007E4623"/>
    <w:rsid w:val="007E4BE9"/>
    <w:rsid w:val="007E4CED"/>
    <w:rsid w:val="007E4E50"/>
    <w:rsid w:val="007E50E1"/>
    <w:rsid w:val="007E6434"/>
    <w:rsid w:val="007E6447"/>
    <w:rsid w:val="007E6466"/>
    <w:rsid w:val="007E67AF"/>
    <w:rsid w:val="007E6B95"/>
    <w:rsid w:val="007E712D"/>
    <w:rsid w:val="007E72B4"/>
    <w:rsid w:val="007E75BE"/>
    <w:rsid w:val="007E762D"/>
    <w:rsid w:val="007E7F3A"/>
    <w:rsid w:val="007F1342"/>
    <w:rsid w:val="007F1A18"/>
    <w:rsid w:val="007F1CA8"/>
    <w:rsid w:val="007F1EED"/>
    <w:rsid w:val="007F1F26"/>
    <w:rsid w:val="007F238F"/>
    <w:rsid w:val="007F2C45"/>
    <w:rsid w:val="007F2EFE"/>
    <w:rsid w:val="007F3ED0"/>
    <w:rsid w:val="007F4A00"/>
    <w:rsid w:val="007F4A13"/>
    <w:rsid w:val="007F4FB0"/>
    <w:rsid w:val="007F5114"/>
    <w:rsid w:val="007F511F"/>
    <w:rsid w:val="007F51C7"/>
    <w:rsid w:val="007F56CE"/>
    <w:rsid w:val="007F5857"/>
    <w:rsid w:val="007F5AD1"/>
    <w:rsid w:val="007F5DBD"/>
    <w:rsid w:val="007F5E10"/>
    <w:rsid w:val="007F6696"/>
    <w:rsid w:val="007F6BAB"/>
    <w:rsid w:val="007F73C3"/>
    <w:rsid w:val="007F74C8"/>
    <w:rsid w:val="007F76CA"/>
    <w:rsid w:val="007F7F6E"/>
    <w:rsid w:val="008002E3"/>
    <w:rsid w:val="00800678"/>
    <w:rsid w:val="00800EB5"/>
    <w:rsid w:val="00801F25"/>
    <w:rsid w:val="0080221B"/>
    <w:rsid w:val="00803133"/>
    <w:rsid w:val="0080313F"/>
    <w:rsid w:val="008034F2"/>
    <w:rsid w:val="00803663"/>
    <w:rsid w:val="0080521A"/>
    <w:rsid w:val="00806263"/>
    <w:rsid w:val="008075F1"/>
    <w:rsid w:val="00807EE1"/>
    <w:rsid w:val="00811320"/>
    <w:rsid w:val="008113F1"/>
    <w:rsid w:val="008116EB"/>
    <w:rsid w:val="00812476"/>
    <w:rsid w:val="0081279E"/>
    <w:rsid w:val="008128D9"/>
    <w:rsid w:val="00813004"/>
    <w:rsid w:val="00813DDD"/>
    <w:rsid w:val="008146D5"/>
    <w:rsid w:val="008151A0"/>
    <w:rsid w:val="00815479"/>
    <w:rsid w:val="008156FD"/>
    <w:rsid w:val="00816383"/>
    <w:rsid w:val="00816448"/>
    <w:rsid w:val="00816625"/>
    <w:rsid w:val="00816B99"/>
    <w:rsid w:val="00816D06"/>
    <w:rsid w:val="00816EE6"/>
    <w:rsid w:val="008171A0"/>
    <w:rsid w:val="008171E3"/>
    <w:rsid w:val="00817C4A"/>
    <w:rsid w:val="0082000E"/>
    <w:rsid w:val="00820359"/>
    <w:rsid w:val="008204FD"/>
    <w:rsid w:val="00821064"/>
    <w:rsid w:val="008216FA"/>
    <w:rsid w:val="008221CE"/>
    <w:rsid w:val="0082281F"/>
    <w:rsid w:val="008231B9"/>
    <w:rsid w:val="00823804"/>
    <w:rsid w:val="00823ABB"/>
    <w:rsid w:val="00824403"/>
    <w:rsid w:val="00824757"/>
    <w:rsid w:val="008247B7"/>
    <w:rsid w:val="00824F16"/>
    <w:rsid w:val="00824F2B"/>
    <w:rsid w:val="0082507E"/>
    <w:rsid w:val="00825589"/>
    <w:rsid w:val="00825E0B"/>
    <w:rsid w:val="008265B1"/>
    <w:rsid w:val="00826CD6"/>
    <w:rsid w:val="00827411"/>
    <w:rsid w:val="00827862"/>
    <w:rsid w:val="00830089"/>
    <w:rsid w:val="00830C8A"/>
    <w:rsid w:val="0083225E"/>
    <w:rsid w:val="008335CF"/>
    <w:rsid w:val="008339AB"/>
    <w:rsid w:val="00833F13"/>
    <w:rsid w:val="00834377"/>
    <w:rsid w:val="0083542B"/>
    <w:rsid w:val="008354F6"/>
    <w:rsid w:val="008354FA"/>
    <w:rsid w:val="008358EE"/>
    <w:rsid w:val="00835DA8"/>
    <w:rsid w:val="00836A37"/>
    <w:rsid w:val="00836F87"/>
    <w:rsid w:val="00837693"/>
    <w:rsid w:val="008379A5"/>
    <w:rsid w:val="00837C89"/>
    <w:rsid w:val="00837CE9"/>
    <w:rsid w:val="00840C4D"/>
    <w:rsid w:val="00841253"/>
    <w:rsid w:val="00841987"/>
    <w:rsid w:val="00842472"/>
    <w:rsid w:val="008434C3"/>
    <w:rsid w:val="008437B3"/>
    <w:rsid w:val="008438D4"/>
    <w:rsid w:val="00843A3A"/>
    <w:rsid w:val="00843BE3"/>
    <w:rsid w:val="00843EF4"/>
    <w:rsid w:val="00844D87"/>
    <w:rsid w:val="00844DE4"/>
    <w:rsid w:val="00844EEC"/>
    <w:rsid w:val="00844F40"/>
    <w:rsid w:val="00845133"/>
    <w:rsid w:val="00845277"/>
    <w:rsid w:val="00845630"/>
    <w:rsid w:val="008456F9"/>
    <w:rsid w:val="0084576E"/>
    <w:rsid w:val="00845D1C"/>
    <w:rsid w:val="0084668C"/>
    <w:rsid w:val="00846BBD"/>
    <w:rsid w:val="00846F01"/>
    <w:rsid w:val="00846FC9"/>
    <w:rsid w:val="00847924"/>
    <w:rsid w:val="008501BC"/>
    <w:rsid w:val="0085165B"/>
    <w:rsid w:val="008518EC"/>
    <w:rsid w:val="00851A2D"/>
    <w:rsid w:val="00852AD4"/>
    <w:rsid w:val="00852BD7"/>
    <w:rsid w:val="0085303D"/>
    <w:rsid w:val="00853CA7"/>
    <w:rsid w:val="00853FA0"/>
    <w:rsid w:val="00854164"/>
    <w:rsid w:val="0085439B"/>
    <w:rsid w:val="00854CEC"/>
    <w:rsid w:val="008557A9"/>
    <w:rsid w:val="00855940"/>
    <w:rsid w:val="0085599B"/>
    <w:rsid w:val="0085645A"/>
    <w:rsid w:val="00856D5A"/>
    <w:rsid w:val="00856DC2"/>
    <w:rsid w:val="00856E9A"/>
    <w:rsid w:val="008574BB"/>
    <w:rsid w:val="008579B9"/>
    <w:rsid w:val="00857AC6"/>
    <w:rsid w:val="00857CA4"/>
    <w:rsid w:val="00860958"/>
    <w:rsid w:val="00861415"/>
    <w:rsid w:val="008616B1"/>
    <w:rsid w:val="00861890"/>
    <w:rsid w:val="00862058"/>
    <w:rsid w:val="0086332C"/>
    <w:rsid w:val="0086341C"/>
    <w:rsid w:val="008635E7"/>
    <w:rsid w:val="00864161"/>
    <w:rsid w:val="00864449"/>
    <w:rsid w:val="00865941"/>
    <w:rsid w:val="00865A73"/>
    <w:rsid w:val="008660B4"/>
    <w:rsid w:val="008663BB"/>
    <w:rsid w:val="008666E2"/>
    <w:rsid w:val="0086787A"/>
    <w:rsid w:val="00867AEA"/>
    <w:rsid w:val="00867D75"/>
    <w:rsid w:val="00871F0D"/>
    <w:rsid w:val="00871FE7"/>
    <w:rsid w:val="008720C5"/>
    <w:rsid w:val="00872CD2"/>
    <w:rsid w:val="00873034"/>
    <w:rsid w:val="008738A9"/>
    <w:rsid w:val="008739A7"/>
    <w:rsid w:val="00873DE3"/>
    <w:rsid w:val="00874456"/>
    <w:rsid w:val="008744A5"/>
    <w:rsid w:val="00874AF2"/>
    <w:rsid w:val="00875712"/>
    <w:rsid w:val="008768B7"/>
    <w:rsid w:val="008768BC"/>
    <w:rsid w:val="00876D3B"/>
    <w:rsid w:val="00877013"/>
    <w:rsid w:val="00877B75"/>
    <w:rsid w:val="008804F2"/>
    <w:rsid w:val="00880715"/>
    <w:rsid w:val="00880E31"/>
    <w:rsid w:val="00881BF5"/>
    <w:rsid w:val="00882B38"/>
    <w:rsid w:val="00882F89"/>
    <w:rsid w:val="00883136"/>
    <w:rsid w:val="008839E6"/>
    <w:rsid w:val="00883B8A"/>
    <w:rsid w:val="00883DCD"/>
    <w:rsid w:val="008841C8"/>
    <w:rsid w:val="00884A28"/>
    <w:rsid w:val="008854B3"/>
    <w:rsid w:val="00885808"/>
    <w:rsid w:val="00886739"/>
    <w:rsid w:val="00886A5E"/>
    <w:rsid w:val="008872F3"/>
    <w:rsid w:val="008875C0"/>
    <w:rsid w:val="00887B2B"/>
    <w:rsid w:val="00887CAD"/>
    <w:rsid w:val="00887EB8"/>
    <w:rsid w:val="00890372"/>
    <w:rsid w:val="0089067A"/>
    <w:rsid w:val="00890ECF"/>
    <w:rsid w:val="008926EC"/>
    <w:rsid w:val="00892B4D"/>
    <w:rsid w:val="008930C2"/>
    <w:rsid w:val="0089311A"/>
    <w:rsid w:val="00893512"/>
    <w:rsid w:val="008941E1"/>
    <w:rsid w:val="00894355"/>
    <w:rsid w:val="008944B3"/>
    <w:rsid w:val="0089467A"/>
    <w:rsid w:val="0089470D"/>
    <w:rsid w:val="00895E4D"/>
    <w:rsid w:val="00896C31"/>
    <w:rsid w:val="00897988"/>
    <w:rsid w:val="00897BF0"/>
    <w:rsid w:val="00897DEE"/>
    <w:rsid w:val="00897EAB"/>
    <w:rsid w:val="008A13E7"/>
    <w:rsid w:val="008A1B5C"/>
    <w:rsid w:val="008A23F9"/>
    <w:rsid w:val="008A2AF8"/>
    <w:rsid w:val="008A2D13"/>
    <w:rsid w:val="008A39BD"/>
    <w:rsid w:val="008A3B78"/>
    <w:rsid w:val="008A45FB"/>
    <w:rsid w:val="008A4C93"/>
    <w:rsid w:val="008A4D81"/>
    <w:rsid w:val="008A5294"/>
    <w:rsid w:val="008A53FE"/>
    <w:rsid w:val="008A56BB"/>
    <w:rsid w:val="008A5E58"/>
    <w:rsid w:val="008A5F70"/>
    <w:rsid w:val="008A6713"/>
    <w:rsid w:val="008A712B"/>
    <w:rsid w:val="008A770B"/>
    <w:rsid w:val="008A7F99"/>
    <w:rsid w:val="008B0C91"/>
    <w:rsid w:val="008B12F7"/>
    <w:rsid w:val="008B2208"/>
    <w:rsid w:val="008B2BF9"/>
    <w:rsid w:val="008B2C79"/>
    <w:rsid w:val="008B2DA6"/>
    <w:rsid w:val="008B2E6A"/>
    <w:rsid w:val="008B320C"/>
    <w:rsid w:val="008B336B"/>
    <w:rsid w:val="008B3A23"/>
    <w:rsid w:val="008B3F52"/>
    <w:rsid w:val="008B47BE"/>
    <w:rsid w:val="008B4813"/>
    <w:rsid w:val="008B4947"/>
    <w:rsid w:val="008B4DA9"/>
    <w:rsid w:val="008B59FF"/>
    <w:rsid w:val="008B5DBB"/>
    <w:rsid w:val="008B650E"/>
    <w:rsid w:val="008B6654"/>
    <w:rsid w:val="008B6AAE"/>
    <w:rsid w:val="008B7017"/>
    <w:rsid w:val="008B709F"/>
    <w:rsid w:val="008B727F"/>
    <w:rsid w:val="008B7297"/>
    <w:rsid w:val="008B73E1"/>
    <w:rsid w:val="008B7BBE"/>
    <w:rsid w:val="008B7BCB"/>
    <w:rsid w:val="008B7F48"/>
    <w:rsid w:val="008C04D7"/>
    <w:rsid w:val="008C04FD"/>
    <w:rsid w:val="008C1730"/>
    <w:rsid w:val="008C3101"/>
    <w:rsid w:val="008C415B"/>
    <w:rsid w:val="008C462B"/>
    <w:rsid w:val="008C51F4"/>
    <w:rsid w:val="008C5252"/>
    <w:rsid w:val="008C53F1"/>
    <w:rsid w:val="008C567A"/>
    <w:rsid w:val="008C5CF3"/>
    <w:rsid w:val="008C60D1"/>
    <w:rsid w:val="008C63F0"/>
    <w:rsid w:val="008C693F"/>
    <w:rsid w:val="008C6F72"/>
    <w:rsid w:val="008C77F0"/>
    <w:rsid w:val="008C7E90"/>
    <w:rsid w:val="008D0A27"/>
    <w:rsid w:val="008D0D65"/>
    <w:rsid w:val="008D2BD7"/>
    <w:rsid w:val="008D2C98"/>
    <w:rsid w:val="008D3288"/>
    <w:rsid w:val="008D367B"/>
    <w:rsid w:val="008D3E77"/>
    <w:rsid w:val="008D4C90"/>
    <w:rsid w:val="008D5CA4"/>
    <w:rsid w:val="008D5D1E"/>
    <w:rsid w:val="008D615B"/>
    <w:rsid w:val="008D72A9"/>
    <w:rsid w:val="008D76F0"/>
    <w:rsid w:val="008D7A8C"/>
    <w:rsid w:val="008D7B31"/>
    <w:rsid w:val="008E02A3"/>
    <w:rsid w:val="008E0B35"/>
    <w:rsid w:val="008E182F"/>
    <w:rsid w:val="008E184C"/>
    <w:rsid w:val="008E19BF"/>
    <w:rsid w:val="008E1B9B"/>
    <w:rsid w:val="008E237D"/>
    <w:rsid w:val="008E2446"/>
    <w:rsid w:val="008E2BB1"/>
    <w:rsid w:val="008E2CA9"/>
    <w:rsid w:val="008E339B"/>
    <w:rsid w:val="008E3420"/>
    <w:rsid w:val="008E359F"/>
    <w:rsid w:val="008E3E97"/>
    <w:rsid w:val="008E40C3"/>
    <w:rsid w:val="008E4CC7"/>
    <w:rsid w:val="008E538C"/>
    <w:rsid w:val="008E57C9"/>
    <w:rsid w:val="008E6148"/>
    <w:rsid w:val="008E6703"/>
    <w:rsid w:val="008E6D77"/>
    <w:rsid w:val="008E73EC"/>
    <w:rsid w:val="008F0222"/>
    <w:rsid w:val="008F071B"/>
    <w:rsid w:val="008F08E8"/>
    <w:rsid w:val="008F18A9"/>
    <w:rsid w:val="008F19DF"/>
    <w:rsid w:val="008F1FF0"/>
    <w:rsid w:val="008F2079"/>
    <w:rsid w:val="008F357C"/>
    <w:rsid w:val="008F4001"/>
    <w:rsid w:val="008F44B7"/>
    <w:rsid w:val="008F4AEE"/>
    <w:rsid w:val="008F501E"/>
    <w:rsid w:val="008F5484"/>
    <w:rsid w:val="008F55BF"/>
    <w:rsid w:val="008F5E37"/>
    <w:rsid w:val="008F6154"/>
    <w:rsid w:val="008F72BB"/>
    <w:rsid w:val="008F7856"/>
    <w:rsid w:val="009006B6"/>
    <w:rsid w:val="00900F2D"/>
    <w:rsid w:val="009011DB"/>
    <w:rsid w:val="00901606"/>
    <w:rsid w:val="00901722"/>
    <w:rsid w:val="009018E1"/>
    <w:rsid w:val="009019D8"/>
    <w:rsid w:val="009019E7"/>
    <w:rsid w:val="00901D1B"/>
    <w:rsid w:val="00901E2A"/>
    <w:rsid w:val="00902421"/>
    <w:rsid w:val="00902B1F"/>
    <w:rsid w:val="00902FC2"/>
    <w:rsid w:val="00903EE9"/>
    <w:rsid w:val="00903FCE"/>
    <w:rsid w:val="00904C37"/>
    <w:rsid w:val="00904C48"/>
    <w:rsid w:val="00905687"/>
    <w:rsid w:val="00905A5B"/>
    <w:rsid w:val="00906003"/>
    <w:rsid w:val="00906436"/>
    <w:rsid w:val="00906BD3"/>
    <w:rsid w:val="00906C44"/>
    <w:rsid w:val="00907698"/>
    <w:rsid w:val="0090797D"/>
    <w:rsid w:val="00907D98"/>
    <w:rsid w:val="009104B6"/>
    <w:rsid w:val="0091106B"/>
    <w:rsid w:val="00912569"/>
    <w:rsid w:val="009126AF"/>
    <w:rsid w:val="00912CA3"/>
    <w:rsid w:val="00914686"/>
    <w:rsid w:val="00914769"/>
    <w:rsid w:val="00914BFA"/>
    <w:rsid w:val="0091519A"/>
    <w:rsid w:val="009153C6"/>
    <w:rsid w:val="00915D33"/>
    <w:rsid w:val="009166DE"/>
    <w:rsid w:val="00916EE4"/>
    <w:rsid w:val="00917684"/>
    <w:rsid w:val="009179F9"/>
    <w:rsid w:val="00920A6C"/>
    <w:rsid w:val="00920CF5"/>
    <w:rsid w:val="00920CF8"/>
    <w:rsid w:val="00920DFA"/>
    <w:rsid w:val="009210D4"/>
    <w:rsid w:val="00921168"/>
    <w:rsid w:val="00921213"/>
    <w:rsid w:val="0092194C"/>
    <w:rsid w:val="00922414"/>
    <w:rsid w:val="00922419"/>
    <w:rsid w:val="009226FC"/>
    <w:rsid w:val="009235D5"/>
    <w:rsid w:val="00924203"/>
    <w:rsid w:val="00924860"/>
    <w:rsid w:val="00925138"/>
    <w:rsid w:val="009253C2"/>
    <w:rsid w:val="009258DD"/>
    <w:rsid w:val="0092593E"/>
    <w:rsid w:val="00925AC2"/>
    <w:rsid w:val="00925BCF"/>
    <w:rsid w:val="0092622E"/>
    <w:rsid w:val="0092685C"/>
    <w:rsid w:val="0092706C"/>
    <w:rsid w:val="0092793A"/>
    <w:rsid w:val="00930BA7"/>
    <w:rsid w:val="009313F2"/>
    <w:rsid w:val="00931502"/>
    <w:rsid w:val="0093176A"/>
    <w:rsid w:val="009318BA"/>
    <w:rsid w:val="00931B22"/>
    <w:rsid w:val="00931C2D"/>
    <w:rsid w:val="00931E0B"/>
    <w:rsid w:val="00932395"/>
    <w:rsid w:val="0093252E"/>
    <w:rsid w:val="0093254A"/>
    <w:rsid w:val="00933B67"/>
    <w:rsid w:val="00933C4B"/>
    <w:rsid w:val="00933C4D"/>
    <w:rsid w:val="00933D22"/>
    <w:rsid w:val="0093460A"/>
    <w:rsid w:val="00934E71"/>
    <w:rsid w:val="009351E1"/>
    <w:rsid w:val="00935A95"/>
    <w:rsid w:val="00935CBA"/>
    <w:rsid w:val="00935DF8"/>
    <w:rsid w:val="009363A7"/>
    <w:rsid w:val="009364A5"/>
    <w:rsid w:val="00936E80"/>
    <w:rsid w:val="009371D7"/>
    <w:rsid w:val="00940098"/>
    <w:rsid w:val="009408EB"/>
    <w:rsid w:val="009412CB"/>
    <w:rsid w:val="00941C2F"/>
    <w:rsid w:val="00941D09"/>
    <w:rsid w:val="00942411"/>
    <w:rsid w:val="00942A14"/>
    <w:rsid w:val="00943727"/>
    <w:rsid w:val="00943D36"/>
    <w:rsid w:val="00943DB4"/>
    <w:rsid w:val="00943F19"/>
    <w:rsid w:val="00944136"/>
    <w:rsid w:val="009441AB"/>
    <w:rsid w:val="009446D1"/>
    <w:rsid w:val="00944802"/>
    <w:rsid w:val="009448B5"/>
    <w:rsid w:val="00944C69"/>
    <w:rsid w:val="00944C8E"/>
    <w:rsid w:val="00945162"/>
    <w:rsid w:val="00945399"/>
    <w:rsid w:val="009458F5"/>
    <w:rsid w:val="009459CC"/>
    <w:rsid w:val="00945E3A"/>
    <w:rsid w:val="00945EC1"/>
    <w:rsid w:val="00946246"/>
    <w:rsid w:val="009464AF"/>
    <w:rsid w:val="00946F9E"/>
    <w:rsid w:val="00947258"/>
    <w:rsid w:val="0094780D"/>
    <w:rsid w:val="00947BE1"/>
    <w:rsid w:val="00950CBC"/>
    <w:rsid w:val="00951160"/>
    <w:rsid w:val="009518C8"/>
    <w:rsid w:val="00951D1E"/>
    <w:rsid w:val="009521E0"/>
    <w:rsid w:val="00952817"/>
    <w:rsid w:val="00953462"/>
    <w:rsid w:val="0095355B"/>
    <w:rsid w:val="009539AE"/>
    <w:rsid w:val="0095442F"/>
    <w:rsid w:val="009548DE"/>
    <w:rsid w:val="00954EB8"/>
    <w:rsid w:val="00956116"/>
    <w:rsid w:val="00956B4E"/>
    <w:rsid w:val="00956EAE"/>
    <w:rsid w:val="00957030"/>
    <w:rsid w:val="00957D4C"/>
    <w:rsid w:val="00957D85"/>
    <w:rsid w:val="00957F87"/>
    <w:rsid w:val="00960A4A"/>
    <w:rsid w:val="00960EBB"/>
    <w:rsid w:val="009617E8"/>
    <w:rsid w:val="0096192E"/>
    <w:rsid w:val="009621CA"/>
    <w:rsid w:val="00962E2E"/>
    <w:rsid w:val="00963337"/>
    <w:rsid w:val="00963570"/>
    <w:rsid w:val="00963CF6"/>
    <w:rsid w:val="00963FC4"/>
    <w:rsid w:val="00964347"/>
    <w:rsid w:val="009646FD"/>
    <w:rsid w:val="009647AE"/>
    <w:rsid w:val="00964B99"/>
    <w:rsid w:val="009660EC"/>
    <w:rsid w:val="009663D3"/>
    <w:rsid w:val="00966410"/>
    <w:rsid w:val="0096690B"/>
    <w:rsid w:val="009671A6"/>
    <w:rsid w:val="009671A8"/>
    <w:rsid w:val="009673E5"/>
    <w:rsid w:val="00967703"/>
    <w:rsid w:val="00967EDB"/>
    <w:rsid w:val="00970297"/>
    <w:rsid w:val="0097087A"/>
    <w:rsid w:val="00970B6E"/>
    <w:rsid w:val="00970D90"/>
    <w:rsid w:val="00970DB2"/>
    <w:rsid w:val="009725A9"/>
    <w:rsid w:val="0097329B"/>
    <w:rsid w:val="00973959"/>
    <w:rsid w:val="00973B15"/>
    <w:rsid w:val="009747A2"/>
    <w:rsid w:val="00974D5A"/>
    <w:rsid w:val="009754E2"/>
    <w:rsid w:val="00975EDB"/>
    <w:rsid w:val="00975FC2"/>
    <w:rsid w:val="00976FA6"/>
    <w:rsid w:val="009774D3"/>
    <w:rsid w:val="0097757B"/>
    <w:rsid w:val="00977622"/>
    <w:rsid w:val="00977758"/>
    <w:rsid w:val="009778E9"/>
    <w:rsid w:val="0097797B"/>
    <w:rsid w:val="0098007B"/>
    <w:rsid w:val="009801E0"/>
    <w:rsid w:val="0098050A"/>
    <w:rsid w:val="00980C37"/>
    <w:rsid w:val="00980D64"/>
    <w:rsid w:val="00980DA3"/>
    <w:rsid w:val="0098159F"/>
    <w:rsid w:val="00981CBE"/>
    <w:rsid w:val="009828BA"/>
    <w:rsid w:val="00982DB9"/>
    <w:rsid w:val="00983086"/>
    <w:rsid w:val="0098345C"/>
    <w:rsid w:val="009835D2"/>
    <w:rsid w:val="00983C44"/>
    <w:rsid w:val="009842F6"/>
    <w:rsid w:val="00984363"/>
    <w:rsid w:val="00984EA0"/>
    <w:rsid w:val="009854A2"/>
    <w:rsid w:val="009855A1"/>
    <w:rsid w:val="00985B65"/>
    <w:rsid w:val="00985CF1"/>
    <w:rsid w:val="00986BB3"/>
    <w:rsid w:val="00986CB0"/>
    <w:rsid w:val="0098721E"/>
    <w:rsid w:val="00987964"/>
    <w:rsid w:val="009900DE"/>
    <w:rsid w:val="009901AF"/>
    <w:rsid w:val="00990A14"/>
    <w:rsid w:val="00990E89"/>
    <w:rsid w:val="00990F29"/>
    <w:rsid w:val="009919FB"/>
    <w:rsid w:val="00991DF1"/>
    <w:rsid w:val="009925DB"/>
    <w:rsid w:val="0099272C"/>
    <w:rsid w:val="009927B8"/>
    <w:rsid w:val="00992DE3"/>
    <w:rsid w:val="00993507"/>
    <w:rsid w:val="009944DF"/>
    <w:rsid w:val="00994E96"/>
    <w:rsid w:val="0099593F"/>
    <w:rsid w:val="00996C0F"/>
    <w:rsid w:val="00996DC2"/>
    <w:rsid w:val="00997073"/>
    <w:rsid w:val="0099713E"/>
    <w:rsid w:val="0099789C"/>
    <w:rsid w:val="009A00F8"/>
    <w:rsid w:val="009A081E"/>
    <w:rsid w:val="009A0A9D"/>
    <w:rsid w:val="009A1379"/>
    <w:rsid w:val="009A2454"/>
    <w:rsid w:val="009A2516"/>
    <w:rsid w:val="009A2D24"/>
    <w:rsid w:val="009A2EE3"/>
    <w:rsid w:val="009A3493"/>
    <w:rsid w:val="009A392B"/>
    <w:rsid w:val="009A3C10"/>
    <w:rsid w:val="009A3D1A"/>
    <w:rsid w:val="009A4376"/>
    <w:rsid w:val="009A48C3"/>
    <w:rsid w:val="009A4C21"/>
    <w:rsid w:val="009A4CF0"/>
    <w:rsid w:val="009A5430"/>
    <w:rsid w:val="009A5707"/>
    <w:rsid w:val="009A57EE"/>
    <w:rsid w:val="009A57F7"/>
    <w:rsid w:val="009A5D11"/>
    <w:rsid w:val="009A6521"/>
    <w:rsid w:val="009A676A"/>
    <w:rsid w:val="009A6D06"/>
    <w:rsid w:val="009A7120"/>
    <w:rsid w:val="009A7152"/>
    <w:rsid w:val="009A7819"/>
    <w:rsid w:val="009A7ADB"/>
    <w:rsid w:val="009B1D3A"/>
    <w:rsid w:val="009B1E9C"/>
    <w:rsid w:val="009B2A7C"/>
    <w:rsid w:val="009B3169"/>
    <w:rsid w:val="009B33FA"/>
    <w:rsid w:val="009B3E2C"/>
    <w:rsid w:val="009B438A"/>
    <w:rsid w:val="009B4773"/>
    <w:rsid w:val="009B4DEF"/>
    <w:rsid w:val="009B5BE3"/>
    <w:rsid w:val="009B6663"/>
    <w:rsid w:val="009B6A16"/>
    <w:rsid w:val="009B6FA7"/>
    <w:rsid w:val="009B727E"/>
    <w:rsid w:val="009B7A40"/>
    <w:rsid w:val="009B7ED5"/>
    <w:rsid w:val="009C025B"/>
    <w:rsid w:val="009C031D"/>
    <w:rsid w:val="009C035B"/>
    <w:rsid w:val="009C03A2"/>
    <w:rsid w:val="009C0A12"/>
    <w:rsid w:val="009C1F4A"/>
    <w:rsid w:val="009C28B1"/>
    <w:rsid w:val="009C2B20"/>
    <w:rsid w:val="009C32A6"/>
    <w:rsid w:val="009C34B9"/>
    <w:rsid w:val="009C3976"/>
    <w:rsid w:val="009C4253"/>
    <w:rsid w:val="009C44C7"/>
    <w:rsid w:val="009C5DC1"/>
    <w:rsid w:val="009C60CD"/>
    <w:rsid w:val="009C636E"/>
    <w:rsid w:val="009C63A4"/>
    <w:rsid w:val="009C7021"/>
    <w:rsid w:val="009D02C8"/>
    <w:rsid w:val="009D0876"/>
    <w:rsid w:val="009D0D1C"/>
    <w:rsid w:val="009D1079"/>
    <w:rsid w:val="009D119E"/>
    <w:rsid w:val="009D158A"/>
    <w:rsid w:val="009D162B"/>
    <w:rsid w:val="009D17FD"/>
    <w:rsid w:val="009D1852"/>
    <w:rsid w:val="009D1B43"/>
    <w:rsid w:val="009D1ED2"/>
    <w:rsid w:val="009D2F32"/>
    <w:rsid w:val="009D32FF"/>
    <w:rsid w:val="009D3766"/>
    <w:rsid w:val="009D38E7"/>
    <w:rsid w:val="009D3B25"/>
    <w:rsid w:val="009D4D88"/>
    <w:rsid w:val="009D56C5"/>
    <w:rsid w:val="009D5804"/>
    <w:rsid w:val="009D5DBA"/>
    <w:rsid w:val="009D5EF0"/>
    <w:rsid w:val="009D5FD4"/>
    <w:rsid w:val="009D600F"/>
    <w:rsid w:val="009D6D0C"/>
    <w:rsid w:val="009D6F9D"/>
    <w:rsid w:val="009D73E3"/>
    <w:rsid w:val="009D773E"/>
    <w:rsid w:val="009D7A8B"/>
    <w:rsid w:val="009E023E"/>
    <w:rsid w:val="009E0583"/>
    <w:rsid w:val="009E0870"/>
    <w:rsid w:val="009E0C29"/>
    <w:rsid w:val="009E0DFC"/>
    <w:rsid w:val="009E18EB"/>
    <w:rsid w:val="009E2014"/>
    <w:rsid w:val="009E2D51"/>
    <w:rsid w:val="009E30FA"/>
    <w:rsid w:val="009E31B2"/>
    <w:rsid w:val="009E3744"/>
    <w:rsid w:val="009E3928"/>
    <w:rsid w:val="009E3A94"/>
    <w:rsid w:val="009E3D35"/>
    <w:rsid w:val="009E3DCC"/>
    <w:rsid w:val="009E4A26"/>
    <w:rsid w:val="009E4A36"/>
    <w:rsid w:val="009E4D05"/>
    <w:rsid w:val="009E4EFD"/>
    <w:rsid w:val="009E5DCE"/>
    <w:rsid w:val="009E6690"/>
    <w:rsid w:val="009E6C4D"/>
    <w:rsid w:val="009E79B3"/>
    <w:rsid w:val="009F16FA"/>
    <w:rsid w:val="009F1958"/>
    <w:rsid w:val="009F19DA"/>
    <w:rsid w:val="009F1D84"/>
    <w:rsid w:val="009F2A75"/>
    <w:rsid w:val="009F2B2F"/>
    <w:rsid w:val="009F2C1B"/>
    <w:rsid w:val="009F31F1"/>
    <w:rsid w:val="009F35A2"/>
    <w:rsid w:val="009F4BF2"/>
    <w:rsid w:val="009F4D58"/>
    <w:rsid w:val="009F5499"/>
    <w:rsid w:val="009F57C6"/>
    <w:rsid w:val="009F5804"/>
    <w:rsid w:val="009F5BF3"/>
    <w:rsid w:val="009F72A8"/>
    <w:rsid w:val="009F74BA"/>
    <w:rsid w:val="009F755F"/>
    <w:rsid w:val="009F77E0"/>
    <w:rsid w:val="00A023F9"/>
    <w:rsid w:val="00A02791"/>
    <w:rsid w:val="00A02EE0"/>
    <w:rsid w:val="00A02FCA"/>
    <w:rsid w:val="00A03200"/>
    <w:rsid w:val="00A03BAD"/>
    <w:rsid w:val="00A03EE0"/>
    <w:rsid w:val="00A0457F"/>
    <w:rsid w:val="00A04714"/>
    <w:rsid w:val="00A04AC4"/>
    <w:rsid w:val="00A057F4"/>
    <w:rsid w:val="00A064B7"/>
    <w:rsid w:val="00A06D25"/>
    <w:rsid w:val="00A07D01"/>
    <w:rsid w:val="00A10540"/>
    <w:rsid w:val="00A108F4"/>
    <w:rsid w:val="00A109DE"/>
    <w:rsid w:val="00A10B4C"/>
    <w:rsid w:val="00A10C03"/>
    <w:rsid w:val="00A10CBA"/>
    <w:rsid w:val="00A116AB"/>
    <w:rsid w:val="00A11976"/>
    <w:rsid w:val="00A11C64"/>
    <w:rsid w:val="00A11DEA"/>
    <w:rsid w:val="00A12983"/>
    <w:rsid w:val="00A12BA1"/>
    <w:rsid w:val="00A13184"/>
    <w:rsid w:val="00A134D5"/>
    <w:rsid w:val="00A13F32"/>
    <w:rsid w:val="00A146B3"/>
    <w:rsid w:val="00A14C47"/>
    <w:rsid w:val="00A14CCC"/>
    <w:rsid w:val="00A14E92"/>
    <w:rsid w:val="00A150EE"/>
    <w:rsid w:val="00A15450"/>
    <w:rsid w:val="00A159BA"/>
    <w:rsid w:val="00A167ED"/>
    <w:rsid w:val="00A17538"/>
    <w:rsid w:val="00A17CC1"/>
    <w:rsid w:val="00A2002F"/>
    <w:rsid w:val="00A20A33"/>
    <w:rsid w:val="00A21210"/>
    <w:rsid w:val="00A219EB"/>
    <w:rsid w:val="00A21DB2"/>
    <w:rsid w:val="00A21E7E"/>
    <w:rsid w:val="00A21F64"/>
    <w:rsid w:val="00A2214B"/>
    <w:rsid w:val="00A22827"/>
    <w:rsid w:val="00A2285B"/>
    <w:rsid w:val="00A236C8"/>
    <w:rsid w:val="00A23821"/>
    <w:rsid w:val="00A238E7"/>
    <w:rsid w:val="00A2437B"/>
    <w:rsid w:val="00A248EF"/>
    <w:rsid w:val="00A25370"/>
    <w:rsid w:val="00A267C3"/>
    <w:rsid w:val="00A26B52"/>
    <w:rsid w:val="00A272CB"/>
    <w:rsid w:val="00A279F4"/>
    <w:rsid w:val="00A27AE1"/>
    <w:rsid w:val="00A27C62"/>
    <w:rsid w:val="00A27D38"/>
    <w:rsid w:val="00A30757"/>
    <w:rsid w:val="00A31063"/>
    <w:rsid w:val="00A31C4C"/>
    <w:rsid w:val="00A31E5E"/>
    <w:rsid w:val="00A327A3"/>
    <w:rsid w:val="00A32C24"/>
    <w:rsid w:val="00A32C48"/>
    <w:rsid w:val="00A33121"/>
    <w:rsid w:val="00A33981"/>
    <w:rsid w:val="00A33A58"/>
    <w:rsid w:val="00A34CEF"/>
    <w:rsid w:val="00A3546E"/>
    <w:rsid w:val="00A3562B"/>
    <w:rsid w:val="00A35EF9"/>
    <w:rsid w:val="00A35F30"/>
    <w:rsid w:val="00A3672C"/>
    <w:rsid w:val="00A368B2"/>
    <w:rsid w:val="00A369C6"/>
    <w:rsid w:val="00A36C75"/>
    <w:rsid w:val="00A37339"/>
    <w:rsid w:val="00A37744"/>
    <w:rsid w:val="00A37DB7"/>
    <w:rsid w:val="00A400CC"/>
    <w:rsid w:val="00A404A7"/>
    <w:rsid w:val="00A40A99"/>
    <w:rsid w:val="00A410A6"/>
    <w:rsid w:val="00A41439"/>
    <w:rsid w:val="00A41A5A"/>
    <w:rsid w:val="00A429A8"/>
    <w:rsid w:val="00A42E06"/>
    <w:rsid w:val="00A42F8C"/>
    <w:rsid w:val="00A43129"/>
    <w:rsid w:val="00A4312C"/>
    <w:rsid w:val="00A43C0A"/>
    <w:rsid w:val="00A44112"/>
    <w:rsid w:val="00A44131"/>
    <w:rsid w:val="00A443C1"/>
    <w:rsid w:val="00A44C45"/>
    <w:rsid w:val="00A44EA4"/>
    <w:rsid w:val="00A451BA"/>
    <w:rsid w:val="00A45CAA"/>
    <w:rsid w:val="00A45D00"/>
    <w:rsid w:val="00A465F9"/>
    <w:rsid w:val="00A46635"/>
    <w:rsid w:val="00A46818"/>
    <w:rsid w:val="00A474A2"/>
    <w:rsid w:val="00A475E1"/>
    <w:rsid w:val="00A4789B"/>
    <w:rsid w:val="00A5036E"/>
    <w:rsid w:val="00A50853"/>
    <w:rsid w:val="00A5094A"/>
    <w:rsid w:val="00A50A83"/>
    <w:rsid w:val="00A50B03"/>
    <w:rsid w:val="00A50DCD"/>
    <w:rsid w:val="00A51B63"/>
    <w:rsid w:val="00A51BDB"/>
    <w:rsid w:val="00A52505"/>
    <w:rsid w:val="00A526A1"/>
    <w:rsid w:val="00A52D3D"/>
    <w:rsid w:val="00A52E37"/>
    <w:rsid w:val="00A52F0B"/>
    <w:rsid w:val="00A532A0"/>
    <w:rsid w:val="00A53680"/>
    <w:rsid w:val="00A5385B"/>
    <w:rsid w:val="00A53FC8"/>
    <w:rsid w:val="00A54328"/>
    <w:rsid w:val="00A54628"/>
    <w:rsid w:val="00A5465A"/>
    <w:rsid w:val="00A553BE"/>
    <w:rsid w:val="00A555E9"/>
    <w:rsid w:val="00A55C24"/>
    <w:rsid w:val="00A55E3B"/>
    <w:rsid w:val="00A56891"/>
    <w:rsid w:val="00A56BED"/>
    <w:rsid w:val="00A56FDA"/>
    <w:rsid w:val="00A56FDE"/>
    <w:rsid w:val="00A5784B"/>
    <w:rsid w:val="00A57B72"/>
    <w:rsid w:val="00A6004F"/>
    <w:rsid w:val="00A603F2"/>
    <w:rsid w:val="00A60508"/>
    <w:rsid w:val="00A60DCE"/>
    <w:rsid w:val="00A612EF"/>
    <w:rsid w:val="00A6199A"/>
    <w:rsid w:val="00A61D5B"/>
    <w:rsid w:val="00A61FAC"/>
    <w:rsid w:val="00A620F9"/>
    <w:rsid w:val="00A6403B"/>
    <w:rsid w:val="00A64229"/>
    <w:rsid w:val="00A64817"/>
    <w:rsid w:val="00A64C13"/>
    <w:rsid w:val="00A64D86"/>
    <w:rsid w:val="00A65B18"/>
    <w:rsid w:val="00A65CBC"/>
    <w:rsid w:val="00A65EA1"/>
    <w:rsid w:val="00A65F56"/>
    <w:rsid w:val="00A666FE"/>
    <w:rsid w:val="00A6676D"/>
    <w:rsid w:val="00A6682A"/>
    <w:rsid w:val="00A66896"/>
    <w:rsid w:val="00A6693C"/>
    <w:rsid w:val="00A672E4"/>
    <w:rsid w:val="00A67406"/>
    <w:rsid w:val="00A676E7"/>
    <w:rsid w:val="00A677FE"/>
    <w:rsid w:val="00A67DE0"/>
    <w:rsid w:val="00A7038D"/>
    <w:rsid w:val="00A703A3"/>
    <w:rsid w:val="00A70B4D"/>
    <w:rsid w:val="00A7127A"/>
    <w:rsid w:val="00A7213B"/>
    <w:rsid w:val="00A72237"/>
    <w:rsid w:val="00A7275B"/>
    <w:rsid w:val="00A72935"/>
    <w:rsid w:val="00A731C6"/>
    <w:rsid w:val="00A744FE"/>
    <w:rsid w:val="00A74B3E"/>
    <w:rsid w:val="00A74BB3"/>
    <w:rsid w:val="00A74E80"/>
    <w:rsid w:val="00A74F63"/>
    <w:rsid w:val="00A751A3"/>
    <w:rsid w:val="00A75ADE"/>
    <w:rsid w:val="00A761D3"/>
    <w:rsid w:val="00A76844"/>
    <w:rsid w:val="00A76CD6"/>
    <w:rsid w:val="00A76DCF"/>
    <w:rsid w:val="00A76EAF"/>
    <w:rsid w:val="00A77014"/>
    <w:rsid w:val="00A777BE"/>
    <w:rsid w:val="00A77918"/>
    <w:rsid w:val="00A77947"/>
    <w:rsid w:val="00A77A8A"/>
    <w:rsid w:val="00A8011B"/>
    <w:rsid w:val="00A80F25"/>
    <w:rsid w:val="00A812DA"/>
    <w:rsid w:val="00A837F3"/>
    <w:rsid w:val="00A83D2C"/>
    <w:rsid w:val="00A84B67"/>
    <w:rsid w:val="00A84E77"/>
    <w:rsid w:val="00A84EB4"/>
    <w:rsid w:val="00A85A88"/>
    <w:rsid w:val="00A85B5E"/>
    <w:rsid w:val="00A86181"/>
    <w:rsid w:val="00A86CCB"/>
    <w:rsid w:val="00A87152"/>
    <w:rsid w:val="00A873B0"/>
    <w:rsid w:val="00A8783F"/>
    <w:rsid w:val="00A87B3A"/>
    <w:rsid w:val="00A901BA"/>
    <w:rsid w:val="00A90A11"/>
    <w:rsid w:val="00A90A4D"/>
    <w:rsid w:val="00A9140D"/>
    <w:rsid w:val="00A914FB"/>
    <w:rsid w:val="00A91728"/>
    <w:rsid w:val="00A919D9"/>
    <w:rsid w:val="00A91BC6"/>
    <w:rsid w:val="00A91BF4"/>
    <w:rsid w:val="00A920CC"/>
    <w:rsid w:val="00A9221F"/>
    <w:rsid w:val="00A923CC"/>
    <w:rsid w:val="00A92769"/>
    <w:rsid w:val="00A928CC"/>
    <w:rsid w:val="00A92979"/>
    <w:rsid w:val="00A92A27"/>
    <w:rsid w:val="00A9361E"/>
    <w:rsid w:val="00A940AC"/>
    <w:rsid w:val="00A94256"/>
    <w:rsid w:val="00A947F4"/>
    <w:rsid w:val="00A94EF9"/>
    <w:rsid w:val="00A94F19"/>
    <w:rsid w:val="00A951C8"/>
    <w:rsid w:val="00A957CD"/>
    <w:rsid w:val="00A9679A"/>
    <w:rsid w:val="00A96880"/>
    <w:rsid w:val="00A96C82"/>
    <w:rsid w:val="00A97099"/>
    <w:rsid w:val="00A9783F"/>
    <w:rsid w:val="00A97DD0"/>
    <w:rsid w:val="00AA0563"/>
    <w:rsid w:val="00AA0964"/>
    <w:rsid w:val="00AA0ED6"/>
    <w:rsid w:val="00AA0F1A"/>
    <w:rsid w:val="00AA1170"/>
    <w:rsid w:val="00AA1178"/>
    <w:rsid w:val="00AA13C7"/>
    <w:rsid w:val="00AA1984"/>
    <w:rsid w:val="00AA1B54"/>
    <w:rsid w:val="00AA1FA3"/>
    <w:rsid w:val="00AA2034"/>
    <w:rsid w:val="00AA21BB"/>
    <w:rsid w:val="00AA22F2"/>
    <w:rsid w:val="00AA287F"/>
    <w:rsid w:val="00AA2EDF"/>
    <w:rsid w:val="00AA42E3"/>
    <w:rsid w:val="00AA5039"/>
    <w:rsid w:val="00AA504F"/>
    <w:rsid w:val="00AA52F2"/>
    <w:rsid w:val="00AA572C"/>
    <w:rsid w:val="00AA5BF0"/>
    <w:rsid w:val="00AA6290"/>
    <w:rsid w:val="00AA69F0"/>
    <w:rsid w:val="00AA719E"/>
    <w:rsid w:val="00AA72DC"/>
    <w:rsid w:val="00AA793D"/>
    <w:rsid w:val="00AA7C2C"/>
    <w:rsid w:val="00AB05C3"/>
    <w:rsid w:val="00AB08F8"/>
    <w:rsid w:val="00AB1174"/>
    <w:rsid w:val="00AB1D60"/>
    <w:rsid w:val="00AB1FBB"/>
    <w:rsid w:val="00AB2B31"/>
    <w:rsid w:val="00AB2B8B"/>
    <w:rsid w:val="00AB3785"/>
    <w:rsid w:val="00AB3CA9"/>
    <w:rsid w:val="00AB3E06"/>
    <w:rsid w:val="00AB4878"/>
    <w:rsid w:val="00AB4B10"/>
    <w:rsid w:val="00AB519B"/>
    <w:rsid w:val="00AB564E"/>
    <w:rsid w:val="00AB7934"/>
    <w:rsid w:val="00AC002C"/>
    <w:rsid w:val="00AC0443"/>
    <w:rsid w:val="00AC09EE"/>
    <w:rsid w:val="00AC0D02"/>
    <w:rsid w:val="00AC1592"/>
    <w:rsid w:val="00AC18A2"/>
    <w:rsid w:val="00AC18FE"/>
    <w:rsid w:val="00AC21D0"/>
    <w:rsid w:val="00AC3126"/>
    <w:rsid w:val="00AC34BE"/>
    <w:rsid w:val="00AC3969"/>
    <w:rsid w:val="00AC420F"/>
    <w:rsid w:val="00AC4714"/>
    <w:rsid w:val="00AC48E5"/>
    <w:rsid w:val="00AC4A7B"/>
    <w:rsid w:val="00AC53D8"/>
    <w:rsid w:val="00AC6111"/>
    <w:rsid w:val="00AC622B"/>
    <w:rsid w:val="00AC6242"/>
    <w:rsid w:val="00AC79F5"/>
    <w:rsid w:val="00AD0427"/>
    <w:rsid w:val="00AD0827"/>
    <w:rsid w:val="00AD1312"/>
    <w:rsid w:val="00AD147F"/>
    <w:rsid w:val="00AD15D0"/>
    <w:rsid w:val="00AD1A8C"/>
    <w:rsid w:val="00AD1F3F"/>
    <w:rsid w:val="00AD20D1"/>
    <w:rsid w:val="00AD20F2"/>
    <w:rsid w:val="00AD231A"/>
    <w:rsid w:val="00AD23A9"/>
    <w:rsid w:val="00AD2602"/>
    <w:rsid w:val="00AD292F"/>
    <w:rsid w:val="00AD2D51"/>
    <w:rsid w:val="00AD3093"/>
    <w:rsid w:val="00AD30B9"/>
    <w:rsid w:val="00AD31D2"/>
    <w:rsid w:val="00AD3402"/>
    <w:rsid w:val="00AD3466"/>
    <w:rsid w:val="00AD365B"/>
    <w:rsid w:val="00AD38A9"/>
    <w:rsid w:val="00AD3C90"/>
    <w:rsid w:val="00AD452B"/>
    <w:rsid w:val="00AD54C2"/>
    <w:rsid w:val="00AD627E"/>
    <w:rsid w:val="00AD6399"/>
    <w:rsid w:val="00AD6F55"/>
    <w:rsid w:val="00AD78ED"/>
    <w:rsid w:val="00AE01D2"/>
    <w:rsid w:val="00AE04BD"/>
    <w:rsid w:val="00AE0550"/>
    <w:rsid w:val="00AE0560"/>
    <w:rsid w:val="00AE0618"/>
    <w:rsid w:val="00AE1474"/>
    <w:rsid w:val="00AE2046"/>
    <w:rsid w:val="00AE2475"/>
    <w:rsid w:val="00AE2735"/>
    <w:rsid w:val="00AE2DB8"/>
    <w:rsid w:val="00AE4434"/>
    <w:rsid w:val="00AE470F"/>
    <w:rsid w:val="00AE4724"/>
    <w:rsid w:val="00AE4B80"/>
    <w:rsid w:val="00AE4D48"/>
    <w:rsid w:val="00AE504B"/>
    <w:rsid w:val="00AE6041"/>
    <w:rsid w:val="00AE617A"/>
    <w:rsid w:val="00AE6194"/>
    <w:rsid w:val="00AE663E"/>
    <w:rsid w:val="00AE6BB6"/>
    <w:rsid w:val="00AE6C88"/>
    <w:rsid w:val="00AE6D1D"/>
    <w:rsid w:val="00AE6E87"/>
    <w:rsid w:val="00AE7A02"/>
    <w:rsid w:val="00AF073D"/>
    <w:rsid w:val="00AF08D0"/>
    <w:rsid w:val="00AF092F"/>
    <w:rsid w:val="00AF1326"/>
    <w:rsid w:val="00AF145F"/>
    <w:rsid w:val="00AF176F"/>
    <w:rsid w:val="00AF2361"/>
    <w:rsid w:val="00AF2617"/>
    <w:rsid w:val="00AF2842"/>
    <w:rsid w:val="00AF3295"/>
    <w:rsid w:val="00AF381A"/>
    <w:rsid w:val="00AF4745"/>
    <w:rsid w:val="00AF4A4A"/>
    <w:rsid w:val="00AF4F4C"/>
    <w:rsid w:val="00AF53F2"/>
    <w:rsid w:val="00AF54DF"/>
    <w:rsid w:val="00AF5736"/>
    <w:rsid w:val="00AF5D63"/>
    <w:rsid w:val="00AF5F2B"/>
    <w:rsid w:val="00AF7B4D"/>
    <w:rsid w:val="00B00073"/>
    <w:rsid w:val="00B00389"/>
    <w:rsid w:val="00B00571"/>
    <w:rsid w:val="00B005A7"/>
    <w:rsid w:val="00B0084B"/>
    <w:rsid w:val="00B008ED"/>
    <w:rsid w:val="00B01075"/>
    <w:rsid w:val="00B01609"/>
    <w:rsid w:val="00B01F1C"/>
    <w:rsid w:val="00B0274F"/>
    <w:rsid w:val="00B03047"/>
    <w:rsid w:val="00B030A2"/>
    <w:rsid w:val="00B03BA6"/>
    <w:rsid w:val="00B03C64"/>
    <w:rsid w:val="00B03F93"/>
    <w:rsid w:val="00B0411B"/>
    <w:rsid w:val="00B04391"/>
    <w:rsid w:val="00B0453A"/>
    <w:rsid w:val="00B0529B"/>
    <w:rsid w:val="00B0547B"/>
    <w:rsid w:val="00B059D4"/>
    <w:rsid w:val="00B060BD"/>
    <w:rsid w:val="00B06A94"/>
    <w:rsid w:val="00B06DC5"/>
    <w:rsid w:val="00B077BB"/>
    <w:rsid w:val="00B0782B"/>
    <w:rsid w:val="00B10493"/>
    <w:rsid w:val="00B1082B"/>
    <w:rsid w:val="00B10DFD"/>
    <w:rsid w:val="00B12410"/>
    <w:rsid w:val="00B1256B"/>
    <w:rsid w:val="00B130FB"/>
    <w:rsid w:val="00B13812"/>
    <w:rsid w:val="00B139FB"/>
    <w:rsid w:val="00B13EEE"/>
    <w:rsid w:val="00B148A5"/>
    <w:rsid w:val="00B148E0"/>
    <w:rsid w:val="00B14C83"/>
    <w:rsid w:val="00B15F5D"/>
    <w:rsid w:val="00B1621F"/>
    <w:rsid w:val="00B163C2"/>
    <w:rsid w:val="00B16CBF"/>
    <w:rsid w:val="00B17002"/>
    <w:rsid w:val="00B17FEF"/>
    <w:rsid w:val="00B200DB"/>
    <w:rsid w:val="00B21684"/>
    <w:rsid w:val="00B2181D"/>
    <w:rsid w:val="00B22284"/>
    <w:rsid w:val="00B22AA0"/>
    <w:rsid w:val="00B23B8B"/>
    <w:rsid w:val="00B23D5A"/>
    <w:rsid w:val="00B23D5B"/>
    <w:rsid w:val="00B2443A"/>
    <w:rsid w:val="00B26A14"/>
    <w:rsid w:val="00B26A24"/>
    <w:rsid w:val="00B2725A"/>
    <w:rsid w:val="00B272D7"/>
    <w:rsid w:val="00B2753C"/>
    <w:rsid w:val="00B2782A"/>
    <w:rsid w:val="00B27AA8"/>
    <w:rsid w:val="00B300EC"/>
    <w:rsid w:val="00B30538"/>
    <w:rsid w:val="00B30E39"/>
    <w:rsid w:val="00B310E7"/>
    <w:rsid w:val="00B316C6"/>
    <w:rsid w:val="00B3179E"/>
    <w:rsid w:val="00B3198F"/>
    <w:rsid w:val="00B31A5C"/>
    <w:rsid w:val="00B31CF6"/>
    <w:rsid w:val="00B3208B"/>
    <w:rsid w:val="00B32204"/>
    <w:rsid w:val="00B33663"/>
    <w:rsid w:val="00B337FE"/>
    <w:rsid w:val="00B34162"/>
    <w:rsid w:val="00B341F9"/>
    <w:rsid w:val="00B34456"/>
    <w:rsid w:val="00B34710"/>
    <w:rsid w:val="00B34BD3"/>
    <w:rsid w:val="00B34E08"/>
    <w:rsid w:val="00B355B9"/>
    <w:rsid w:val="00B35600"/>
    <w:rsid w:val="00B3589A"/>
    <w:rsid w:val="00B35BB5"/>
    <w:rsid w:val="00B36A68"/>
    <w:rsid w:val="00B4069C"/>
    <w:rsid w:val="00B406F6"/>
    <w:rsid w:val="00B40974"/>
    <w:rsid w:val="00B40B4F"/>
    <w:rsid w:val="00B40FDD"/>
    <w:rsid w:val="00B41F32"/>
    <w:rsid w:val="00B421D5"/>
    <w:rsid w:val="00B42747"/>
    <w:rsid w:val="00B42EA5"/>
    <w:rsid w:val="00B4308A"/>
    <w:rsid w:val="00B443F9"/>
    <w:rsid w:val="00B44C7D"/>
    <w:rsid w:val="00B459B4"/>
    <w:rsid w:val="00B45B8C"/>
    <w:rsid w:val="00B46523"/>
    <w:rsid w:val="00B46DCB"/>
    <w:rsid w:val="00B46EF4"/>
    <w:rsid w:val="00B474D5"/>
    <w:rsid w:val="00B5002E"/>
    <w:rsid w:val="00B504E0"/>
    <w:rsid w:val="00B508C1"/>
    <w:rsid w:val="00B50EB8"/>
    <w:rsid w:val="00B51017"/>
    <w:rsid w:val="00B51A95"/>
    <w:rsid w:val="00B523A0"/>
    <w:rsid w:val="00B52648"/>
    <w:rsid w:val="00B52710"/>
    <w:rsid w:val="00B527F8"/>
    <w:rsid w:val="00B5285B"/>
    <w:rsid w:val="00B53E51"/>
    <w:rsid w:val="00B5405B"/>
    <w:rsid w:val="00B5438B"/>
    <w:rsid w:val="00B54424"/>
    <w:rsid w:val="00B545CE"/>
    <w:rsid w:val="00B54743"/>
    <w:rsid w:val="00B54E79"/>
    <w:rsid w:val="00B551A3"/>
    <w:rsid w:val="00B562A2"/>
    <w:rsid w:val="00B5677D"/>
    <w:rsid w:val="00B567F8"/>
    <w:rsid w:val="00B56BB7"/>
    <w:rsid w:val="00B56F71"/>
    <w:rsid w:val="00B56F89"/>
    <w:rsid w:val="00B5771F"/>
    <w:rsid w:val="00B57AFE"/>
    <w:rsid w:val="00B57F49"/>
    <w:rsid w:val="00B60135"/>
    <w:rsid w:val="00B6034E"/>
    <w:rsid w:val="00B60537"/>
    <w:rsid w:val="00B60E0D"/>
    <w:rsid w:val="00B61E24"/>
    <w:rsid w:val="00B624A2"/>
    <w:rsid w:val="00B629D8"/>
    <w:rsid w:val="00B6344F"/>
    <w:rsid w:val="00B65255"/>
    <w:rsid w:val="00B66164"/>
    <w:rsid w:val="00B66553"/>
    <w:rsid w:val="00B67A32"/>
    <w:rsid w:val="00B70D46"/>
    <w:rsid w:val="00B70E31"/>
    <w:rsid w:val="00B7137E"/>
    <w:rsid w:val="00B72068"/>
    <w:rsid w:val="00B72852"/>
    <w:rsid w:val="00B72CE9"/>
    <w:rsid w:val="00B73052"/>
    <w:rsid w:val="00B7359A"/>
    <w:rsid w:val="00B744CD"/>
    <w:rsid w:val="00B7450B"/>
    <w:rsid w:val="00B745AB"/>
    <w:rsid w:val="00B750B0"/>
    <w:rsid w:val="00B758A7"/>
    <w:rsid w:val="00B75D4E"/>
    <w:rsid w:val="00B7627D"/>
    <w:rsid w:val="00B76368"/>
    <w:rsid w:val="00B76677"/>
    <w:rsid w:val="00B76BED"/>
    <w:rsid w:val="00B774DA"/>
    <w:rsid w:val="00B775A0"/>
    <w:rsid w:val="00B7766A"/>
    <w:rsid w:val="00B77789"/>
    <w:rsid w:val="00B779DA"/>
    <w:rsid w:val="00B77DBB"/>
    <w:rsid w:val="00B803EE"/>
    <w:rsid w:val="00B80582"/>
    <w:rsid w:val="00B80984"/>
    <w:rsid w:val="00B810A6"/>
    <w:rsid w:val="00B8206A"/>
    <w:rsid w:val="00B82241"/>
    <w:rsid w:val="00B82604"/>
    <w:rsid w:val="00B826C0"/>
    <w:rsid w:val="00B828C5"/>
    <w:rsid w:val="00B8292C"/>
    <w:rsid w:val="00B83288"/>
    <w:rsid w:val="00B8374B"/>
    <w:rsid w:val="00B84B02"/>
    <w:rsid w:val="00B84CE6"/>
    <w:rsid w:val="00B84F7C"/>
    <w:rsid w:val="00B855B9"/>
    <w:rsid w:val="00B85AC1"/>
    <w:rsid w:val="00B85C01"/>
    <w:rsid w:val="00B85F6B"/>
    <w:rsid w:val="00B868E3"/>
    <w:rsid w:val="00B86B92"/>
    <w:rsid w:val="00B86C63"/>
    <w:rsid w:val="00B90DDD"/>
    <w:rsid w:val="00B91302"/>
    <w:rsid w:val="00B929CE"/>
    <w:rsid w:val="00B92D4F"/>
    <w:rsid w:val="00B92E59"/>
    <w:rsid w:val="00B93411"/>
    <w:rsid w:val="00B938A3"/>
    <w:rsid w:val="00B93A8B"/>
    <w:rsid w:val="00B93A8D"/>
    <w:rsid w:val="00B93AE4"/>
    <w:rsid w:val="00B944CC"/>
    <w:rsid w:val="00B9496A"/>
    <w:rsid w:val="00B95BEC"/>
    <w:rsid w:val="00B95C07"/>
    <w:rsid w:val="00B95E7C"/>
    <w:rsid w:val="00B96913"/>
    <w:rsid w:val="00B969F8"/>
    <w:rsid w:val="00B97CD4"/>
    <w:rsid w:val="00B97D07"/>
    <w:rsid w:val="00B97F50"/>
    <w:rsid w:val="00BA00BE"/>
    <w:rsid w:val="00BA02FF"/>
    <w:rsid w:val="00BA07AB"/>
    <w:rsid w:val="00BA1407"/>
    <w:rsid w:val="00BA1D61"/>
    <w:rsid w:val="00BA22DA"/>
    <w:rsid w:val="00BA32EE"/>
    <w:rsid w:val="00BA36A3"/>
    <w:rsid w:val="00BA3FA9"/>
    <w:rsid w:val="00BA4104"/>
    <w:rsid w:val="00BA4B6F"/>
    <w:rsid w:val="00BA4E0C"/>
    <w:rsid w:val="00BA52E6"/>
    <w:rsid w:val="00BA54F2"/>
    <w:rsid w:val="00BA56B8"/>
    <w:rsid w:val="00BA5F00"/>
    <w:rsid w:val="00BA64C2"/>
    <w:rsid w:val="00BA65DC"/>
    <w:rsid w:val="00BA66DC"/>
    <w:rsid w:val="00BA6861"/>
    <w:rsid w:val="00BA6CA8"/>
    <w:rsid w:val="00BA6E97"/>
    <w:rsid w:val="00BA76E0"/>
    <w:rsid w:val="00BA77F9"/>
    <w:rsid w:val="00BA7B54"/>
    <w:rsid w:val="00BB03DF"/>
    <w:rsid w:val="00BB0467"/>
    <w:rsid w:val="00BB04C2"/>
    <w:rsid w:val="00BB071A"/>
    <w:rsid w:val="00BB0CFC"/>
    <w:rsid w:val="00BB0DB8"/>
    <w:rsid w:val="00BB1543"/>
    <w:rsid w:val="00BB1B35"/>
    <w:rsid w:val="00BB1CF2"/>
    <w:rsid w:val="00BB1F72"/>
    <w:rsid w:val="00BB2B5D"/>
    <w:rsid w:val="00BB2C4A"/>
    <w:rsid w:val="00BB2FA7"/>
    <w:rsid w:val="00BB30A7"/>
    <w:rsid w:val="00BB332E"/>
    <w:rsid w:val="00BB37F2"/>
    <w:rsid w:val="00BB3C87"/>
    <w:rsid w:val="00BB3ED2"/>
    <w:rsid w:val="00BB4069"/>
    <w:rsid w:val="00BB4236"/>
    <w:rsid w:val="00BB4721"/>
    <w:rsid w:val="00BB4CF5"/>
    <w:rsid w:val="00BB4D78"/>
    <w:rsid w:val="00BB56A2"/>
    <w:rsid w:val="00BB6237"/>
    <w:rsid w:val="00BB6627"/>
    <w:rsid w:val="00BB6A54"/>
    <w:rsid w:val="00BB6B34"/>
    <w:rsid w:val="00BB7227"/>
    <w:rsid w:val="00BB7582"/>
    <w:rsid w:val="00BB7727"/>
    <w:rsid w:val="00BC05BB"/>
    <w:rsid w:val="00BC08EC"/>
    <w:rsid w:val="00BC0C89"/>
    <w:rsid w:val="00BC1A20"/>
    <w:rsid w:val="00BC2265"/>
    <w:rsid w:val="00BC2C78"/>
    <w:rsid w:val="00BC3980"/>
    <w:rsid w:val="00BC3E06"/>
    <w:rsid w:val="00BC3F10"/>
    <w:rsid w:val="00BC41FF"/>
    <w:rsid w:val="00BC4297"/>
    <w:rsid w:val="00BC4AFC"/>
    <w:rsid w:val="00BC51C9"/>
    <w:rsid w:val="00BC527B"/>
    <w:rsid w:val="00BC64A6"/>
    <w:rsid w:val="00BC6751"/>
    <w:rsid w:val="00BC68F5"/>
    <w:rsid w:val="00BC693E"/>
    <w:rsid w:val="00BC6986"/>
    <w:rsid w:val="00BC69D0"/>
    <w:rsid w:val="00BD0575"/>
    <w:rsid w:val="00BD07E5"/>
    <w:rsid w:val="00BD0A0F"/>
    <w:rsid w:val="00BD1840"/>
    <w:rsid w:val="00BD1A6D"/>
    <w:rsid w:val="00BD2527"/>
    <w:rsid w:val="00BD2909"/>
    <w:rsid w:val="00BD2CC7"/>
    <w:rsid w:val="00BD2F29"/>
    <w:rsid w:val="00BD334D"/>
    <w:rsid w:val="00BD40AA"/>
    <w:rsid w:val="00BD42A9"/>
    <w:rsid w:val="00BD47E8"/>
    <w:rsid w:val="00BD496D"/>
    <w:rsid w:val="00BD4A80"/>
    <w:rsid w:val="00BD4B15"/>
    <w:rsid w:val="00BD4CD4"/>
    <w:rsid w:val="00BD4E82"/>
    <w:rsid w:val="00BD595F"/>
    <w:rsid w:val="00BD6F7E"/>
    <w:rsid w:val="00BD70AE"/>
    <w:rsid w:val="00BD723F"/>
    <w:rsid w:val="00BE0316"/>
    <w:rsid w:val="00BE0937"/>
    <w:rsid w:val="00BE1387"/>
    <w:rsid w:val="00BE1602"/>
    <w:rsid w:val="00BE1B23"/>
    <w:rsid w:val="00BE1F28"/>
    <w:rsid w:val="00BE2010"/>
    <w:rsid w:val="00BE2570"/>
    <w:rsid w:val="00BE2BB5"/>
    <w:rsid w:val="00BE2CBF"/>
    <w:rsid w:val="00BE2E4C"/>
    <w:rsid w:val="00BE3906"/>
    <w:rsid w:val="00BE3968"/>
    <w:rsid w:val="00BE3B08"/>
    <w:rsid w:val="00BE3D65"/>
    <w:rsid w:val="00BE3F59"/>
    <w:rsid w:val="00BE4B0B"/>
    <w:rsid w:val="00BE4C78"/>
    <w:rsid w:val="00BE56FB"/>
    <w:rsid w:val="00BE61EA"/>
    <w:rsid w:val="00BE6270"/>
    <w:rsid w:val="00BE632A"/>
    <w:rsid w:val="00BE654E"/>
    <w:rsid w:val="00BE6D03"/>
    <w:rsid w:val="00BE6F6B"/>
    <w:rsid w:val="00BE7DF4"/>
    <w:rsid w:val="00BF028D"/>
    <w:rsid w:val="00BF0989"/>
    <w:rsid w:val="00BF10FF"/>
    <w:rsid w:val="00BF11DF"/>
    <w:rsid w:val="00BF1761"/>
    <w:rsid w:val="00BF1B2E"/>
    <w:rsid w:val="00BF223C"/>
    <w:rsid w:val="00BF3016"/>
    <w:rsid w:val="00BF3B31"/>
    <w:rsid w:val="00BF3ECF"/>
    <w:rsid w:val="00BF430E"/>
    <w:rsid w:val="00BF44B6"/>
    <w:rsid w:val="00BF4E02"/>
    <w:rsid w:val="00BF5060"/>
    <w:rsid w:val="00BF50C9"/>
    <w:rsid w:val="00BF5754"/>
    <w:rsid w:val="00BF5896"/>
    <w:rsid w:val="00BF59A5"/>
    <w:rsid w:val="00BF59E2"/>
    <w:rsid w:val="00BF5D3D"/>
    <w:rsid w:val="00BF6081"/>
    <w:rsid w:val="00BF64A4"/>
    <w:rsid w:val="00BF64E3"/>
    <w:rsid w:val="00BF6551"/>
    <w:rsid w:val="00BF66A7"/>
    <w:rsid w:val="00BF6E94"/>
    <w:rsid w:val="00BF754B"/>
    <w:rsid w:val="00BF7E9B"/>
    <w:rsid w:val="00C0011F"/>
    <w:rsid w:val="00C009C3"/>
    <w:rsid w:val="00C00D1F"/>
    <w:rsid w:val="00C00E64"/>
    <w:rsid w:val="00C01013"/>
    <w:rsid w:val="00C011EC"/>
    <w:rsid w:val="00C01474"/>
    <w:rsid w:val="00C01B56"/>
    <w:rsid w:val="00C02046"/>
    <w:rsid w:val="00C025EC"/>
    <w:rsid w:val="00C035DB"/>
    <w:rsid w:val="00C04BCB"/>
    <w:rsid w:val="00C050FF"/>
    <w:rsid w:val="00C055E7"/>
    <w:rsid w:val="00C0594D"/>
    <w:rsid w:val="00C05FDC"/>
    <w:rsid w:val="00C06312"/>
    <w:rsid w:val="00C06471"/>
    <w:rsid w:val="00C065EE"/>
    <w:rsid w:val="00C0696F"/>
    <w:rsid w:val="00C06ACB"/>
    <w:rsid w:val="00C06F05"/>
    <w:rsid w:val="00C07113"/>
    <w:rsid w:val="00C07463"/>
    <w:rsid w:val="00C074A7"/>
    <w:rsid w:val="00C077E0"/>
    <w:rsid w:val="00C07850"/>
    <w:rsid w:val="00C104D0"/>
    <w:rsid w:val="00C10BEC"/>
    <w:rsid w:val="00C125AC"/>
    <w:rsid w:val="00C131A4"/>
    <w:rsid w:val="00C13F0E"/>
    <w:rsid w:val="00C1440C"/>
    <w:rsid w:val="00C14612"/>
    <w:rsid w:val="00C1486C"/>
    <w:rsid w:val="00C15A3A"/>
    <w:rsid w:val="00C15B2A"/>
    <w:rsid w:val="00C16302"/>
    <w:rsid w:val="00C164F5"/>
    <w:rsid w:val="00C1662B"/>
    <w:rsid w:val="00C16652"/>
    <w:rsid w:val="00C17068"/>
    <w:rsid w:val="00C17826"/>
    <w:rsid w:val="00C17921"/>
    <w:rsid w:val="00C20170"/>
    <w:rsid w:val="00C201F1"/>
    <w:rsid w:val="00C20B99"/>
    <w:rsid w:val="00C20CC4"/>
    <w:rsid w:val="00C20D02"/>
    <w:rsid w:val="00C2121D"/>
    <w:rsid w:val="00C21595"/>
    <w:rsid w:val="00C21BCB"/>
    <w:rsid w:val="00C21D1C"/>
    <w:rsid w:val="00C21F3C"/>
    <w:rsid w:val="00C21FC4"/>
    <w:rsid w:val="00C2289D"/>
    <w:rsid w:val="00C22BED"/>
    <w:rsid w:val="00C230E8"/>
    <w:rsid w:val="00C23509"/>
    <w:rsid w:val="00C23B57"/>
    <w:rsid w:val="00C23EE9"/>
    <w:rsid w:val="00C241B3"/>
    <w:rsid w:val="00C24DE0"/>
    <w:rsid w:val="00C24EB5"/>
    <w:rsid w:val="00C25277"/>
    <w:rsid w:val="00C25E88"/>
    <w:rsid w:val="00C26038"/>
    <w:rsid w:val="00C264F4"/>
    <w:rsid w:val="00C265E9"/>
    <w:rsid w:val="00C26A44"/>
    <w:rsid w:val="00C26B93"/>
    <w:rsid w:val="00C271EE"/>
    <w:rsid w:val="00C27504"/>
    <w:rsid w:val="00C277A3"/>
    <w:rsid w:val="00C277EA"/>
    <w:rsid w:val="00C30EB1"/>
    <w:rsid w:val="00C31670"/>
    <w:rsid w:val="00C31B52"/>
    <w:rsid w:val="00C320A9"/>
    <w:rsid w:val="00C3267C"/>
    <w:rsid w:val="00C328D3"/>
    <w:rsid w:val="00C32ACA"/>
    <w:rsid w:val="00C340AB"/>
    <w:rsid w:val="00C34131"/>
    <w:rsid w:val="00C34339"/>
    <w:rsid w:val="00C34596"/>
    <w:rsid w:val="00C34982"/>
    <w:rsid w:val="00C3499F"/>
    <w:rsid w:val="00C35533"/>
    <w:rsid w:val="00C35605"/>
    <w:rsid w:val="00C35620"/>
    <w:rsid w:val="00C360E2"/>
    <w:rsid w:val="00C36765"/>
    <w:rsid w:val="00C36DF2"/>
    <w:rsid w:val="00C379BC"/>
    <w:rsid w:val="00C379D4"/>
    <w:rsid w:val="00C37D1F"/>
    <w:rsid w:val="00C37E0C"/>
    <w:rsid w:val="00C40A91"/>
    <w:rsid w:val="00C41209"/>
    <w:rsid w:val="00C4143D"/>
    <w:rsid w:val="00C414DB"/>
    <w:rsid w:val="00C41783"/>
    <w:rsid w:val="00C41A32"/>
    <w:rsid w:val="00C41E5A"/>
    <w:rsid w:val="00C42022"/>
    <w:rsid w:val="00C42232"/>
    <w:rsid w:val="00C424DC"/>
    <w:rsid w:val="00C42952"/>
    <w:rsid w:val="00C4296E"/>
    <w:rsid w:val="00C42D1B"/>
    <w:rsid w:val="00C43519"/>
    <w:rsid w:val="00C43AF7"/>
    <w:rsid w:val="00C4423E"/>
    <w:rsid w:val="00C44436"/>
    <w:rsid w:val="00C44BBF"/>
    <w:rsid w:val="00C450EE"/>
    <w:rsid w:val="00C45417"/>
    <w:rsid w:val="00C4552B"/>
    <w:rsid w:val="00C45530"/>
    <w:rsid w:val="00C457CF"/>
    <w:rsid w:val="00C47961"/>
    <w:rsid w:val="00C47A94"/>
    <w:rsid w:val="00C47B5D"/>
    <w:rsid w:val="00C500E7"/>
    <w:rsid w:val="00C512AD"/>
    <w:rsid w:val="00C52392"/>
    <w:rsid w:val="00C52A83"/>
    <w:rsid w:val="00C52B28"/>
    <w:rsid w:val="00C52BBC"/>
    <w:rsid w:val="00C52DE7"/>
    <w:rsid w:val="00C5395C"/>
    <w:rsid w:val="00C539A2"/>
    <w:rsid w:val="00C541AE"/>
    <w:rsid w:val="00C54299"/>
    <w:rsid w:val="00C54AD2"/>
    <w:rsid w:val="00C54BCF"/>
    <w:rsid w:val="00C54C72"/>
    <w:rsid w:val="00C54EA3"/>
    <w:rsid w:val="00C55C48"/>
    <w:rsid w:val="00C5690B"/>
    <w:rsid w:val="00C56D4C"/>
    <w:rsid w:val="00C56DE4"/>
    <w:rsid w:val="00C572BB"/>
    <w:rsid w:val="00C573A4"/>
    <w:rsid w:val="00C57C72"/>
    <w:rsid w:val="00C603FF"/>
    <w:rsid w:val="00C60CF5"/>
    <w:rsid w:val="00C61317"/>
    <w:rsid w:val="00C61A60"/>
    <w:rsid w:val="00C61DC0"/>
    <w:rsid w:val="00C620EA"/>
    <w:rsid w:val="00C6214C"/>
    <w:rsid w:val="00C624A6"/>
    <w:rsid w:val="00C634C6"/>
    <w:rsid w:val="00C63A03"/>
    <w:rsid w:val="00C63D6F"/>
    <w:rsid w:val="00C64330"/>
    <w:rsid w:val="00C646C4"/>
    <w:rsid w:val="00C64756"/>
    <w:rsid w:val="00C6499D"/>
    <w:rsid w:val="00C64E00"/>
    <w:rsid w:val="00C653E5"/>
    <w:rsid w:val="00C65971"/>
    <w:rsid w:val="00C659E9"/>
    <w:rsid w:val="00C665F9"/>
    <w:rsid w:val="00C6674A"/>
    <w:rsid w:val="00C67862"/>
    <w:rsid w:val="00C67BE7"/>
    <w:rsid w:val="00C67DDF"/>
    <w:rsid w:val="00C701F5"/>
    <w:rsid w:val="00C70E65"/>
    <w:rsid w:val="00C72515"/>
    <w:rsid w:val="00C73279"/>
    <w:rsid w:val="00C738BE"/>
    <w:rsid w:val="00C73973"/>
    <w:rsid w:val="00C74A08"/>
    <w:rsid w:val="00C75088"/>
    <w:rsid w:val="00C75185"/>
    <w:rsid w:val="00C75893"/>
    <w:rsid w:val="00C758C3"/>
    <w:rsid w:val="00C75B18"/>
    <w:rsid w:val="00C75B83"/>
    <w:rsid w:val="00C75CB0"/>
    <w:rsid w:val="00C75EED"/>
    <w:rsid w:val="00C76210"/>
    <w:rsid w:val="00C7708E"/>
    <w:rsid w:val="00C7736A"/>
    <w:rsid w:val="00C774BA"/>
    <w:rsid w:val="00C779FF"/>
    <w:rsid w:val="00C77D84"/>
    <w:rsid w:val="00C805E4"/>
    <w:rsid w:val="00C80AD2"/>
    <w:rsid w:val="00C80B28"/>
    <w:rsid w:val="00C81513"/>
    <w:rsid w:val="00C81A23"/>
    <w:rsid w:val="00C823E7"/>
    <w:rsid w:val="00C831AD"/>
    <w:rsid w:val="00C83710"/>
    <w:rsid w:val="00C83B34"/>
    <w:rsid w:val="00C83BEC"/>
    <w:rsid w:val="00C83D65"/>
    <w:rsid w:val="00C84054"/>
    <w:rsid w:val="00C84684"/>
    <w:rsid w:val="00C850F5"/>
    <w:rsid w:val="00C85462"/>
    <w:rsid w:val="00C85F83"/>
    <w:rsid w:val="00C866FC"/>
    <w:rsid w:val="00C86EDA"/>
    <w:rsid w:val="00C86F6E"/>
    <w:rsid w:val="00C86FCD"/>
    <w:rsid w:val="00C872C6"/>
    <w:rsid w:val="00C875C6"/>
    <w:rsid w:val="00C875F1"/>
    <w:rsid w:val="00C876DB"/>
    <w:rsid w:val="00C9012F"/>
    <w:rsid w:val="00C90DDD"/>
    <w:rsid w:val="00C91236"/>
    <w:rsid w:val="00C9153A"/>
    <w:rsid w:val="00C916E6"/>
    <w:rsid w:val="00C91A24"/>
    <w:rsid w:val="00C91A8A"/>
    <w:rsid w:val="00C9261E"/>
    <w:rsid w:val="00C926A8"/>
    <w:rsid w:val="00C926FD"/>
    <w:rsid w:val="00C92716"/>
    <w:rsid w:val="00C93529"/>
    <w:rsid w:val="00C935E4"/>
    <w:rsid w:val="00C936B8"/>
    <w:rsid w:val="00C93AA3"/>
    <w:rsid w:val="00C941DF"/>
    <w:rsid w:val="00C94501"/>
    <w:rsid w:val="00C9454C"/>
    <w:rsid w:val="00C94790"/>
    <w:rsid w:val="00C94D04"/>
    <w:rsid w:val="00C95B24"/>
    <w:rsid w:val="00C9601E"/>
    <w:rsid w:val="00C96A66"/>
    <w:rsid w:val="00C974DF"/>
    <w:rsid w:val="00C97A65"/>
    <w:rsid w:val="00C97DC7"/>
    <w:rsid w:val="00CA0F56"/>
    <w:rsid w:val="00CA0FF5"/>
    <w:rsid w:val="00CA1207"/>
    <w:rsid w:val="00CA16C4"/>
    <w:rsid w:val="00CA1B9B"/>
    <w:rsid w:val="00CA1DEE"/>
    <w:rsid w:val="00CA2C56"/>
    <w:rsid w:val="00CA2D3C"/>
    <w:rsid w:val="00CA2F6D"/>
    <w:rsid w:val="00CA361F"/>
    <w:rsid w:val="00CA4BBC"/>
    <w:rsid w:val="00CA5104"/>
    <w:rsid w:val="00CA552F"/>
    <w:rsid w:val="00CA5D73"/>
    <w:rsid w:val="00CA6854"/>
    <w:rsid w:val="00CA6E13"/>
    <w:rsid w:val="00CA7809"/>
    <w:rsid w:val="00CA7A7B"/>
    <w:rsid w:val="00CA7C4E"/>
    <w:rsid w:val="00CA7DBD"/>
    <w:rsid w:val="00CB1279"/>
    <w:rsid w:val="00CB1B56"/>
    <w:rsid w:val="00CB2273"/>
    <w:rsid w:val="00CB2479"/>
    <w:rsid w:val="00CB256C"/>
    <w:rsid w:val="00CB273A"/>
    <w:rsid w:val="00CB3296"/>
    <w:rsid w:val="00CB4686"/>
    <w:rsid w:val="00CB5495"/>
    <w:rsid w:val="00CB5518"/>
    <w:rsid w:val="00CB553D"/>
    <w:rsid w:val="00CB5559"/>
    <w:rsid w:val="00CB665A"/>
    <w:rsid w:val="00CB6FA2"/>
    <w:rsid w:val="00CB7980"/>
    <w:rsid w:val="00CB7B3A"/>
    <w:rsid w:val="00CB7CFB"/>
    <w:rsid w:val="00CC10A4"/>
    <w:rsid w:val="00CC1523"/>
    <w:rsid w:val="00CC167B"/>
    <w:rsid w:val="00CC175D"/>
    <w:rsid w:val="00CC19A6"/>
    <w:rsid w:val="00CC1C2A"/>
    <w:rsid w:val="00CC215B"/>
    <w:rsid w:val="00CC2493"/>
    <w:rsid w:val="00CC2AA0"/>
    <w:rsid w:val="00CC31E2"/>
    <w:rsid w:val="00CC39B0"/>
    <w:rsid w:val="00CC3D2E"/>
    <w:rsid w:val="00CC3DE2"/>
    <w:rsid w:val="00CC44F0"/>
    <w:rsid w:val="00CC512B"/>
    <w:rsid w:val="00CC514E"/>
    <w:rsid w:val="00CC5A16"/>
    <w:rsid w:val="00CC60D3"/>
    <w:rsid w:val="00CC6A47"/>
    <w:rsid w:val="00CC78B8"/>
    <w:rsid w:val="00CD0607"/>
    <w:rsid w:val="00CD0BD6"/>
    <w:rsid w:val="00CD1089"/>
    <w:rsid w:val="00CD11AD"/>
    <w:rsid w:val="00CD144B"/>
    <w:rsid w:val="00CD2339"/>
    <w:rsid w:val="00CD23A0"/>
    <w:rsid w:val="00CD2B5E"/>
    <w:rsid w:val="00CD2ECC"/>
    <w:rsid w:val="00CD3A45"/>
    <w:rsid w:val="00CD3C57"/>
    <w:rsid w:val="00CD4647"/>
    <w:rsid w:val="00CD4BE6"/>
    <w:rsid w:val="00CD4ECB"/>
    <w:rsid w:val="00CD5779"/>
    <w:rsid w:val="00CD5B4A"/>
    <w:rsid w:val="00CD6B00"/>
    <w:rsid w:val="00CD6BC7"/>
    <w:rsid w:val="00CD72E8"/>
    <w:rsid w:val="00CE0E0F"/>
    <w:rsid w:val="00CE1126"/>
    <w:rsid w:val="00CE150A"/>
    <w:rsid w:val="00CE1A46"/>
    <w:rsid w:val="00CE1CDA"/>
    <w:rsid w:val="00CE2362"/>
    <w:rsid w:val="00CE2555"/>
    <w:rsid w:val="00CE2721"/>
    <w:rsid w:val="00CE295D"/>
    <w:rsid w:val="00CE2FBD"/>
    <w:rsid w:val="00CE39D8"/>
    <w:rsid w:val="00CE3C76"/>
    <w:rsid w:val="00CE3F89"/>
    <w:rsid w:val="00CE405B"/>
    <w:rsid w:val="00CE4D61"/>
    <w:rsid w:val="00CE5308"/>
    <w:rsid w:val="00CE5384"/>
    <w:rsid w:val="00CE542B"/>
    <w:rsid w:val="00CE56E6"/>
    <w:rsid w:val="00CE585C"/>
    <w:rsid w:val="00CE58CE"/>
    <w:rsid w:val="00CE5F9F"/>
    <w:rsid w:val="00CE639D"/>
    <w:rsid w:val="00CE694A"/>
    <w:rsid w:val="00CE7567"/>
    <w:rsid w:val="00CE7C07"/>
    <w:rsid w:val="00CE7E8C"/>
    <w:rsid w:val="00CF099A"/>
    <w:rsid w:val="00CF0D14"/>
    <w:rsid w:val="00CF0DEB"/>
    <w:rsid w:val="00CF1B73"/>
    <w:rsid w:val="00CF308E"/>
    <w:rsid w:val="00CF3154"/>
    <w:rsid w:val="00CF3213"/>
    <w:rsid w:val="00CF3D47"/>
    <w:rsid w:val="00CF48B9"/>
    <w:rsid w:val="00CF48D2"/>
    <w:rsid w:val="00CF5598"/>
    <w:rsid w:val="00CF5F50"/>
    <w:rsid w:val="00CF622D"/>
    <w:rsid w:val="00CF65CA"/>
    <w:rsid w:val="00CF6E3B"/>
    <w:rsid w:val="00CF72B9"/>
    <w:rsid w:val="00CF7703"/>
    <w:rsid w:val="00CF7936"/>
    <w:rsid w:val="00CF7ADE"/>
    <w:rsid w:val="00CF7D05"/>
    <w:rsid w:val="00CF7EB0"/>
    <w:rsid w:val="00D0002B"/>
    <w:rsid w:val="00D00A64"/>
    <w:rsid w:val="00D01029"/>
    <w:rsid w:val="00D013D2"/>
    <w:rsid w:val="00D0187D"/>
    <w:rsid w:val="00D018B0"/>
    <w:rsid w:val="00D01EA5"/>
    <w:rsid w:val="00D02436"/>
    <w:rsid w:val="00D02792"/>
    <w:rsid w:val="00D02B12"/>
    <w:rsid w:val="00D02B22"/>
    <w:rsid w:val="00D03495"/>
    <w:rsid w:val="00D0382D"/>
    <w:rsid w:val="00D03840"/>
    <w:rsid w:val="00D03915"/>
    <w:rsid w:val="00D0457D"/>
    <w:rsid w:val="00D04968"/>
    <w:rsid w:val="00D04C08"/>
    <w:rsid w:val="00D05156"/>
    <w:rsid w:val="00D05455"/>
    <w:rsid w:val="00D05572"/>
    <w:rsid w:val="00D05FEF"/>
    <w:rsid w:val="00D063B8"/>
    <w:rsid w:val="00D0684C"/>
    <w:rsid w:val="00D06A16"/>
    <w:rsid w:val="00D06E88"/>
    <w:rsid w:val="00D0709A"/>
    <w:rsid w:val="00D07C60"/>
    <w:rsid w:val="00D10B9F"/>
    <w:rsid w:val="00D116DE"/>
    <w:rsid w:val="00D11B51"/>
    <w:rsid w:val="00D124B7"/>
    <w:rsid w:val="00D12D5F"/>
    <w:rsid w:val="00D1341C"/>
    <w:rsid w:val="00D13552"/>
    <w:rsid w:val="00D13809"/>
    <w:rsid w:val="00D13AB3"/>
    <w:rsid w:val="00D13F50"/>
    <w:rsid w:val="00D141F2"/>
    <w:rsid w:val="00D145BB"/>
    <w:rsid w:val="00D14F5D"/>
    <w:rsid w:val="00D15999"/>
    <w:rsid w:val="00D1680A"/>
    <w:rsid w:val="00D169D9"/>
    <w:rsid w:val="00D17042"/>
    <w:rsid w:val="00D17050"/>
    <w:rsid w:val="00D17AF3"/>
    <w:rsid w:val="00D17BF5"/>
    <w:rsid w:val="00D17EB7"/>
    <w:rsid w:val="00D20873"/>
    <w:rsid w:val="00D20D88"/>
    <w:rsid w:val="00D20E0A"/>
    <w:rsid w:val="00D210A4"/>
    <w:rsid w:val="00D21363"/>
    <w:rsid w:val="00D2172E"/>
    <w:rsid w:val="00D21AD8"/>
    <w:rsid w:val="00D21EFB"/>
    <w:rsid w:val="00D224B9"/>
    <w:rsid w:val="00D22576"/>
    <w:rsid w:val="00D22709"/>
    <w:rsid w:val="00D230CE"/>
    <w:rsid w:val="00D236A8"/>
    <w:rsid w:val="00D241A1"/>
    <w:rsid w:val="00D241F6"/>
    <w:rsid w:val="00D245D2"/>
    <w:rsid w:val="00D24642"/>
    <w:rsid w:val="00D249D6"/>
    <w:rsid w:val="00D25055"/>
    <w:rsid w:val="00D2506A"/>
    <w:rsid w:val="00D25C2F"/>
    <w:rsid w:val="00D25D94"/>
    <w:rsid w:val="00D25EC1"/>
    <w:rsid w:val="00D266DD"/>
    <w:rsid w:val="00D26F52"/>
    <w:rsid w:val="00D2733C"/>
    <w:rsid w:val="00D277B0"/>
    <w:rsid w:val="00D27A6D"/>
    <w:rsid w:val="00D27C38"/>
    <w:rsid w:val="00D27EE4"/>
    <w:rsid w:val="00D302CF"/>
    <w:rsid w:val="00D303F6"/>
    <w:rsid w:val="00D30C27"/>
    <w:rsid w:val="00D30E42"/>
    <w:rsid w:val="00D317AA"/>
    <w:rsid w:val="00D3193A"/>
    <w:rsid w:val="00D321FF"/>
    <w:rsid w:val="00D323A4"/>
    <w:rsid w:val="00D32B17"/>
    <w:rsid w:val="00D32D0F"/>
    <w:rsid w:val="00D33341"/>
    <w:rsid w:val="00D333A4"/>
    <w:rsid w:val="00D33759"/>
    <w:rsid w:val="00D3396D"/>
    <w:rsid w:val="00D345CF"/>
    <w:rsid w:val="00D347B6"/>
    <w:rsid w:val="00D3485D"/>
    <w:rsid w:val="00D348D9"/>
    <w:rsid w:val="00D351D7"/>
    <w:rsid w:val="00D35490"/>
    <w:rsid w:val="00D356C1"/>
    <w:rsid w:val="00D3573D"/>
    <w:rsid w:val="00D36049"/>
    <w:rsid w:val="00D36471"/>
    <w:rsid w:val="00D37609"/>
    <w:rsid w:val="00D400D6"/>
    <w:rsid w:val="00D419D0"/>
    <w:rsid w:val="00D426E0"/>
    <w:rsid w:val="00D42938"/>
    <w:rsid w:val="00D43C07"/>
    <w:rsid w:val="00D43D5F"/>
    <w:rsid w:val="00D45681"/>
    <w:rsid w:val="00D45D27"/>
    <w:rsid w:val="00D460FB"/>
    <w:rsid w:val="00D46C47"/>
    <w:rsid w:val="00D47147"/>
    <w:rsid w:val="00D472B3"/>
    <w:rsid w:val="00D4794A"/>
    <w:rsid w:val="00D47D10"/>
    <w:rsid w:val="00D50479"/>
    <w:rsid w:val="00D513D3"/>
    <w:rsid w:val="00D516D9"/>
    <w:rsid w:val="00D51B42"/>
    <w:rsid w:val="00D51B85"/>
    <w:rsid w:val="00D51F06"/>
    <w:rsid w:val="00D52E4E"/>
    <w:rsid w:val="00D52F97"/>
    <w:rsid w:val="00D533C1"/>
    <w:rsid w:val="00D53648"/>
    <w:rsid w:val="00D53CA4"/>
    <w:rsid w:val="00D546BF"/>
    <w:rsid w:val="00D550A6"/>
    <w:rsid w:val="00D550F0"/>
    <w:rsid w:val="00D55C15"/>
    <w:rsid w:val="00D55E9D"/>
    <w:rsid w:val="00D55F59"/>
    <w:rsid w:val="00D563EE"/>
    <w:rsid w:val="00D56A27"/>
    <w:rsid w:val="00D56E6C"/>
    <w:rsid w:val="00D578BA"/>
    <w:rsid w:val="00D57906"/>
    <w:rsid w:val="00D579F8"/>
    <w:rsid w:val="00D57FE0"/>
    <w:rsid w:val="00D6037E"/>
    <w:rsid w:val="00D60678"/>
    <w:rsid w:val="00D60B70"/>
    <w:rsid w:val="00D60CDC"/>
    <w:rsid w:val="00D60F93"/>
    <w:rsid w:val="00D611EF"/>
    <w:rsid w:val="00D611FF"/>
    <w:rsid w:val="00D61453"/>
    <w:rsid w:val="00D61565"/>
    <w:rsid w:val="00D6178F"/>
    <w:rsid w:val="00D618FB"/>
    <w:rsid w:val="00D61C98"/>
    <w:rsid w:val="00D61E39"/>
    <w:rsid w:val="00D6314A"/>
    <w:rsid w:val="00D63152"/>
    <w:rsid w:val="00D636D0"/>
    <w:rsid w:val="00D64257"/>
    <w:rsid w:val="00D642D9"/>
    <w:rsid w:val="00D64AC1"/>
    <w:rsid w:val="00D64B5D"/>
    <w:rsid w:val="00D65F73"/>
    <w:rsid w:val="00D66153"/>
    <w:rsid w:val="00D66451"/>
    <w:rsid w:val="00D669C5"/>
    <w:rsid w:val="00D67B0D"/>
    <w:rsid w:val="00D70E86"/>
    <w:rsid w:val="00D70F6C"/>
    <w:rsid w:val="00D710E1"/>
    <w:rsid w:val="00D71841"/>
    <w:rsid w:val="00D71A55"/>
    <w:rsid w:val="00D71B31"/>
    <w:rsid w:val="00D71F70"/>
    <w:rsid w:val="00D7259A"/>
    <w:rsid w:val="00D72642"/>
    <w:rsid w:val="00D72CBC"/>
    <w:rsid w:val="00D7319A"/>
    <w:rsid w:val="00D735E9"/>
    <w:rsid w:val="00D73627"/>
    <w:rsid w:val="00D7504A"/>
    <w:rsid w:val="00D75261"/>
    <w:rsid w:val="00D7533F"/>
    <w:rsid w:val="00D768F7"/>
    <w:rsid w:val="00D7758A"/>
    <w:rsid w:val="00D7758F"/>
    <w:rsid w:val="00D77971"/>
    <w:rsid w:val="00D77B36"/>
    <w:rsid w:val="00D77E5C"/>
    <w:rsid w:val="00D80256"/>
    <w:rsid w:val="00D8077D"/>
    <w:rsid w:val="00D81200"/>
    <w:rsid w:val="00D81712"/>
    <w:rsid w:val="00D817FE"/>
    <w:rsid w:val="00D81C15"/>
    <w:rsid w:val="00D81C64"/>
    <w:rsid w:val="00D8344C"/>
    <w:rsid w:val="00D84284"/>
    <w:rsid w:val="00D8439B"/>
    <w:rsid w:val="00D84A59"/>
    <w:rsid w:val="00D84D59"/>
    <w:rsid w:val="00D84F24"/>
    <w:rsid w:val="00D86635"/>
    <w:rsid w:val="00D86BB5"/>
    <w:rsid w:val="00D8704D"/>
    <w:rsid w:val="00D875AA"/>
    <w:rsid w:val="00D8773A"/>
    <w:rsid w:val="00D90222"/>
    <w:rsid w:val="00D9035F"/>
    <w:rsid w:val="00D90B39"/>
    <w:rsid w:val="00D90EB9"/>
    <w:rsid w:val="00D90ED3"/>
    <w:rsid w:val="00D90FD0"/>
    <w:rsid w:val="00D91545"/>
    <w:rsid w:val="00D91909"/>
    <w:rsid w:val="00D919FA"/>
    <w:rsid w:val="00D92B23"/>
    <w:rsid w:val="00D92FF8"/>
    <w:rsid w:val="00D93420"/>
    <w:rsid w:val="00D94112"/>
    <w:rsid w:val="00D94D1C"/>
    <w:rsid w:val="00D94F67"/>
    <w:rsid w:val="00D95E6A"/>
    <w:rsid w:val="00D96A3D"/>
    <w:rsid w:val="00D97C1F"/>
    <w:rsid w:val="00D97E05"/>
    <w:rsid w:val="00D97F11"/>
    <w:rsid w:val="00DA0145"/>
    <w:rsid w:val="00DA01D9"/>
    <w:rsid w:val="00DA0304"/>
    <w:rsid w:val="00DA0915"/>
    <w:rsid w:val="00DA091F"/>
    <w:rsid w:val="00DA0C32"/>
    <w:rsid w:val="00DA0FAF"/>
    <w:rsid w:val="00DA1951"/>
    <w:rsid w:val="00DA1DF2"/>
    <w:rsid w:val="00DA2307"/>
    <w:rsid w:val="00DA26F2"/>
    <w:rsid w:val="00DA2784"/>
    <w:rsid w:val="00DA3B7C"/>
    <w:rsid w:val="00DA4369"/>
    <w:rsid w:val="00DA454D"/>
    <w:rsid w:val="00DA4BD7"/>
    <w:rsid w:val="00DA5E47"/>
    <w:rsid w:val="00DA60E7"/>
    <w:rsid w:val="00DA66F2"/>
    <w:rsid w:val="00DA6CDA"/>
    <w:rsid w:val="00DA6E12"/>
    <w:rsid w:val="00DA71E5"/>
    <w:rsid w:val="00DA7441"/>
    <w:rsid w:val="00DA775A"/>
    <w:rsid w:val="00DA777C"/>
    <w:rsid w:val="00DA784C"/>
    <w:rsid w:val="00DA7980"/>
    <w:rsid w:val="00DA79F6"/>
    <w:rsid w:val="00DA7C06"/>
    <w:rsid w:val="00DB02DC"/>
    <w:rsid w:val="00DB0442"/>
    <w:rsid w:val="00DB0527"/>
    <w:rsid w:val="00DB0A81"/>
    <w:rsid w:val="00DB0DA9"/>
    <w:rsid w:val="00DB0E48"/>
    <w:rsid w:val="00DB1923"/>
    <w:rsid w:val="00DB1E94"/>
    <w:rsid w:val="00DB1F47"/>
    <w:rsid w:val="00DB2310"/>
    <w:rsid w:val="00DB272D"/>
    <w:rsid w:val="00DB2C5C"/>
    <w:rsid w:val="00DB3BA3"/>
    <w:rsid w:val="00DB3D84"/>
    <w:rsid w:val="00DB436D"/>
    <w:rsid w:val="00DB452F"/>
    <w:rsid w:val="00DB459B"/>
    <w:rsid w:val="00DB46C2"/>
    <w:rsid w:val="00DB4980"/>
    <w:rsid w:val="00DB4DC7"/>
    <w:rsid w:val="00DB52DF"/>
    <w:rsid w:val="00DB5623"/>
    <w:rsid w:val="00DB5917"/>
    <w:rsid w:val="00DB5A76"/>
    <w:rsid w:val="00DB64D9"/>
    <w:rsid w:val="00DB6DC7"/>
    <w:rsid w:val="00DB71D6"/>
    <w:rsid w:val="00DB7E39"/>
    <w:rsid w:val="00DB7EFC"/>
    <w:rsid w:val="00DC02CF"/>
    <w:rsid w:val="00DC06F6"/>
    <w:rsid w:val="00DC09A8"/>
    <w:rsid w:val="00DC0C7E"/>
    <w:rsid w:val="00DC16DC"/>
    <w:rsid w:val="00DC1778"/>
    <w:rsid w:val="00DC17B5"/>
    <w:rsid w:val="00DC1DB9"/>
    <w:rsid w:val="00DC22CC"/>
    <w:rsid w:val="00DC22E3"/>
    <w:rsid w:val="00DC323C"/>
    <w:rsid w:val="00DC3ED1"/>
    <w:rsid w:val="00DC3F44"/>
    <w:rsid w:val="00DC4665"/>
    <w:rsid w:val="00DC4B0F"/>
    <w:rsid w:val="00DC4C07"/>
    <w:rsid w:val="00DC513A"/>
    <w:rsid w:val="00DC53BC"/>
    <w:rsid w:val="00DC5448"/>
    <w:rsid w:val="00DC5883"/>
    <w:rsid w:val="00DC58C1"/>
    <w:rsid w:val="00DC5C4C"/>
    <w:rsid w:val="00DC5D93"/>
    <w:rsid w:val="00DC5E11"/>
    <w:rsid w:val="00DC738D"/>
    <w:rsid w:val="00DC76CC"/>
    <w:rsid w:val="00DC78A0"/>
    <w:rsid w:val="00DC7D6E"/>
    <w:rsid w:val="00DD0552"/>
    <w:rsid w:val="00DD0A7D"/>
    <w:rsid w:val="00DD11A4"/>
    <w:rsid w:val="00DD1236"/>
    <w:rsid w:val="00DD1315"/>
    <w:rsid w:val="00DD1661"/>
    <w:rsid w:val="00DD2E61"/>
    <w:rsid w:val="00DD34CF"/>
    <w:rsid w:val="00DD3B33"/>
    <w:rsid w:val="00DD3BA7"/>
    <w:rsid w:val="00DD4E09"/>
    <w:rsid w:val="00DD4E8B"/>
    <w:rsid w:val="00DD518D"/>
    <w:rsid w:val="00DD5F9A"/>
    <w:rsid w:val="00DD6257"/>
    <w:rsid w:val="00DD652F"/>
    <w:rsid w:val="00DD7076"/>
    <w:rsid w:val="00DD73EE"/>
    <w:rsid w:val="00DE1408"/>
    <w:rsid w:val="00DE171B"/>
    <w:rsid w:val="00DE197F"/>
    <w:rsid w:val="00DE1EE0"/>
    <w:rsid w:val="00DE2BE7"/>
    <w:rsid w:val="00DE30E8"/>
    <w:rsid w:val="00DE3308"/>
    <w:rsid w:val="00DE445C"/>
    <w:rsid w:val="00DE4546"/>
    <w:rsid w:val="00DE4561"/>
    <w:rsid w:val="00DE4601"/>
    <w:rsid w:val="00DE50EB"/>
    <w:rsid w:val="00DE588A"/>
    <w:rsid w:val="00DE5A84"/>
    <w:rsid w:val="00DE5AEA"/>
    <w:rsid w:val="00DE5C0B"/>
    <w:rsid w:val="00DE6D24"/>
    <w:rsid w:val="00DE6D3E"/>
    <w:rsid w:val="00DE7167"/>
    <w:rsid w:val="00DE74B2"/>
    <w:rsid w:val="00DE78AF"/>
    <w:rsid w:val="00DF04EC"/>
    <w:rsid w:val="00DF0B8E"/>
    <w:rsid w:val="00DF0E0D"/>
    <w:rsid w:val="00DF0F36"/>
    <w:rsid w:val="00DF1060"/>
    <w:rsid w:val="00DF119A"/>
    <w:rsid w:val="00DF1E79"/>
    <w:rsid w:val="00DF269C"/>
    <w:rsid w:val="00DF283B"/>
    <w:rsid w:val="00DF28DD"/>
    <w:rsid w:val="00DF2DCD"/>
    <w:rsid w:val="00DF2E15"/>
    <w:rsid w:val="00DF346A"/>
    <w:rsid w:val="00DF3B2C"/>
    <w:rsid w:val="00DF4A85"/>
    <w:rsid w:val="00DF4C0B"/>
    <w:rsid w:val="00DF4CA5"/>
    <w:rsid w:val="00DF4E15"/>
    <w:rsid w:val="00DF4F89"/>
    <w:rsid w:val="00DF5663"/>
    <w:rsid w:val="00DF5C03"/>
    <w:rsid w:val="00DF5F22"/>
    <w:rsid w:val="00DF616A"/>
    <w:rsid w:val="00DF6197"/>
    <w:rsid w:val="00DF65A9"/>
    <w:rsid w:val="00DF693E"/>
    <w:rsid w:val="00DF6FED"/>
    <w:rsid w:val="00DF729D"/>
    <w:rsid w:val="00DF7708"/>
    <w:rsid w:val="00DF77A7"/>
    <w:rsid w:val="00DF789D"/>
    <w:rsid w:val="00DF7A4F"/>
    <w:rsid w:val="00DF7A7B"/>
    <w:rsid w:val="00DF7C66"/>
    <w:rsid w:val="00E007A1"/>
    <w:rsid w:val="00E0097D"/>
    <w:rsid w:val="00E00A18"/>
    <w:rsid w:val="00E00E48"/>
    <w:rsid w:val="00E00F2F"/>
    <w:rsid w:val="00E01E12"/>
    <w:rsid w:val="00E01EF0"/>
    <w:rsid w:val="00E02852"/>
    <w:rsid w:val="00E02BFC"/>
    <w:rsid w:val="00E02F96"/>
    <w:rsid w:val="00E0306E"/>
    <w:rsid w:val="00E03B35"/>
    <w:rsid w:val="00E04336"/>
    <w:rsid w:val="00E043C2"/>
    <w:rsid w:val="00E04404"/>
    <w:rsid w:val="00E04735"/>
    <w:rsid w:val="00E04C42"/>
    <w:rsid w:val="00E051F4"/>
    <w:rsid w:val="00E05394"/>
    <w:rsid w:val="00E05399"/>
    <w:rsid w:val="00E05B8B"/>
    <w:rsid w:val="00E05BE8"/>
    <w:rsid w:val="00E05E50"/>
    <w:rsid w:val="00E05F39"/>
    <w:rsid w:val="00E05FA0"/>
    <w:rsid w:val="00E06463"/>
    <w:rsid w:val="00E0673B"/>
    <w:rsid w:val="00E0677E"/>
    <w:rsid w:val="00E06BCB"/>
    <w:rsid w:val="00E072BF"/>
    <w:rsid w:val="00E07819"/>
    <w:rsid w:val="00E07F3C"/>
    <w:rsid w:val="00E10321"/>
    <w:rsid w:val="00E10F28"/>
    <w:rsid w:val="00E13032"/>
    <w:rsid w:val="00E137A3"/>
    <w:rsid w:val="00E13CC4"/>
    <w:rsid w:val="00E14577"/>
    <w:rsid w:val="00E14E48"/>
    <w:rsid w:val="00E1520D"/>
    <w:rsid w:val="00E15231"/>
    <w:rsid w:val="00E152C2"/>
    <w:rsid w:val="00E15504"/>
    <w:rsid w:val="00E157B2"/>
    <w:rsid w:val="00E15863"/>
    <w:rsid w:val="00E15DA7"/>
    <w:rsid w:val="00E15E02"/>
    <w:rsid w:val="00E15E7D"/>
    <w:rsid w:val="00E16693"/>
    <w:rsid w:val="00E16C5C"/>
    <w:rsid w:val="00E16E39"/>
    <w:rsid w:val="00E16EEC"/>
    <w:rsid w:val="00E16FDE"/>
    <w:rsid w:val="00E17F7F"/>
    <w:rsid w:val="00E202BD"/>
    <w:rsid w:val="00E2075E"/>
    <w:rsid w:val="00E2108F"/>
    <w:rsid w:val="00E210B5"/>
    <w:rsid w:val="00E21F23"/>
    <w:rsid w:val="00E22432"/>
    <w:rsid w:val="00E22536"/>
    <w:rsid w:val="00E22DE6"/>
    <w:rsid w:val="00E23DEA"/>
    <w:rsid w:val="00E2441A"/>
    <w:rsid w:val="00E24727"/>
    <w:rsid w:val="00E24C0B"/>
    <w:rsid w:val="00E25070"/>
    <w:rsid w:val="00E264A1"/>
    <w:rsid w:val="00E264CD"/>
    <w:rsid w:val="00E26D25"/>
    <w:rsid w:val="00E27508"/>
    <w:rsid w:val="00E27526"/>
    <w:rsid w:val="00E27ABD"/>
    <w:rsid w:val="00E300D3"/>
    <w:rsid w:val="00E30BFE"/>
    <w:rsid w:val="00E30CC0"/>
    <w:rsid w:val="00E3135E"/>
    <w:rsid w:val="00E3140C"/>
    <w:rsid w:val="00E31522"/>
    <w:rsid w:val="00E315F6"/>
    <w:rsid w:val="00E316B8"/>
    <w:rsid w:val="00E3217F"/>
    <w:rsid w:val="00E32192"/>
    <w:rsid w:val="00E33189"/>
    <w:rsid w:val="00E33339"/>
    <w:rsid w:val="00E335C3"/>
    <w:rsid w:val="00E33B33"/>
    <w:rsid w:val="00E34073"/>
    <w:rsid w:val="00E3410F"/>
    <w:rsid w:val="00E346A6"/>
    <w:rsid w:val="00E3471D"/>
    <w:rsid w:val="00E34D3C"/>
    <w:rsid w:val="00E350AE"/>
    <w:rsid w:val="00E350B0"/>
    <w:rsid w:val="00E3556C"/>
    <w:rsid w:val="00E35A59"/>
    <w:rsid w:val="00E35E2A"/>
    <w:rsid w:val="00E36E40"/>
    <w:rsid w:val="00E3790E"/>
    <w:rsid w:val="00E37BF0"/>
    <w:rsid w:val="00E37C3D"/>
    <w:rsid w:val="00E37D28"/>
    <w:rsid w:val="00E37DDC"/>
    <w:rsid w:val="00E37FE1"/>
    <w:rsid w:val="00E40441"/>
    <w:rsid w:val="00E408D0"/>
    <w:rsid w:val="00E40E61"/>
    <w:rsid w:val="00E40F3B"/>
    <w:rsid w:val="00E4110D"/>
    <w:rsid w:val="00E42105"/>
    <w:rsid w:val="00E42168"/>
    <w:rsid w:val="00E42A95"/>
    <w:rsid w:val="00E42E68"/>
    <w:rsid w:val="00E42ED5"/>
    <w:rsid w:val="00E43329"/>
    <w:rsid w:val="00E43598"/>
    <w:rsid w:val="00E435E1"/>
    <w:rsid w:val="00E43645"/>
    <w:rsid w:val="00E43BED"/>
    <w:rsid w:val="00E43FD8"/>
    <w:rsid w:val="00E4400B"/>
    <w:rsid w:val="00E44395"/>
    <w:rsid w:val="00E447F5"/>
    <w:rsid w:val="00E456D0"/>
    <w:rsid w:val="00E45BCD"/>
    <w:rsid w:val="00E4631B"/>
    <w:rsid w:val="00E4699D"/>
    <w:rsid w:val="00E469E1"/>
    <w:rsid w:val="00E46D82"/>
    <w:rsid w:val="00E479AF"/>
    <w:rsid w:val="00E47B6E"/>
    <w:rsid w:val="00E507E7"/>
    <w:rsid w:val="00E507F0"/>
    <w:rsid w:val="00E51176"/>
    <w:rsid w:val="00E51FBF"/>
    <w:rsid w:val="00E525AF"/>
    <w:rsid w:val="00E52890"/>
    <w:rsid w:val="00E529D8"/>
    <w:rsid w:val="00E53090"/>
    <w:rsid w:val="00E53449"/>
    <w:rsid w:val="00E53E85"/>
    <w:rsid w:val="00E5468E"/>
    <w:rsid w:val="00E54744"/>
    <w:rsid w:val="00E547AD"/>
    <w:rsid w:val="00E548B5"/>
    <w:rsid w:val="00E54988"/>
    <w:rsid w:val="00E55FA6"/>
    <w:rsid w:val="00E560DA"/>
    <w:rsid w:val="00E56600"/>
    <w:rsid w:val="00E56E8D"/>
    <w:rsid w:val="00E57147"/>
    <w:rsid w:val="00E57F53"/>
    <w:rsid w:val="00E57FFA"/>
    <w:rsid w:val="00E60620"/>
    <w:rsid w:val="00E60B26"/>
    <w:rsid w:val="00E612DE"/>
    <w:rsid w:val="00E619D2"/>
    <w:rsid w:val="00E61C8A"/>
    <w:rsid w:val="00E6258F"/>
    <w:rsid w:val="00E62F4F"/>
    <w:rsid w:val="00E63741"/>
    <w:rsid w:val="00E638D2"/>
    <w:rsid w:val="00E638E6"/>
    <w:rsid w:val="00E6426D"/>
    <w:rsid w:val="00E649FF"/>
    <w:rsid w:val="00E65522"/>
    <w:rsid w:val="00E65582"/>
    <w:rsid w:val="00E656E5"/>
    <w:rsid w:val="00E65C42"/>
    <w:rsid w:val="00E66921"/>
    <w:rsid w:val="00E66AC7"/>
    <w:rsid w:val="00E671CE"/>
    <w:rsid w:val="00E673BE"/>
    <w:rsid w:val="00E6747B"/>
    <w:rsid w:val="00E67C84"/>
    <w:rsid w:val="00E70534"/>
    <w:rsid w:val="00E7136A"/>
    <w:rsid w:val="00E71E81"/>
    <w:rsid w:val="00E730EA"/>
    <w:rsid w:val="00E7345E"/>
    <w:rsid w:val="00E736F4"/>
    <w:rsid w:val="00E738EC"/>
    <w:rsid w:val="00E73A2C"/>
    <w:rsid w:val="00E745D0"/>
    <w:rsid w:val="00E747D4"/>
    <w:rsid w:val="00E74EA2"/>
    <w:rsid w:val="00E75B78"/>
    <w:rsid w:val="00E75C67"/>
    <w:rsid w:val="00E75E8D"/>
    <w:rsid w:val="00E75E90"/>
    <w:rsid w:val="00E7607B"/>
    <w:rsid w:val="00E7619D"/>
    <w:rsid w:val="00E76837"/>
    <w:rsid w:val="00E7684C"/>
    <w:rsid w:val="00E77676"/>
    <w:rsid w:val="00E77E37"/>
    <w:rsid w:val="00E81EBE"/>
    <w:rsid w:val="00E820D0"/>
    <w:rsid w:val="00E828CE"/>
    <w:rsid w:val="00E82CD9"/>
    <w:rsid w:val="00E82F11"/>
    <w:rsid w:val="00E83BAB"/>
    <w:rsid w:val="00E83CC9"/>
    <w:rsid w:val="00E845D0"/>
    <w:rsid w:val="00E8474E"/>
    <w:rsid w:val="00E84DB7"/>
    <w:rsid w:val="00E85C1F"/>
    <w:rsid w:val="00E85F68"/>
    <w:rsid w:val="00E86142"/>
    <w:rsid w:val="00E8618E"/>
    <w:rsid w:val="00E868F2"/>
    <w:rsid w:val="00E8710D"/>
    <w:rsid w:val="00E871D1"/>
    <w:rsid w:val="00E8733C"/>
    <w:rsid w:val="00E8760C"/>
    <w:rsid w:val="00E87775"/>
    <w:rsid w:val="00E87FEB"/>
    <w:rsid w:val="00E9095A"/>
    <w:rsid w:val="00E90AAE"/>
    <w:rsid w:val="00E91CFE"/>
    <w:rsid w:val="00E9203A"/>
    <w:rsid w:val="00E92D7A"/>
    <w:rsid w:val="00E92DDC"/>
    <w:rsid w:val="00E9330B"/>
    <w:rsid w:val="00E93685"/>
    <w:rsid w:val="00E95294"/>
    <w:rsid w:val="00E95689"/>
    <w:rsid w:val="00E95C48"/>
    <w:rsid w:val="00E95CC3"/>
    <w:rsid w:val="00E9650F"/>
    <w:rsid w:val="00E96726"/>
    <w:rsid w:val="00E978FF"/>
    <w:rsid w:val="00EA01CD"/>
    <w:rsid w:val="00EA1066"/>
    <w:rsid w:val="00EA144B"/>
    <w:rsid w:val="00EA1B2E"/>
    <w:rsid w:val="00EA1C83"/>
    <w:rsid w:val="00EA20C7"/>
    <w:rsid w:val="00EA2150"/>
    <w:rsid w:val="00EA230F"/>
    <w:rsid w:val="00EA2368"/>
    <w:rsid w:val="00EA237C"/>
    <w:rsid w:val="00EA247A"/>
    <w:rsid w:val="00EA26FD"/>
    <w:rsid w:val="00EA29AB"/>
    <w:rsid w:val="00EA2F60"/>
    <w:rsid w:val="00EA322E"/>
    <w:rsid w:val="00EA3490"/>
    <w:rsid w:val="00EA37B0"/>
    <w:rsid w:val="00EA37B2"/>
    <w:rsid w:val="00EA394C"/>
    <w:rsid w:val="00EA3DF2"/>
    <w:rsid w:val="00EA3F75"/>
    <w:rsid w:val="00EA3FEA"/>
    <w:rsid w:val="00EA40DD"/>
    <w:rsid w:val="00EA4111"/>
    <w:rsid w:val="00EA4171"/>
    <w:rsid w:val="00EA41D7"/>
    <w:rsid w:val="00EA41FF"/>
    <w:rsid w:val="00EA4275"/>
    <w:rsid w:val="00EA4478"/>
    <w:rsid w:val="00EA4EB2"/>
    <w:rsid w:val="00EA4F0B"/>
    <w:rsid w:val="00EA5290"/>
    <w:rsid w:val="00EA52D6"/>
    <w:rsid w:val="00EA55AD"/>
    <w:rsid w:val="00EA59D9"/>
    <w:rsid w:val="00EA6231"/>
    <w:rsid w:val="00EA7291"/>
    <w:rsid w:val="00EA7789"/>
    <w:rsid w:val="00EA7BC7"/>
    <w:rsid w:val="00EA7ECB"/>
    <w:rsid w:val="00EB000A"/>
    <w:rsid w:val="00EB03EE"/>
    <w:rsid w:val="00EB0589"/>
    <w:rsid w:val="00EB10C5"/>
    <w:rsid w:val="00EB1148"/>
    <w:rsid w:val="00EB1517"/>
    <w:rsid w:val="00EB1DA0"/>
    <w:rsid w:val="00EB227E"/>
    <w:rsid w:val="00EB31BB"/>
    <w:rsid w:val="00EB3730"/>
    <w:rsid w:val="00EB37BC"/>
    <w:rsid w:val="00EB3894"/>
    <w:rsid w:val="00EB3C68"/>
    <w:rsid w:val="00EB3DD3"/>
    <w:rsid w:val="00EB3F35"/>
    <w:rsid w:val="00EB43A7"/>
    <w:rsid w:val="00EB44F2"/>
    <w:rsid w:val="00EB4647"/>
    <w:rsid w:val="00EB48E8"/>
    <w:rsid w:val="00EB59E2"/>
    <w:rsid w:val="00EB5D6D"/>
    <w:rsid w:val="00EB6A11"/>
    <w:rsid w:val="00EB6AAB"/>
    <w:rsid w:val="00EB6E03"/>
    <w:rsid w:val="00EB7455"/>
    <w:rsid w:val="00EB7AE5"/>
    <w:rsid w:val="00EC16EB"/>
    <w:rsid w:val="00EC19E5"/>
    <w:rsid w:val="00EC1E34"/>
    <w:rsid w:val="00EC2386"/>
    <w:rsid w:val="00EC2900"/>
    <w:rsid w:val="00EC2FC4"/>
    <w:rsid w:val="00EC32FD"/>
    <w:rsid w:val="00EC336B"/>
    <w:rsid w:val="00EC3C57"/>
    <w:rsid w:val="00EC3C6D"/>
    <w:rsid w:val="00EC4DFA"/>
    <w:rsid w:val="00EC5080"/>
    <w:rsid w:val="00EC5969"/>
    <w:rsid w:val="00EC5AA4"/>
    <w:rsid w:val="00EC5D52"/>
    <w:rsid w:val="00EC5FDE"/>
    <w:rsid w:val="00EC6A92"/>
    <w:rsid w:val="00EC6D42"/>
    <w:rsid w:val="00EC74E2"/>
    <w:rsid w:val="00EC74E3"/>
    <w:rsid w:val="00EC7D7A"/>
    <w:rsid w:val="00EC7E1C"/>
    <w:rsid w:val="00ED0330"/>
    <w:rsid w:val="00ED1B35"/>
    <w:rsid w:val="00ED1C3E"/>
    <w:rsid w:val="00ED233D"/>
    <w:rsid w:val="00ED2EA0"/>
    <w:rsid w:val="00ED2FDE"/>
    <w:rsid w:val="00ED37A7"/>
    <w:rsid w:val="00ED3AD5"/>
    <w:rsid w:val="00ED3C13"/>
    <w:rsid w:val="00ED4563"/>
    <w:rsid w:val="00ED45F1"/>
    <w:rsid w:val="00ED4C44"/>
    <w:rsid w:val="00ED4FDF"/>
    <w:rsid w:val="00ED51D2"/>
    <w:rsid w:val="00ED56A4"/>
    <w:rsid w:val="00ED5B33"/>
    <w:rsid w:val="00ED60E4"/>
    <w:rsid w:val="00ED6379"/>
    <w:rsid w:val="00ED6A8A"/>
    <w:rsid w:val="00ED6B2C"/>
    <w:rsid w:val="00ED7171"/>
    <w:rsid w:val="00ED79CD"/>
    <w:rsid w:val="00EE0048"/>
    <w:rsid w:val="00EE023B"/>
    <w:rsid w:val="00EE02D2"/>
    <w:rsid w:val="00EE04B5"/>
    <w:rsid w:val="00EE10BD"/>
    <w:rsid w:val="00EE199B"/>
    <w:rsid w:val="00EE1AEE"/>
    <w:rsid w:val="00EE1E84"/>
    <w:rsid w:val="00EE2380"/>
    <w:rsid w:val="00EE254D"/>
    <w:rsid w:val="00EE2564"/>
    <w:rsid w:val="00EE2726"/>
    <w:rsid w:val="00EE33B2"/>
    <w:rsid w:val="00EE33CB"/>
    <w:rsid w:val="00EE3CB3"/>
    <w:rsid w:val="00EE42A6"/>
    <w:rsid w:val="00EE43E7"/>
    <w:rsid w:val="00EE4786"/>
    <w:rsid w:val="00EE47F7"/>
    <w:rsid w:val="00EE4E33"/>
    <w:rsid w:val="00EE54AD"/>
    <w:rsid w:val="00EE5A8D"/>
    <w:rsid w:val="00EE6D5E"/>
    <w:rsid w:val="00EE6D81"/>
    <w:rsid w:val="00EF0A48"/>
    <w:rsid w:val="00EF0D5E"/>
    <w:rsid w:val="00EF124B"/>
    <w:rsid w:val="00EF2232"/>
    <w:rsid w:val="00EF2256"/>
    <w:rsid w:val="00EF253A"/>
    <w:rsid w:val="00EF263E"/>
    <w:rsid w:val="00EF291A"/>
    <w:rsid w:val="00EF2D21"/>
    <w:rsid w:val="00EF321D"/>
    <w:rsid w:val="00EF3674"/>
    <w:rsid w:val="00EF3878"/>
    <w:rsid w:val="00EF3B90"/>
    <w:rsid w:val="00EF3BB5"/>
    <w:rsid w:val="00EF54D4"/>
    <w:rsid w:val="00EF5685"/>
    <w:rsid w:val="00EF5A10"/>
    <w:rsid w:val="00EF5BA1"/>
    <w:rsid w:val="00EF66BF"/>
    <w:rsid w:val="00EF709B"/>
    <w:rsid w:val="00EF75FC"/>
    <w:rsid w:val="00EF7698"/>
    <w:rsid w:val="00EF7826"/>
    <w:rsid w:val="00EF7AD7"/>
    <w:rsid w:val="00EF7E33"/>
    <w:rsid w:val="00F00275"/>
    <w:rsid w:val="00F00388"/>
    <w:rsid w:val="00F0065C"/>
    <w:rsid w:val="00F00DED"/>
    <w:rsid w:val="00F0146E"/>
    <w:rsid w:val="00F019C5"/>
    <w:rsid w:val="00F01A26"/>
    <w:rsid w:val="00F01DE9"/>
    <w:rsid w:val="00F02C47"/>
    <w:rsid w:val="00F030E4"/>
    <w:rsid w:val="00F037AA"/>
    <w:rsid w:val="00F037BD"/>
    <w:rsid w:val="00F04620"/>
    <w:rsid w:val="00F05449"/>
    <w:rsid w:val="00F0567F"/>
    <w:rsid w:val="00F057C1"/>
    <w:rsid w:val="00F05A9A"/>
    <w:rsid w:val="00F0626F"/>
    <w:rsid w:val="00F063D4"/>
    <w:rsid w:val="00F075E3"/>
    <w:rsid w:val="00F07803"/>
    <w:rsid w:val="00F10176"/>
    <w:rsid w:val="00F10B4B"/>
    <w:rsid w:val="00F1108E"/>
    <w:rsid w:val="00F113E3"/>
    <w:rsid w:val="00F11E04"/>
    <w:rsid w:val="00F11F43"/>
    <w:rsid w:val="00F1201C"/>
    <w:rsid w:val="00F128C2"/>
    <w:rsid w:val="00F12ADE"/>
    <w:rsid w:val="00F130DE"/>
    <w:rsid w:val="00F13B1F"/>
    <w:rsid w:val="00F13FFF"/>
    <w:rsid w:val="00F14063"/>
    <w:rsid w:val="00F1426B"/>
    <w:rsid w:val="00F143CA"/>
    <w:rsid w:val="00F144F6"/>
    <w:rsid w:val="00F148D6"/>
    <w:rsid w:val="00F14CC0"/>
    <w:rsid w:val="00F14CF9"/>
    <w:rsid w:val="00F1591E"/>
    <w:rsid w:val="00F15FA3"/>
    <w:rsid w:val="00F1621C"/>
    <w:rsid w:val="00F16D27"/>
    <w:rsid w:val="00F16E95"/>
    <w:rsid w:val="00F1733B"/>
    <w:rsid w:val="00F17444"/>
    <w:rsid w:val="00F17631"/>
    <w:rsid w:val="00F178D5"/>
    <w:rsid w:val="00F17AC9"/>
    <w:rsid w:val="00F20157"/>
    <w:rsid w:val="00F20978"/>
    <w:rsid w:val="00F213D0"/>
    <w:rsid w:val="00F21588"/>
    <w:rsid w:val="00F218F7"/>
    <w:rsid w:val="00F2192A"/>
    <w:rsid w:val="00F21B33"/>
    <w:rsid w:val="00F22781"/>
    <w:rsid w:val="00F22A49"/>
    <w:rsid w:val="00F22AE8"/>
    <w:rsid w:val="00F22C10"/>
    <w:rsid w:val="00F22EC6"/>
    <w:rsid w:val="00F2309A"/>
    <w:rsid w:val="00F2319D"/>
    <w:rsid w:val="00F239CB"/>
    <w:rsid w:val="00F24289"/>
    <w:rsid w:val="00F24728"/>
    <w:rsid w:val="00F24A3D"/>
    <w:rsid w:val="00F24DBE"/>
    <w:rsid w:val="00F25175"/>
    <w:rsid w:val="00F25262"/>
    <w:rsid w:val="00F25848"/>
    <w:rsid w:val="00F25876"/>
    <w:rsid w:val="00F25E40"/>
    <w:rsid w:val="00F25EB9"/>
    <w:rsid w:val="00F26303"/>
    <w:rsid w:val="00F26510"/>
    <w:rsid w:val="00F2671B"/>
    <w:rsid w:val="00F2673B"/>
    <w:rsid w:val="00F27640"/>
    <w:rsid w:val="00F3008B"/>
    <w:rsid w:val="00F30883"/>
    <w:rsid w:val="00F30DFC"/>
    <w:rsid w:val="00F30F3E"/>
    <w:rsid w:val="00F30FCA"/>
    <w:rsid w:val="00F3158D"/>
    <w:rsid w:val="00F31680"/>
    <w:rsid w:val="00F316C2"/>
    <w:rsid w:val="00F31A9F"/>
    <w:rsid w:val="00F31D4A"/>
    <w:rsid w:val="00F31F19"/>
    <w:rsid w:val="00F31F9E"/>
    <w:rsid w:val="00F32414"/>
    <w:rsid w:val="00F327FC"/>
    <w:rsid w:val="00F32A5E"/>
    <w:rsid w:val="00F32AA5"/>
    <w:rsid w:val="00F32F0D"/>
    <w:rsid w:val="00F3409E"/>
    <w:rsid w:val="00F340C5"/>
    <w:rsid w:val="00F34743"/>
    <w:rsid w:val="00F34AC6"/>
    <w:rsid w:val="00F34BB4"/>
    <w:rsid w:val="00F34CD4"/>
    <w:rsid w:val="00F34DB0"/>
    <w:rsid w:val="00F35514"/>
    <w:rsid w:val="00F35C8F"/>
    <w:rsid w:val="00F35DB1"/>
    <w:rsid w:val="00F3628B"/>
    <w:rsid w:val="00F36693"/>
    <w:rsid w:val="00F366E3"/>
    <w:rsid w:val="00F36887"/>
    <w:rsid w:val="00F36A89"/>
    <w:rsid w:val="00F377FE"/>
    <w:rsid w:val="00F37DBD"/>
    <w:rsid w:val="00F403A7"/>
    <w:rsid w:val="00F40607"/>
    <w:rsid w:val="00F4068D"/>
    <w:rsid w:val="00F41751"/>
    <w:rsid w:val="00F41940"/>
    <w:rsid w:val="00F41942"/>
    <w:rsid w:val="00F4197C"/>
    <w:rsid w:val="00F419D4"/>
    <w:rsid w:val="00F41BB7"/>
    <w:rsid w:val="00F436A4"/>
    <w:rsid w:val="00F43EE0"/>
    <w:rsid w:val="00F44D42"/>
    <w:rsid w:val="00F4576D"/>
    <w:rsid w:val="00F4589E"/>
    <w:rsid w:val="00F45F97"/>
    <w:rsid w:val="00F460DF"/>
    <w:rsid w:val="00F46183"/>
    <w:rsid w:val="00F46284"/>
    <w:rsid w:val="00F46362"/>
    <w:rsid w:val="00F46517"/>
    <w:rsid w:val="00F465D0"/>
    <w:rsid w:val="00F46B51"/>
    <w:rsid w:val="00F473A1"/>
    <w:rsid w:val="00F47D1C"/>
    <w:rsid w:val="00F5003A"/>
    <w:rsid w:val="00F500A7"/>
    <w:rsid w:val="00F50F0E"/>
    <w:rsid w:val="00F51933"/>
    <w:rsid w:val="00F51E56"/>
    <w:rsid w:val="00F51EA1"/>
    <w:rsid w:val="00F52108"/>
    <w:rsid w:val="00F52672"/>
    <w:rsid w:val="00F53390"/>
    <w:rsid w:val="00F53CD6"/>
    <w:rsid w:val="00F54015"/>
    <w:rsid w:val="00F5451F"/>
    <w:rsid w:val="00F54590"/>
    <w:rsid w:val="00F54900"/>
    <w:rsid w:val="00F54A0B"/>
    <w:rsid w:val="00F54FB7"/>
    <w:rsid w:val="00F55866"/>
    <w:rsid w:val="00F56148"/>
    <w:rsid w:val="00F56622"/>
    <w:rsid w:val="00F566A9"/>
    <w:rsid w:val="00F56BFA"/>
    <w:rsid w:val="00F5749D"/>
    <w:rsid w:val="00F57975"/>
    <w:rsid w:val="00F6000E"/>
    <w:rsid w:val="00F60EAA"/>
    <w:rsid w:val="00F60F3B"/>
    <w:rsid w:val="00F61079"/>
    <w:rsid w:val="00F617B1"/>
    <w:rsid w:val="00F61F58"/>
    <w:rsid w:val="00F6203B"/>
    <w:rsid w:val="00F634A8"/>
    <w:rsid w:val="00F63945"/>
    <w:rsid w:val="00F63DE1"/>
    <w:rsid w:val="00F640B1"/>
    <w:rsid w:val="00F64113"/>
    <w:rsid w:val="00F645C6"/>
    <w:rsid w:val="00F6485C"/>
    <w:rsid w:val="00F64988"/>
    <w:rsid w:val="00F64B57"/>
    <w:rsid w:val="00F6595E"/>
    <w:rsid w:val="00F659F6"/>
    <w:rsid w:val="00F65D06"/>
    <w:rsid w:val="00F65EA2"/>
    <w:rsid w:val="00F66B5F"/>
    <w:rsid w:val="00F678C4"/>
    <w:rsid w:val="00F67981"/>
    <w:rsid w:val="00F67B0F"/>
    <w:rsid w:val="00F704E1"/>
    <w:rsid w:val="00F704E9"/>
    <w:rsid w:val="00F70841"/>
    <w:rsid w:val="00F71E5B"/>
    <w:rsid w:val="00F72B6B"/>
    <w:rsid w:val="00F72E54"/>
    <w:rsid w:val="00F72F38"/>
    <w:rsid w:val="00F7304F"/>
    <w:rsid w:val="00F73B3C"/>
    <w:rsid w:val="00F73DC5"/>
    <w:rsid w:val="00F740AF"/>
    <w:rsid w:val="00F74353"/>
    <w:rsid w:val="00F7510A"/>
    <w:rsid w:val="00F75AAE"/>
    <w:rsid w:val="00F75FBD"/>
    <w:rsid w:val="00F802A0"/>
    <w:rsid w:val="00F809F5"/>
    <w:rsid w:val="00F80D96"/>
    <w:rsid w:val="00F81278"/>
    <w:rsid w:val="00F81A99"/>
    <w:rsid w:val="00F81BBF"/>
    <w:rsid w:val="00F81E74"/>
    <w:rsid w:val="00F82088"/>
    <w:rsid w:val="00F82669"/>
    <w:rsid w:val="00F829A7"/>
    <w:rsid w:val="00F82EE6"/>
    <w:rsid w:val="00F84F10"/>
    <w:rsid w:val="00F84FCE"/>
    <w:rsid w:val="00F8513C"/>
    <w:rsid w:val="00F855AC"/>
    <w:rsid w:val="00F8596A"/>
    <w:rsid w:val="00F859DC"/>
    <w:rsid w:val="00F859E7"/>
    <w:rsid w:val="00F85AAA"/>
    <w:rsid w:val="00F85B52"/>
    <w:rsid w:val="00F85C13"/>
    <w:rsid w:val="00F85D8A"/>
    <w:rsid w:val="00F86A4A"/>
    <w:rsid w:val="00F87334"/>
    <w:rsid w:val="00F875EF"/>
    <w:rsid w:val="00F87799"/>
    <w:rsid w:val="00F87C86"/>
    <w:rsid w:val="00F904DF"/>
    <w:rsid w:val="00F90B92"/>
    <w:rsid w:val="00F913D4"/>
    <w:rsid w:val="00F914CF"/>
    <w:rsid w:val="00F91971"/>
    <w:rsid w:val="00F91BC0"/>
    <w:rsid w:val="00F91EC0"/>
    <w:rsid w:val="00F92742"/>
    <w:rsid w:val="00F92A82"/>
    <w:rsid w:val="00F931B6"/>
    <w:rsid w:val="00F936E8"/>
    <w:rsid w:val="00F93A09"/>
    <w:rsid w:val="00F93B68"/>
    <w:rsid w:val="00F93E0F"/>
    <w:rsid w:val="00F941EE"/>
    <w:rsid w:val="00F94214"/>
    <w:rsid w:val="00F9433A"/>
    <w:rsid w:val="00F9451E"/>
    <w:rsid w:val="00F94D2D"/>
    <w:rsid w:val="00F9584E"/>
    <w:rsid w:val="00F959E1"/>
    <w:rsid w:val="00F95AA6"/>
    <w:rsid w:val="00F96544"/>
    <w:rsid w:val="00F96813"/>
    <w:rsid w:val="00F96925"/>
    <w:rsid w:val="00F969F1"/>
    <w:rsid w:val="00F970B1"/>
    <w:rsid w:val="00F973B9"/>
    <w:rsid w:val="00F976FA"/>
    <w:rsid w:val="00F9772B"/>
    <w:rsid w:val="00F977AD"/>
    <w:rsid w:val="00F979FE"/>
    <w:rsid w:val="00F97AC9"/>
    <w:rsid w:val="00F97BB0"/>
    <w:rsid w:val="00FA02FB"/>
    <w:rsid w:val="00FA0652"/>
    <w:rsid w:val="00FA0D5D"/>
    <w:rsid w:val="00FA0F39"/>
    <w:rsid w:val="00FA10A3"/>
    <w:rsid w:val="00FA156D"/>
    <w:rsid w:val="00FA1C90"/>
    <w:rsid w:val="00FA1CAB"/>
    <w:rsid w:val="00FA1F6B"/>
    <w:rsid w:val="00FA237D"/>
    <w:rsid w:val="00FA23E9"/>
    <w:rsid w:val="00FA3D5D"/>
    <w:rsid w:val="00FA3F46"/>
    <w:rsid w:val="00FA4313"/>
    <w:rsid w:val="00FA49D9"/>
    <w:rsid w:val="00FA4EF7"/>
    <w:rsid w:val="00FA52CC"/>
    <w:rsid w:val="00FA52F3"/>
    <w:rsid w:val="00FA5743"/>
    <w:rsid w:val="00FA58BC"/>
    <w:rsid w:val="00FA7188"/>
    <w:rsid w:val="00FA799B"/>
    <w:rsid w:val="00FA7A50"/>
    <w:rsid w:val="00FA7C44"/>
    <w:rsid w:val="00FA7F4C"/>
    <w:rsid w:val="00FB009D"/>
    <w:rsid w:val="00FB030D"/>
    <w:rsid w:val="00FB05CE"/>
    <w:rsid w:val="00FB0714"/>
    <w:rsid w:val="00FB087B"/>
    <w:rsid w:val="00FB0947"/>
    <w:rsid w:val="00FB09CD"/>
    <w:rsid w:val="00FB0ECE"/>
    <w:rsid w:val="00FB10B1"/>
    <w:rsid w:val="00FB1708"/>
    <w:rsid w:val="00FB18AF"/>
    <w:rsid w:val="00FB1EB8"/>
    <w:rsid w:val="00FB20B0"/>
    <w:rsid w:val="00FB28D0"/>
    <w:rsid w:val="00FB3085"/>
    <w:rsid w:val="00FB3A76"/>
    <w:rsid w:val="00FB4070"/>
    <w:rsid w:val="00FB422A"/>
    <w:rsid w:val="00FB44AF"/>
    <w:rsid w:val="00FB4942"/>
    <w:rsid w:val="00FB4CE5"/>
    <w:rsid w:val="00FB4D49"/>
    <w:rsid w:val="00FB4D61"/>
    <w:rsid w:val="00FB4F9E"/>
    <w:rsid w:val="00FB5061"/>
    <w:rsid w:val="00FB521A"/>
    <w:rsid w:val="00FB582B"/>
    <w:rsid w:val="00FB60B9"/>
    <w:rsid w:val="00FB628D"/>
    <w:rsid w:val="00FB6427"/>
    <w:rsid w:val="00FB6B77"/>
    <w:rsid w:val="00FB6C73"/>
    <w:rsid w:val="00FB6C77"/>
    <w:rsid w:val="00FB6DC0"/>
    <w:rsid w:val="00FB6F80"/>
    <w:rsid w:val="00FB6F86"/>
    <w:rsid w:val="00FB7C68"/>
    <w:rsid w:val="00FB7D05"/>
    <w:rsid w:val="00FC09EA"/>
    <w:rsid w:val="00FC0B27"/>
    <w:rsid w:val="00FC0B67"/>
    <w:rsid w:val="00FC1548"/>
    <w:rsid w:val="00FC15B4"/>
    <w:rsid w:val="00FC1A1F"/>
    <w:rsid w:val="00FC1B48"/>
    <w:rsid w:val="00FC1BBC"/>
    <w:rsid w:val="00FC1ED3"/>
    <w:rsid w:val="00FC2446"/>
    <w:rsid w:val="00FC2A65"/>
    <w:rsid w:val="00FC349E"/>
    <w:rsid w:val="00FC41D7"/>
    <w:rsid w:val="00FC4707"/>
    <w:rsid w:val="00FC506B"/>
    <w:rsid w:val="00FC524F"/>
    <w:rsid w:val="00FC5608"/>
    <w:rsid w:val="00FC5BC7"/>
    <w:rsid w:val="00FC5E0C"/>
    <w:rsid w:val="00FC5F13"/>
    <w:rsid w:val="00FC701F"/>
    <w:rsid w:val="00FC73D3"/>
    <w:rsid w:val="00FC763D"/>
    <w:rsid w:val="00FC7B17"/>
    <w:rsid w:val="00FC7BE8"/>
    <w:rsid w:val="00FC7CD4"/>
    <w:rsid w:val="00FD0332"/>
    <w:rsid w:val="00FD098D"/>
    <w:rsid w:val="00FD0DB2"/>
    <w:rsid w:val="00FD1267"/>
    <w:rsid w:val="00FD1712"/>
    <w:rsid w:val="00FD1D6D"/>
    <w:rsid w:val="00FD1F77"/>
    <w:rsid w:val="00FD2126"/>
    <w:rsid w:val="00FD2233"/>
    <w:rsid w:val="00FD3BE6"/>
    <w:rsid w:val="00FD4516"/>
    <w:rsid w:val="00FD45B0"/>
    <w:rsid w:val="00FD5367"/>
    <w:rsid w:val="00FD5621"/>
    <w:rsid w:val="00FD56A2"/>
    <w:rsid w:val="00FD5994"/>
    <w:rsid w:val="00FD5D31"/>
    <w:rsid w:val="00FD64F3"/>
    <w:rsid w:val="00FD6AF5"/>
    <w:rsid w:val="00FD6DF1"/>
    <w:rsid w:val="00FD750F"/>
    <w:rsid w:val="00FD79DA"/>
    <w:rsid w:val="00FE0237"/>
    <w:rsid w:val="00FE0383"/>
    <w:rsid w:val="00FE03B7"/>
    <w:rsid w:val="00FE0546"/>
    <w:rsid w:val="00FE055B"/>
    <w:rsid w:val="00FE0C79"/>
    <w:rsid w:val="00FE0CDA"/>
    <w:rsid w:val="00FE114C"/>
    <w:rsid w:val="00FE1364"/>
    <w:rsid w:val="00FE1390"/>
    <w:rsid w:val="00FE13FF"/>
    <w:rsid w:val="00FE1F1F"/>
    <w:rsid w:val="00FE22F3"/>
    <w:rsid w:val="00FE2A02"/>
    <w:rsid w:val="00FE379F"/>
    <w:rsid w:val="00FE382F"/>
    <w:rsid w:val="00FE3A12"/>
    <w:rsid w:val="00FE3C80"/>
    <w:rsid w:val="00FE43E4"/>
    <w:rsid w:val="00FE5649"/>
    <w:rsid w:val="00FE6453"/>
    <w:rsid w:val="00FE69F1"/>
    <w:rsid w:val="00FE70B6"/>
    <w:rsid w:val="00FE713D"/>
    <w:rsid w:val="00FE7334"/>
    <w:rsid w:val="00FE74CC"/>
    <w:rsid w:val="00FE7686"/>
    <w:rsid w:val="00FE76DD"/>
    <w:rsid w:val="00FE7E2E"/>
    <w:rsid w:val="00FF09CA"/>
    <w:rsid w:val="00FF0F08"/>
    <w:rsid w:val="00FF0F58"/>
    <w:rsid w:val="00FF0F61"/>
    <w:rsid w:val="00FF1140"/>
    <w:rsid w:val="00FF1487"/>
    <w:rsid w:val="00FF14E6"/>
    <w:rsid w:val="00FF155F"/>
    <w:rsid w:val="00FF2882"/>
    <w:rsid w:val="00FF40C4"/>
    <w:rsid w:val="00FF473D"/>
    <w:rsid w:val="00FF4B94"/>
    <w:rsid w:val="00FF5D88"/>
    <w:rsid w:val="00FF6379"/>
    <w:rsid w:val="00FF6B3F"/>
    <w:rsid w:val="00FF6EAC"/>
    <w:rsid w:val="00FF735C"/>
    <w:rsid w:val="0230851C"/>
    <w:rsid w:val="09AD5054"/>
    <w:rsid w:val="0D200FBE"/>
    <w:rsid w:val="0DE32393"/>
    <w:rsid w:val="0F1B9B1D"/>
    <w:rsid w:val="1022C8B0"/>
    <w:rsid w:val="1024C93B"/>
    <w:rsid w:val="115FDB66"/>
    <w:rsid w:val="180DE3E8"/>
    <w:rsid w:val="18478ABB"/>
    <w:rsid w:val="1870057B"/>
    <w:rsid w:val="19811B51"/>
    <w:rsid w:val="1984FAEB"/>
    <w:rsid w:val="1A1B9C1E"/>
    <w:rsid w:val="1AF3BE15"/>
    <w:rsid w:val="1B46BDB0"/>
    <w:rsid w:val="1CFFD01C"/>
    <w:rsid w:val="1F1F3F88"/>
    <w:rsid w:val="20BFFD31"/>
    <w:rsid w:val="2287E569"/>
    <w:rsid w:val="22BC72DF"/>
    <w:rsid w:val="248CE4B0"/>
    <w:rsid w:val="29EBA1B5"/>
    <w:rsid w:val="2F484DD0"/>
    <w:rsid w:val="306FA0D0"/>
    <w:rsid w:val="30E302BA"/>
    <w:rsid w:val="326A7614"/>
    <w:rsid w:val="38B2DE83"/>
    <w:rsid w:val="3BA17603"/>
    <w:rsid w:val="3BA2C3FE"/>
    <w:rsid w:val="3C437F4F"/>
    <w:rsid w:val="3CC83329"/>
    <w:rsid w:val="3D2776C8"/>
    <w:rsid w:val="3D8513AE"/>
    <w:rsid w:val="3DF7A100"/>
    <w:rsid w:val="40EE6442"/>
    <w:rsid w:val="42700561"/>
    <w:rsid w:val="438F2543"/>
    <w:rsid w:val="43A7E367"/>
    <w:rsid w:val="4425BF71"/>
    <w:rsid w:val="44F787A6"/>
    <w:rsid w:val="477F0A0B"/>
    <w:rsid w:val="4A3DE66B"/>
    <w:rsid w:val="4C197D5E"/>
    <w:rsid w:val="4CACCCBD"/>
    <w:rsid w:val="4D460ED9"/>
    <w:rsid w:val="4E07C03A"/>
    <w:rsid w:val="4E56D882"/>
    <w:rsid w:val="4E9F40AA"/>
    <w:rsid w:val="4EEE7602"/>
    <w:rsid w:val="4FFB4B2E"/>
    <w:rsid w:val="5147374D"/>
    <w:rsid w:val="528DE9B2"/>
    <w:rsid w:val="564F1960"/>
    <w:rsid w:val="5733C97E"/>
    <w:rsid w:val="58B2803A"/>
    <w:rsid w:val="5B55D63C"/>
    <w:rsid w:val="5B95D604"/>
    <w:rsid w:val="5F089550"/>
    <w:rsid w:val="60E4FD9F"/>
    <w:rsid w:val="62DAEE92"/>
    <w:rsid w:val="648D7C5D"/>
    <w:rsid w:val="655F6751"/>
    <w:rsid w:val="679859DA"/>
    <w:rsid w:val="6841A4AB"/>
    <w:rsid w:val="693DA761"/>
    <w:rsid w:val="69EDF318"/>
    <w:rsid w:val="6A0CAEF6"/>
    <w:rsid w:val="6C3C1799"/>
    <w:rsid w:val="7214D2EC"/>
    <w:rsid w:val="723ABCB0"/>
    <w:rsid w:val="76B2962E"/>
    <w:rsid w:val="7C3072D0"/>
    <w:rsid w:val="7D75061B"/>
    <w:rsid w:val="7DBBD1A8"/>
    <w:rsid w:val="7DF6E377"/>
    <w:rsid w:val="7EF46B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7803D"/>
  <w15:chartTrackingRefBased/>
  <w15:docId w15:val="{35AE891B-DF6D-42D9-89D7-86E2E718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39"/>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7" w:qFormat="1"/>
    <w:lsdException w:name="List Number" w:uiPriority="2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7" w:qFormat="1"/>
    <w:lsdException w:name="List Bullet 3" w:uiPriority="17" w:qFormat="1"/>
    <w:lsdException w:name="List Bullet 4" w:uiPriority="17" w:qFormat="1"/>
    <w:lsdException w:name="List Bullet 5" w:uiPriority="17"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uiPriority="3"/>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3"/>
    <w:pPr>
      <w:spacing w:after="240" w:line="270" w:lineRule="atLeast"/>
    </w:pPr>
  </w:style>
  <w:style w:type="paragraph" w:styleId="Heading1">
    <w:name w:val="heading 1"/>
    <w:basedOn w:val="Normal"/>
    <w:next w:val="Normal"/>
    <w:link w:val="Heading1Char"/>
    <w:uiPriority w:val="9"/>
    <w:qFormat/>
    <w:rsid w:val="00532217"/>
    <w:pPr>
      <w:keepNext/>
      <w:keepLines/>
      <w:pageBreakBefore/>
      <w:pBdr>
        <w:bottom w:val="single" w:sz="4" w:space="14" w:color="999B9E"/>
      </w:pBdr>
      <w:spacing w:line="432" w:lineRule="exact"/>
      <w:outlineLvl w:val="0"/>
    </w:pPr>
    <w:rPr>
      <w:rFonts w:asciiTheme="majorHAnsi" w:eastAsiaTheme="majorEastAsia" w:hAnsiTheme="majorHAnsi" w:cstheme="majorBidi"/>
      <w:b/>
      <w:color w:val="800014" w:themeColor="text2"/>
      <w:sz w:val="36"/>
      <w:szCs w:val="32"/>
    </w:rPr>
  </w:style>
  <w:style w:type="paragraph" w:styleId="Heading2">
    <w:name w:val="heading 2"/>
    <w:basedOn w:val="Normal"/>
    <w:next w:val="Normal"/>
    <w:link w:val="Heading2Char"/>
    <w:uiPriority w:val="9"/>
    <w:qFormat/>
    <w:rsid w:val="00A2285B"/>
    <w:pPr>
      <w:keepNext/>
      <w:keepLines/>
      <w:spacing w:before="90" w:after="90" w:line="384" w:lineRule="exact"/>
      <w:outlineLvl w:val="1"/>
    </w:pPr>
    <w:rPr>
      <w:rFonts w:asciiTheme="majorHAnsi" w:eastAsiaTheme="majorEastAsia" w:hAnsiTheme="majorHAnsi" w:cstheme="majorBidi"/>
      <w:b/>
      <w:color w:val="404142"/>
      <w:sz w:val="32"/>
      <w:szCs w:val="26"/>
    </w:rPr>
  </w:style>
  <w:style w:type="paragraph" w:styleId="Heading3">
    <w:name w:val="heading 3"/>
    <w:basedOn w:val="Normal"/>
    <w:next w:val="Normal"/>
    <w:link w:val="Heading3Char"/>
    <w:uiPriority w:val="9"/>
    <w:qFormat/>
    <w:rsid w:val="00BF11DF"/>
    <w:pPr>
      <w:keepNext/>
      <w:keepLines/>
      <w:spacing w:before="90" w:after="90" w:line="336" w:lineRule="exact"/>
      <w:outlineLvl w:val="2"/>
    </w:pPr>
    <w:rPr>
      <w:rFonts w:asciiTheme="majorHAnsi" w:eastAsiaTheme="majorEastAsia" w:hAnsiTheme="majorHAnsi" w:cstheme="majorBidi"/>
      <w:b/>
      <w:i/>
      <w:color w:val="800014" w:themeColor="text2"/>
      <w:sz w:val="28"/>
      <w:szCs w:val="24"/>
    </w:rPr>
  </w:style>
  <w:style w:type="paragraph" w:styleId="Heading4">
    <w:name w:val="heading 4"/>
    <w:basedOn w:val="Heading6"/>
    <w:next w:val="Normal"/>
    <w:link w:val="Heading4Char"/>
    <w:uiPriority w:val="9"/>
    <w:qFormat/>
    <w:rsid w:val="00903EE9"/>
    <w:pPr>
      <w:outlineLvl w:val="3"/>
    </w:pPr>
    <w:rPr>
      <w:i w:val="0"/>
      <w:caps/>
    </w:rPr>
  </w:style>
  <w:style w:type="paragraph" w:styleId="Heading5">
    <w:name w:val="heading 5"/>
    <w:basedOn w:val="Normal"/>
    <w:next w:val="Normal"/>
    <w:link w:val="Heading5Char"/>
    <w:uiPriority w:val="9"/>
    <w:qFormat/>
    <w:rsid w:val="001345D9"/>
    <w:pPr>
      <w:keepNext/>
      <w:keepLines/>
      <w:spacing w:before="90" w:after="90" w:line="264" w:lineRule="exact"/>
      <w:outlineLvl w:val="4"/>
    </w:pPr>
    <w:rPr>
      <w:rFonts w:asciiTheme="majorHAnsi" w:eastAsiaTheme="majorEastAsia" w:hAnsiTheme="majorHAnsi" w:cstheme="majorBidi"/>
      <w:b/>
      <w:iCs/>
      <w:color w:val="000000" w:themeColor="text1"/>
    </w:rPr>
  </w:style>
  <w:style w:type="paragraph" w:styleId="Heading6">
    <w:name w:val="heading 6"/>
    <w:basedOn w:val="Normal"/>
    <w:next w:val="Normal"/>
    <w:link w:val="Heading6Char"/>
    <w:uiPriority w:val="9"/>
    <w:qFormat/>
    <w:rsid w:val="00F00275"/>
    <w:pPr>
      <w:keepNext/>
      <w:keepLines/>
      <w:spacing w:before="90" w:after="90" w:line="264" w:lineRule="atLeast"/>
      <w:outlineLvl w:val="5"/>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916E6"/>
    <w:pPr>
      <w:tabs>
        <w:tab w:val="center" w:pos="4680"/>
        <w:tab w:val="right" w:pos="9360"/>
      </w:tabs>
      <w:spacing w:after="0" w:line="240" w:lineRule="auto"/>
    </w:pPr>
    <w:rPr>
      <w:b/>
      <w:color w:val="999B9E"/>
      <w:sz w:val="20"/>
    </w:rPr>
  </w:style>
  <w:style w:type="character" w:customStyle="1" w:styleId="HeaderChar">
    <w:name w:val="Header Char"/>
    <w:basedOn w:val="DefaultParagraphFont"/>
    <w:link w:val="Header"/>
    <w:uiPriority w:val="99"/>
    <w:semiHidden/>
    <w:rsid w:val="00D618FB"/>
    <w:rPr>
      <w:b/>
      <w:color w:val="999B9E"/>
      <w:sz w:val="20"/>
    </w:rPr>
  </w:style>
  <w:style w:type="paragraph" w:styleId="Footer">
    <w:name w:val="footer"/>
    <w:basedOn w:val="Normal"/>
    <w:link w:val="FooterChar"/>
    <w:uiPriority w:val="99"/>
    <w:semiHidden/>
    <w:rsid w:val="00C916E6"/>
    <w:pPr>
      <w:tabs>
        <w:tab w:val="center" w:pos="4680"/>
        <w:tab w:val="right" w:pos="9360"/>
      </w:tabs>
      <w:spacing w:after="0" w:line="240" w:lineRule="auto"/>
    </w:pPr>
    <w:rPr>
      <w:color w:val="999B9E"/>
      <w:sz w:val="20"/>
    </w:rPr>
  </w:style>
  <w:style w:type="character" w:customStyle="1" w:styleId="FooterChar">
    <w:name w:val="Footer Char"/>
    <w:basedOn w:val="DefaultParagraphFont"/>
    <w:link w:val="Footer"/>
    <w:uiPriority w:val="99"/>
    <w:semiHidden/>
    <w:rsid w:val="009166DE"/>
    <w:rPr>
      <w:color w:val="999B9E"/>
      <w:sz w:val="20"/>
    </w:rPr>
  </w:style>
  <w:style w:type="character" w:customStyle="1" w:styleId="Heading1Char">
    <w:name w:val="Heading 1 Char"/>
    <w:basedOn w:val="DefaultParagraphFont"/>
    <w:link w:val="Heading1"/>
    <w:uiPriority w:val="9"/>
    <w:rsid w:val="00532217"/>
    <w:rPr>
      <w:rFonts w:asciiTheme="majorHAnsi" w:eastAsiaTheme="majorEastAsia" w:hAnsiTheme="majorHAnsi" w:cstheme="majorBidi"/>
      <w:b/>
      <w:color w:val="800014" w:themeColor="text2"/>
      <w:sz w:val="36"/>
      <w:szCs w:val="32"/>
    </w:rPr>
  </w:style>
  <w:style w:type="character" w:customStyle="1" w:styleId="Heading2Char">
    <w:name w:val="Heading 2 Char"/>
    <w:basedOn w:val="DefaultParagraphFont"/>
    <w:link w:val="Heading2"/>
    <w:uiPriority w:val="9"/>
    <w:rsid w:val="00A2285B"/>
    <w:rPr>
      <w:rFonts w:asciiTheme="majorHAnsi" w:eastAsiaTheme="majorEastAsia" w:hAnsiTheme="majorHAnsi" w:cstheme="majorBidi"/>
      <w:b/>
      <w:color w:val="404142"/>
      <w:sz w:val="32"/>
      <w:szCs w:val="26"/>
    </w:rPr>
  </w:style>
  <w:style w:type="character" w:customStyle="1" w:styleId="Heading3Char">
    <w:name w:val="Heading 3 Char"/>
    <w:basedOn w:val="DefaultParagraphFont"/>
    <w:link w:val="Heading3"/>
    <w:uiPriority w:val="9"/>
    <w:rsid w:val="00BF11DF"/>
    <w:rPr>
      <w:rFonts w:asciiTheme="majorHAnsi" w:eastAsiaTheme="majorEastAsia" w:hAnsiTheme="majorHAnsi" w:cstheme="majorBidi"/>
      <w:b/>
      <w:i/>
      <w:color w:val="800014" w:themeColor="text2"/>
      <w:sz w:val="28"/>
      <w:szCs w:val="24"/>
    </w:rPr>
  </w:style>
  <w:style w:type="character" w:customStyle="1" w:styleId="Heading4Char">
    <w:name w:val="Heading 4 Char"/>
    <w:basedOn w:val="DefaultParagraphFont"/>
    <w:link w:val="Heading4"/>
    <w:uiPriority w:val="9"/>
    <w:rsid w:val="00903EE9"/>
    <w:rPr>
      <w:rFonts w:asciiTheme="majorHAnsi" w:eastAsiaTheme="majorEastAsia" w:hAnsiTheme="majorHAnsi" w:cstheme="majorBidi"/>
      <w:b/>
      <w:iCs/>
      <w:caps/>
      <w:color w:val="000000" w:themeColor="text1"/>
    </w:rPr>
  </w:style>
  <w:style w:type="character" w:customStyle="1" w:styleId="Heading5Char">
    <w:name w:val="Heading 5 Char"/>
    <w:basedOn w:val="DefaultParagraphFont"/>
    <w:link w:val="Heading5"/>
    <w:uiPriority w:val="9"/>
    <w:rsid w:val="006D3CCE"/>
    <w:rPr>
      <w:rFonts w:asciiTheme="majorHAnsi" w:eastAsiaTheme="majorEastAsia" w:hAnsiTheme="majorHAnsi" w:cstheme="majorBidi"/>
      <w:b/>
      <w:iCs/>
      <w:color w:val="000000" w:themeColor="text1"/>
    </w:rPr>
  </w:style>
  <w:style w:type="character" w:customStyle="1" w:styleId="Heading6Char">
    <w:name w:val="Heading 6 Char"/>
    <w:basedOn w:val="DefaultParagraphFont"/>
    <w:link w:val="Heading6"/>
    <w:uiPriority w:val="9"/>
    <w:rsid w:val="00F00275"/>
    <w:rPr>
      <w:rFonts w:asciiTheme="majorHAnsi" w:eastAsiaTheme="majorEastAsia" w:hAnsiTheme="majorHAnsi" w:cstheme="majorBidi"/>
      <w:b/>
      <w:i/>
      <w:iCs/>
      <w:color w:val="000000" w:themeColor="text1"/>
    </w:rPr>
  </w:style>
  <w:style w:type="paragraph" w:styleId="Quote">
    <w:name w:val="Quote"/>
    <w:basedOn w:val="Normal"/>
    <w:next w:val="Normal"/>
    <w:link w:val="QuoteChar"/>
    <w:uiPriority w:val="29"/>
    <w:qFormat/>
    <w:rsid w:val="00340AF5"/>
    <w:pPr>
      <w:ind w:left="720" w:right="720"/>
      <w:jc w:val="center"/>
    </w:pPr>
    <w:rPr>
      <w:iCs/>
      <w:color w:val="404040" w:themeColor="text1" w:themeTint="BF"/>
    </w:rPr>
  </w:style>
  <w:style w:type="character" w:customStyle="1" w:styleId="QuoteChar">
    <w:name w:val="Quote Char"/>
    <w:basedOn w:val="DefaultParagraphFont"/>
    <w:link w:val="Quote"/>
    <w:uiPriority w:val="29"/>
    <w:rsid w:val="00340AF5"/>
    <w:rPr>
      <w:iCs/>
      <w:color w:val="404040" w:themeColor="text1" w:themeTint="BF"/>
    </w:rPr>
  </w:style>
  <w:style w:type="paragraph" w:customStyle="1" w:styleId="PullQuote">
    <w:name w:val="Pull Quote"/>
    <w:basedOn w:val="Normal"/>
    <w:next w:val="Normal"/>
    <w:uiPriority w:val="29"/>
    <w:qFormat/>
    <w:rsid w:val="00D063B8"/>
    <w:pPr>
      <w:pBdr>
        <w:top w:val="single" w:sz="4" w:space="9" w:color="999B9E"/>
        <w:bottom w:val="single" w:sz="4" w:space="10" w:color="999B9E"/>
      </w:pBdr>
      <w:spacing w:before="240"/>
      <w:ind w:left="360" w:right="360"/>
      <w:jc w:val="center"/>
    </w:pPr>
    <w:rPr>
      <w:i/>
      <w:noProof/>
      <w:color w:val="800014" w:themeColor="text2"/>
      <w:sz w:val="24"/>
    </w:rPr>
  </w:style>
  <w:style w:type="paragraph" w:styleId="Caption">
    <w:name w:val="caption"/>
    <w:basedOn w:val="Normal"/>
    <w:next w:val="Normal"/>
    <w:uiPriority w:val="36"/>
    <w:qFormat/>
    <w:rsid w:val="0083225E"/>
    <w:pPr>
      <w:spacing w:after="144" w:line="264" w:lineRule="atLeast"/>
    </w:pPr>
    <w:rPr>
      <w:b/>
      <w:iCs/>
      <w:noProof/>
      <w:color w:val="000000" w:themeColor="text1"/>
      <w:szCs w:val="18"/>
    </w:rPr>
  </w:style>
  <w:style w:type="paragraph" w:customStyle="1" w:styleId="Source">
    <w:name w:val="Source"/>
    <w:basedOn w:val="Normal"/>
    <w:next w:val="Normal"/>
    <w:uiPriority w:val="36"/>
    <w:qFormat/>
    <w:rsid w:val="00A21210"/>
    <w:pPr>
      <w:spacing w:after="120" w:line="240" w:lineRule="auto"/>
      <w:contextualSpacing/>
    </w:pPr>
    <w:rPr>
      <w:rFonts w:ascii="Calibri" w:hAnsi="Calibri" w:cs="Calibri"/>
      <w:noProof/>
      <w:sz w:val="17"/>
    </w:rPr>
  </w:style>
  <w:style w:type="character" w:styleId="PlaceholderText">
    <w:name w:val="Placeholder Text"/>
    <w:basedOn w:val="DefaultParagraphFont"/>
    <w:uiPriority w:val="99"/>
    <w:semiHidden/>
    <w:rsid w:val="00084551"/>
    <w:rPr>
      <w:color w:val="808080"/>
    </w:rPr>
  </w:style>
  <w:style w:type="paragraph" w:styleId="TOC1">
    <w:name w:val="toc 1"/>
    <w:basedOn w:val="Normal"/>
    <w:next w:val="Normal"/>
    <w:autoRedefine/>
    <w:uiPriority w:val="39"/>
    <w:rsid w:val="006A2F71"/>
    <w:pPr>
      <w:tabs>
        <w:tab w:val="right" w:leader="dot" w:pos="9360"/>
      </w:tabs>
      <w:spacing w:after="0" w:line="270" w:lineRule="exact"/>
      <w:ind w:firstLine="90"/>
    </w:pPr>
    <w:rPr>
      <w:noProof/>
      <w:sz w:val="24"/>
    </w:rPr>
  </w:style>
  <w:style w:type="paragraph" w:styleId="TOC2">
    <w:name w:val="toc 2"/>
    <w:basedOn w:val="Normal"/>
    <w:next w:val="Normal"/>
    <w:autoRedefine/>
    <w:uiPriority w:val="39"/>
    <w:rsid w:val="001A1EC2"/>
    <w:pPr>
      <w:tabs>
        <w:tab w:val="right" w:leader="dot" w:pos="9360"/>
      </w:tabs>
      <w:spacing w:after="0" w:line="270" w:lineRule="exact"/>
      <w:ind w:left="990" w:hanging="270"/>
    </w:pPr>
    <w:rPr>
      <w:sz w:val="24"/>
    </w:rPr>
  </w:style>
  <w:style w:type="paragraph" w:styleId="TOC3">
    <w:name w:val="toc 3"/>
    <w:basedOn w:val="Normal"/>
    <w:next w:val="Normal"/>
    <w:autoRedefine/>
    <w:uiPriority w:val="39"/>
    <w:rsid w:val="008875C0"/>
    <w:pPr>
      <w:tabs>
        <w:tab w:val="right" w:leader="dot" w:pos="9360"/>
      </w:tabs>
      <w:spacing w:after="0" w:line="270" w:lineRule="exact"/>
      <w:ind w:left="1440"/>
    </w:pPr>
    <w:rPr>
      <w:noProof/>
      <w:sz w:val="24"/>
      <w:szCs w:val="24"/>
    </w:rPr>
  </w:style>
  <w:style w:type="paragraph" w:styleId="ListBullet">
    <w:name w:val="List Bullet"/>
    <w:basedOn w:val="Normal"/>
    <w:uiPriority w:val="17"/>
    <w:qFormat/>
    <w:rsid w:val="00C54BCF"/>
    <w:pPr>
      <w:numPr>
        <w:numId w:val="1"/>
      </w:numPr>
      <w:tabs>
        <w:tab w:val="clear" w:pos="360"/>
        <w:tab w:val="left" w:pos="288"/>
      </w:tabs>
      <w:spacing w:after="120"/>
      <w:ind w:left="720" w:hanging="288"/>
    </w:pPr>
    <w:rPr>
      <w:rFonts w:ascii="Calibri" w:hAnsi="Calibri"/>
    </w:rPr>
  </w:style>
  <w:style w:type="paragraph" w:styleId="ListBullet2">
    <w:name w:val="List Bullet 2"/>
    <w:basedOn w:val="Normal"/>
    <w:uiPriority w:val="17"/>
    <w:qFormat/>
    <w:rsid w:val="001345D9"/>
    <w:pPr>
      <w:numPr>
        <w:ilvl w:val="1"/>
        <w:numId w:val="22"/>
      </w:numPr>
      <w:spacing w:after="60"/>
      <w:ind w:left="1166"/>
    </w:pPr>
    <w:rPr>
      <w:rFonts w:ascii="Calibri" w:hAnsi="Calibri" w:cs="Calibri"/>
    </w:rPr>
  </w:style>
  <w:style w:type="paragraph" w:styleId="ListBullet3">
    <w:name w:val="List Bullet 3"/>
    <w:basedOn w:val="ListBullet2"/>
    <w:uiPriority w:val="17"/>
    <w:qFormat/>
    <w:rsid w:val="00C54BCF"/>
    <w:pPr>
      <w:numPr>
        <w:ilvl w:val="2"/>
      </w:numPr>
      <w:ind w:left="1627"/>
    </w:pPr>
  </w:style>
  <w:style w:type="paragraph" w:styleId="ListBullet4">
    <w:name w:val="List Bullet 4"/>
    <w:basedOn w:val="ListBullet3"/>
    <w:uiPriority w:val="17"/>
    <w:qFormat/>
    <w:rsid w:val="00142099"/>
    <w:pPr>
      <w:numPr>
        <w:ilvl w:val="3"/>
      </w:numPr>
      <w:ind w:left="2074"/>
    </w:pPr>
  </w:style>
  <w:style w:type="paragraph" w:styleId="ListBullet5">
    <w:name w:val="List Bullet 5"/>
    <w:basedOn w:val="ListBullet4"/>
    <w:uiPriority w:val="17"/>
    <w:qFormat/>
    <w:rsid w:val="006B6788"/>
    <w:pPr>
      <w:numPr>
        <w:ilvl w:val="4"/>
      </w:numPr>
    </w:pPr>
  </w:style>
  <w:style w:type="paragraph" w:customStyle="1" w:styleId="CPHead1">
    <w:name w:val="CP Head 1"/>
    <w:basedOn w:val="Normal"/>
    <w:uiPriority w:val="59"/>
    <w:qFormat/>
    <w:rsid w:val="00C56DE4"/>
    <w:pPr>
      <w:spacing w:line="680" w:lineRule="exact"/>
      <w:ind w:left="720" w:right="720"/>
    </w:pPr>
    <w:rPr>
      <w:b/>
      <w:color w:val="FFFFFF" w:themeColor="background1"/>
      <w:sz w:val="56"/>
      <w:szCs w:val="56"/>
    </w:rPr>
  </w:style>
  <w:style w:type="paragraph" w:customStyle="1" w:styleId="CPHead2">
    <w:name w:val="CP Head 2"/>
    <w:basedOn w:val="Normal"/>
    <w:uiPriority w:val="59"/>
    <w:qFormat/>
    <w:rsid w:val="00C56DE4"/>
    <w:pPr>
      <w:spacing w:line="480" w:lineRule="exact"/>
      <w:ind w:left="720" w:right="720"/>
    </w:pPr>
    <w:rPr>
      <w:b/>
      <w:color w:val="FFFFFF" w:themeColor="background1"/>
      <w:sz w:val="40"/>
      <w:szCs w:val="40"/>
    </w:rPr>
  </w:style>
  <w:style w:type="paragraph" w:customStyle="1" w:styleId="CPHead3">
    <w:name w:val="CP Head 3"/>
    <w:basedOn w:val="Normal"/>
    <w:uiPriority w:val="59"/>
    <w:qFormat/>
    <w:rsid w:val="00DF4C0B"/>
    <w:pPr>
      <w:spacing w:line="440" w:lineRule="exact"/>
      <w:ind w:left="720" w:right="720"/>
    </w:pPr>
    <w:rPr>
      <w:color w:val="F2F2F2" w:themeColor="background1" w:themeShade="F2"/>
      <w:sz w:val="36"/>
      <w:szCs w:val="36"/>
    </w:rPr>
  </w:style>
  <w:style w:type="paragraph" w:styleId="Date">
    <w:name w:val="Date"/>
    <w:basedOn w:val="Normal"/>
    <w:next w:val="Normal"/>
    <w:link w:val="DateChar"/>
    <w:uiPriority w:val="59"/>
    <w:rsid w:val="00F403A7"/>
    <w:pPr>
      <w:spacing w:after="0" w:line="400" w:lineRule="exact"/>
      <w:ind w:left="720" w:right="720"/>
    </w:pPr>
    <w:rPr>
      <w:rFonts w:asciiTheme="majorHAnsi" w:hAnsiTheme="majorHAnsi"/>
      <w:color w:val="262626" w:themeColor="text1" w:themeTint="D9"/>
      <w:sz w:val="32"/>
    </w:rPr>
  </w:style>
  <w:style w:type="character" w:customStyle="1" w:styleId="DateChar">
    <w:name w:val="Date Char"/>
    <w:basedOn w:val="DefaultParagraphFont"/>
    <w:link w:val="Date"/>
    <w:uiPriority w:val="59"/>
    <w:rsid w:val="00F403A7"/>
    <w:rPr>
      <w:rFonts w:asciiTheme="majorHAnsi" w:hAnsiTheme="majorHAnsi"/>
      <w:color w:val="262626" w:themeColor="text1" w:themeTint="D9"/>
      <w:sz w:val="32"/>
    </w:rPr>
  </w:style>
  <w:style w:type="paragraph" w:styleId="TOCHeading">
    <w:name w:val="TOC Heading"/>
    <w:basedOn w:val="Heading1"/>
    <w:next w:val="Normal"/>
    <w:uiPriority w:val="39"/>
    <w:semiHidden/>
    <w:unhideWhenUsed/>
    <w:qFormat/>
    <w:rsid w:val="00466211"/>
    <w:pPr>
      <w:outlineLvl w:val="9"/>
    </w:pPr>
  </w:style>
  <w:style w:type="character" w:styleId="Hyperlink">
    <w:name w:val="Hyperlink"/>
    <w:basedOn w:val="DefaultParagraphFont"/>
    <w:uiPriority w:val="99"/>
    <w:unhideWhenUsed/>
    <w:rsid w:val="00DE78AF"/>
    <w:rPr>
      <w:color w:val="0563C1" w:themeColor="hyperlink"/>
      <w:u w:val="single"/>
    </w:rPr>
  </w:style>
  <w:style w:type="table" w:styleId="TableGrid">
    <w:name w:val="Table Grid"/>
    <w:basedOn w:val="TableNormal"/>
    <w:uiPriority w:val="39"/>
    <w:rsid w:val="00823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PHead">
    <w:name w:val="TP Head"/>
    <w:basedOn w:val="Normal"/>
    <w:uiPriority w:val="63"/>
    <w:qFormat/>
    <w:rsid w:val="00C916E6"/>
    <w:pPr>
      <w:spacing w:line="600" w:lineRule="atLeast"/>
      <w:contextualSpacing/>
    </w:pPr>
    <w:rPr>
      <w:rFonts w:asciiTheme="majorHAnsi" w:hAnsiTheme="majorHAnsi"/>
      <w:b/>
      <w:color w:val="4D4D4F"/>
      <w:sz w:val="48"/>
      <w:szCs w:val="48"/>
    </w:rPr>
  </w:style>
  <w:style w:type="paragraph" w:customStyle="1" w:styleId="TPClient">
    <w:name w:val="TP Client"/>
    <w:basedOn w:val="Normal"/>
    <w:uiPriority w:val="64"/>
    <w:qFormat/>
    <w:rsid w:val="003C30C6"/>
    <w:pPr>
      <w:spacing w:after="450" w:line="384" w:lineRule="exact"/>
    </w:pPr>
    <w:rPr>
      <w:rFonts w:asciiTheme="majorHAnsi" w:hAnsiTheme="majorHAnsi"/>
      <w:color w:val="4D4D4F"/>
      <w:sz w:val="32"/>
      <w:szCs w:val="32"/>
    </w:rPr>
  </w:style>
  <w:style w:type="paragraph" w:customStyle="1" w:styleId="TPInfo">
    <w:name w:val="TP Info"/>
    <w:basedOn w:val="Normal"/>
    <w:uiPriority w:val="65"/>
    <w:qFormat/>
    <w:rsid w:val="00BB2B5D"/>
    <w:pPr>
      <w:spacing w:after="160" w:line="224" w:lineRule="atLeast"/>
      <w:ind w:left="-6"/>
    </w:pPr>
    <w:rPr>
      <w:color w:val="000000" w:themeColor="text1"/>
      <w:sz w:val="18"/>
      <w:szCs w:val="18"/>
      <w14:textFill>
        <w14:solidFill>
          <w14:schemeClr w14:val="tx1">
            <w14:lumMod w14:val="85000"/>
            <w14:lumOff w14:val="15000"/>
            <w14:lumMod w14:val="85000"/>
            <w14:lumOff w14:val="15000"/>
          </w14:schemeClr>
        </w14:solidFill>
      </w14:textFill>
    </w:rPr>
  </w:style>
  <w:style w:type="paragraph" w:customStyle="1" w:styleId="Acknowledgments">
    <w:name w:val="Acknowledgments"/>
    <w:basedOn w:val="Normal"/>
    <w:uiPriority w:val="27"/>
    <w:unhideWhenUsed/>
    <w:rsid w:val="006B4034"/>
    <w:pPr>
      <w:spacing w:after="180" w:line="270" w:lineRule="exact"/>
      <w:ind w:left="720" w:right="720"/>
    </w:pPr>
  </w:style>
  <w:style w:type="paragraph" w:styleId="EndnoteText">
    <w:name w:val="endnote text"/>
    <w:basedOn w:val="FootnoteText"/>
    <w:link w:val="EndnoteTextChar"/>
    <w:uiPriority w:val="39"/>
    <w:semiHidden/>
    <w:unhideWhenUsed/>
    <w:rsid w:val="00612AB0"/>
    <w:rPr>
      <w:sz w:val="18"/>
      <w:szCs w:val="20"/>
    </w:rPr>
  </w:style>
  <w:style w:type="character" w:customStyle="1" w:styleId="EndnoteTextChar">
    <w:name w:val="Endnote Text Char"/>
    <w:basedOn w:val="DefaultParagraphFont"/>
    <w:link w:val="EndnoteText"/>
    <w:uiPriority w:val="39"/>
    <w:semiHidden/>
    <w:rsid w:val="004D4153"/>
    <w:rPr>
      <w:rFonts w:ascii="Calibri" w:hAnsi="Calibri" w:cs="Calibri"/>
      <w:sz w:val="18"/>
      <w:szCs w:val="20"/>
    </w:rPr>
  </w:style>
  <w:style w:type="paragraph" w:styleId="FootnoteText">
    <w:name w:val="footnote text"/>
    <w:basedOn w:val="BodyTextNoSpace"/>
    <w:link w:val="FootnoteTextChar"/>
    <w:uiPriority w:val="99"/>
    <w:qFormat/>
    <w:rsid w:val="00EB6A11"/>
    <w:pPr>
      <w:spacing w:after="144" w:line="216" w:lineRule="exact"/>
      <w:ind w:left="288" w:hanging="288"/>
    </w:pPr>
    <w:rPr>
      <w:sz w:val="16"/>
      <w:szCs w:val="18"/>
    </w:rPr>
  </w:style>
  <w:style w:type="character" w:customStyle="1" w:styleId="FootnoteTextChar">
    <w:name w:val="Footnote Text Char"/>
    <w:basedOn w:val="DefaultParagraphFont"/>
    <w:link w:val="FootnoteText"/>
    <w:uiPriority w:val="99"/>
    <w:rsid w:val="00EB6A11"/>
    <w:rPr>
      <w:rFonts w:ascii="Calibri" w:hAnsi="Calibri" w:cs="Calibri"/>
      <w:sz w:val="16"/>
      <w:szCs w:val="18"/>
    </w:rPr>
  </w:style>
  <w:style w:type="character" w:styleId="FootnoteReference">
    <w:name w:val="footnote reference"/>
    <w:basedOn w:val="DefaultParagraphFont"/>
    <w:uiPriority w:val="99"/>
    <w:unhideWhenUsed/>
    <w:rsid w:val="00BA65DC"/>
    <w:rPr>
      <w:vertAlign w:val="superscript"/>
    </w:rPr>
  </w:style>
  <w:style w:type="character" w:styleId="EndnoteReference">
    <w:name w:val="endnote reference"/>
    <w:basedOn w:val="DefaultParagraphFont"/>
    <w:uiPriority w:val="99"/>
    <w:semiHidden/>
    <w:unhideWhenUsed/>
    <w:rsid w:val="000B760C"/>
    <w:rPr>
      <w:vertAlign w:val="superscript"/>
    </w:rPr>
  </w:style>
  <w:style w:type="paragraph" w:styleId="ListNumber">
    <w:name w:val="List Number"/>
    <w:basedOn w:val="Normal"/>
    <w:uiPriority w:val="17"/>
    <w:qFormat/>
    <w:rsid w:val="006B6788"/>
    <w:pPr>
      <w:numPr>
        <w:numId w:val="23"/>
      </w:numPr>
      <w:tabs>
        <w:tab w:val="left" w:pos="900"/>
      </w:tabs>
      <w:spacing w:after="0"/>
    </w:pPr>
    <w:rPr>
      <w:rFonts w:ascii="Calibri" w:hAnsi="Calibri" w:cs="Calibri"/>
    </w:rPr>
  </w:style>
  <w:style w:type="table" w:customStyle="1" w:styleId="UMDIBasic">
    <w:name w:val="UMDI_Basic"/>
    <w:basedOn w:val="TableNormal"/>
    <w:uiPriority w:val="99"/>
    <w:rsid w:val="00F22EC6"/>
    <w:pPr>
      <w:spacing w:after="0" w:line="120" w:lineRule="exact"/>
      <w:contextualSpacing/>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cPr>
      <w:vAlign w:val="center"/>
    </w:tcPr>
    <w:tblStylePr w:type="firstRow">
      <w:pPr>
        <w:wordWrap/>
        <w:jc w:val="center"/>
      </w:pPr>
      <w:rPr>
        <w:b/>
        <w:color w:val="FFFFFF" w:themeColor="background1"/>
      </w:rPr>
      <w:tblPr/>
      <w:tcPr>
        <w:shd w:val="clear" w:color="auto" w:fill="800014" w:themeFill="text2"/>
      </w:tcPr>
    </w:tblStylePr>
    <w:tblStylePr w:type="lastRow">
      <w:pPr>
        <w:jc w:val="center"/>
      </w:pPr>
      <w:rPr>
        <w:b/>
      </w:rPr>
    </w:tblStylePr>
    <w:tblStylePr w:type="firstCol">
      <w:pPr>
        <w:wordWrap/>
        <w:jc w:val="left"/>
      </w:pPr>
    </w:tblStylePr>
    <w:tblStylePr w:type="band1Horz">
      <w:pPr>
        <w:wordWrap/>
        <w:jc w:val="center"/>
      </w:pPr>
    </w:tblStylePr>
    <w:tblStylePr w:type="band2Horz">
      <w:pPr>
        <w:wordWrap/>
        <w:jc w:val="center"/>
      </w:pPr>
    </w:tblStylePr>
    <w:tblStylePr w:type="swCell">
      <w:pPr>
        <w:jc w:val="left"/>
      </w:pPr>
    </w:tblStylePr>
  </w:style>
  <w:style w:type="character" w:customStyle="1" w:styleId="Mention1">
    <w:name w:val="Mention1"/>
    <w:basedOn w:val="DefaultParagraphFont"/>
    <w:uiPriority w:val="99"/>
    <w:semiHidden/>
    <w:unhideWhenUsed/>
    <w:rsid w:val="00095FC3"/>
    <w:rPr>
      <w:color w:val="2B579A"/>
      <w:shd w:val="clear" w:color="auto" w:fill="E6E6E6"/>
    </w:rPr>
  </w:style>
  <w:style w:type="character" w:styleId="FollowedHyperlink">
    <w:name w:val="FollowedHyperlink"/>
    <w:basedOn w:val="DefaultParagraphFont"/>
    <w:uiPriority w:val="99"/>
    <w:rsid w:val="00CD4ECB"/>
    <w:rPr>
      <w:color w:val="862633" w:themeColor="accent1"/>
      <w:u w:val="none"/>
    </w:rPr>
  </w:style>
  <w:style w:type="table" w:customStyle="1" w:styleId="UMDIMaroon">
    <w:name w:val="UMDI_Maroon"/>
    <w:basedOn w:val="TableNormal"/>
    <w:uiPriority w:val="99"/>
    <w:rsid w:val="0039501E"/>
    <w:pPr>
      <w:spacing w:before="40" w:after="40" w:line="240" w:lineRule="auto"/>
    </w:pPr>
    <w:rPr>
      <w:sz w:val="20"/>
    </w:rPr>
    <w:tblPr>
      <w:tblStyleRowBandSize w:val="1"/>
      <w:tblBorders>
        <w:top w:val="single" w:sz="8" w:space="0" w:color="9A9B9F"/>
        <w:left w:val="single" w:sz="8" w:space="0" w:color="9A9B9F"/>
        <w:bottom w:val="single" w:sz="8" w:space="0" w:color="9A9B9F"/>
        <w:right w:val="single" w:sz="8" w:space="0" w:color="9A9B9F"/>
        <w:insideH w:val="single" w:sz="8" w:space="0" w:color="9A9B9F"/>
        <w:insideV w:val="single" w:sz="8" w:space="0" w:color="9A9B9F"/>
      </w:tblBorders>
    </w:tblPr>
    <w:tcPr>
      <w:vAlign w:val="center"/>
    </w:tcPr>
    <w:tblStylePr w:type="firstRow">
      <w:pPr>
        <w:wordWrap/>
        <w:jc w:val="center"/>
      </w:pPr>
      <w:rPr>
        <w:b/>
        <w:color w:val="FFFFFF" w:themeColor="background1"/>
      </w:rPr>
      <w:tblPr/>
      <w:tcPr>
        <w:tcBorders>
          <w:top w:val="single" w:sz="8" w:space="0" w:color="9A9B9F"/>
          <w:left w:val="single" w:sz="8" w:space="0" w:color="9A9B9F"/>
          <w:bottom w:val="single" w:sz="8" w:space="0" w:color="9A9B9F"/>
          <w:right w:val="single" w:sz="8" w:space="0" w:color="9A9B9F"/>
          <w:insideH w:val="single" w:sz="8" w:space="0" w:color="9A9B9F"/>
          <w:insideV w:val="single" w:sz="8" w:space="0" w:color="9A9B9F"/>
          <w:tl2br w:val="nil"/>
          <w:tr2bl w:val="nil"/>
        </w:tcBorders>
        <w:shd w:val="clear" w:color="auto" w:fill="862633" w:themeFill="accent1"/>
        <w:vAlign w:val="center"/>
      </w:tcPr>
    </w:tblStylePr>
    <w:tblStylePr w:type="firstCol">
      <w:pPr>
        <w:wordWrap/>
        <w:jc w:val="left"/>
      </w:pPr>
    </w:tblStylePr>
    <w:tblStylePr w:type="band1Horz">
      <w:pPr>
        <w:wordWrap/>
        <w:jc w:val="center"/>
      </w:pPr>
    </w:tblStylePr>
    <w:tblStylePr w:type="band2Horz">
      <w:pPr>
        <w:wordWrap/>
        <w:jc w:val="center"/>
      </w:pPr>
    </w:tblStylePr>
  </w:style>
  <w:style w:type="table" w:customStyle="1" w:styleId="UMDIBanded">
    <w:name w:val="UMDI_Banded"/>
    <w:basedOn w:val="UMDIBasic"/>
    <w:uiPriority w:val="99"/>
    <w:rsid w:val="00750B12"/>
    <w:tblPr/>
    <w:tblStylePr w:type="firstRow">
      <w:pPr>
        <w:wordWrap/>
        <w:jc w:val="center"/>
      </w:pPr>
      <w:rPr>
        <w:b/>
        <w:color w:val="FFFFFF" w:themeColor="background1"/>
      </w:rPr>
      <w:tblPr/>
      <w:tcPr>
        <w:shd w:val="clear" w:color="auto" w:fill="800014" w:themeFill="text2"/>
      </w:tcPr>
    </w:tblStylePr>
    <w:tblStylePr w:type="lastRow">
      <w:pPr>
        <w:jc w:val="center"/>
      </w:pPr>
      <w:rPr>
        <w:b/>
      </w:rPr>
      <w:tblPr/>
      <w:tcPr>
        <w:shd w:val="clear" w:color="auto" w:fill="DDDEDF" w:themeFill="background2" w:themeFillTint="66"/>
      </w:tcPr>
    </w:tblStylePr>
    <w:tblStylePr w:type="firstCol">
      <w:pPr>
        <w:wordWrap/>
        <w:jc w:val="left"/>
      </w:pPr>
    </w:tblStylePr>
    <w:tblStylePr w:type="band1Horz">
      <w:pPr>
        <w:wordWrap/>
        <w:jc w:val="center"/>
      </w:pPr>
      <w:tblPr/>
      <w:tcPr>
        <w:shd w:val="clear" w:color="auto" w:fill="FFFFFF" w:themeFill="background1"/>
      </w:tcPr>
    </w:tblStylePr>
    <w:tblStylePr w:type="band2Horz">
      <w:pPr>
        <w:wordWrap/>
        <w:jc w:val="center"/>
      </w:pPr>
      <w:tblPr/>
      <w:tcPr>
        <w:shd w:val="clear" w:color="auto" w:fill="DDDEDF" w:themeFill="background2" w:themeFillTint="66"/>
      </w:tcPr>
    </w:tblStylePr>
    <w:tblStylePr w:type="swCell">
      <w:pPr>
        <w:jc w:val="left"/>
      </w:pPr>
    </w:tblStylePr>
  </w:style>
  <w:style w:type="paragraph" w:styleId="TOC5">
    <w:name w:val="toc 5"/>
    <w:basedOn w:val="Normal"/>
    <w:next w:val="Normal"/>
    <w:autoRedefine/>
    <w:uiPriority w:val="39"/>
    <w:rsid w:val="00201019"/>
    <w:pPr>
      <w:tabs>
        <w:tab w:val="right" w:leader="dot" w:pos="9360"/>
      </w:tabs>
      <w:spacing w:after="100"/>
      <w:ind w:left="720"/>
    </w:pPr>
    <w:rPr>
      <w:sz w:val="24"/>
    </w:rPr>
  </w:style>
  <w:style w:type="character" w:styleId="CommentReference">
    <w:name w:val="annotation reference"/>
    <w:basedOn w:val="DefaultParagraphFont"/>
    <w:uiPriority w:val="99"/>
    <w:unhideWhenUsed/>
    <w:rsid w:val="001C3D57"/>
    <w:rPr>
      <w:sz w:val="16"/>
      <w:szCs w:val="16"/>
    </w:rPr>
  </w:style>
  <w:style w:type="paragraph" w:styleId="CommentSubject">
    <w:name w:val="annotation subject"/>
    <w:basedOn w:val="Normal"/>
    <w:next w:val="Normal"/>
    <w:link w:val="CommentSubjectChar"/>
    <w:uiPriority w:val="99"/>
    <w:semiHidden/>
    <w:unhideWhenUsed/>
    <w:rsid w:val="009C60CD"/>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9C60CD"/>
    <w:rPr>
      <w:b/>
      <w:bCs/>
      <w:sz w:val="20"/>
      <w:szCs w:val="20"/>
    </w:rPr>
  </w:style>
  <w:style w:type="paragraph" w:styleId="BalloonText">
    <w:name w:val="Balloon Text"/>
    <w:basedOn w:val="Normal"/>
    <w:link w:val="BalloonTextChar"/>
    <w:uiPriority w:val="99"/>
    <w:semiHidden/>
    <w:unhideWhenUsed/>
    <w:rsid w:val="001C3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D57"/>
    <w:rPr>
      <w:rFonts w:ascii="Segoe UI" w:hAnsi="Segoe UI" w:cs="Segoe UI"/>
      <w:sz w:val="18"/>
      <w:szCs w:val="18"/>
    </w:rPr>
  </w:style>
  <w:style w:type="paragraph" w:styleId="NormalWeb">
    <w:name w:val="Normal (Web)"/>
    <w:basedOn w:val="Normal"/>
    <w:uiPriority w:val="99"/>
    <w:unhideWhenUsed/>
    <w:rsid w:val="00D15999"/>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6001C"/>
    <w:pPr>
      <w:spacing w:after="0" w:line="240" w:lineRule="auto"/>
    </w:pPr>
  </w:style>
  <w:style w:type="character" w:customStyle="1" w:styleId="UnresolvedMention1">
    <w:name w:val="Unresolved Mention1"/>
    <w:basedOn w:val="DefaultParagraphFont"/>
    <w:uiPriority w:val="99"/>
    <w:semiHidden/>
    <w:unhideWhenUsed/>
    <w:rsid w:val="00F41942"/>
    <w:rPr>
      <w:color w:val="605E5C"/>
      <w:shd w:val="clear" w:color="auto" w:fill="E1DFDD"/>
    </w:rPr>
  </w:style>
  <w:style w:type="paragraph" w:customStyle="1" w:styleId="BodyTextNoSpace">
    <w:name w:val="Body Text (No Space)"/>
    <w:basedOn w:val="Normal"/>
    <w:link w:val="BodyTextNoSpaceChar"/>
    <w:uiPriority w:val="10"/>
    <w:qFormat/>
    <w:rsid w:val="001345D9"/>
    <w:pPr>
      <w:contextualSpacing/>
    </w:pPr>
    <w:rPr>
      <w:rFonts w:ascii="Calibri" w:hAnsi="Calibri" w:cs="Calibri"/>
    </w:rPr>
  </w:style>
  <w:style w:type="character" w:customStyle="1" w:styleId="BodyTextNoSpaceChar">
    <w:name w:val="Body Text (No Space) Char"/>
    <w:basedOn w:val="DefaultParagraphFont"/>
    <w:link w:val="BodyTextNoSpace"/>
    <w:uiPriority w:val="10"/>
    <w:rsid w:val="001345D9"/>
    <w:rPr>
      <w:rFonts w:ascii="Calibri" w:hAnsi="Calibri" w:cs="Calibri"/>
    </w:rPr>
  </w:style>
  <w:style w:type="paragraph" w:customStyle="1" w:styleId="Emphasize">
    <w:name w:val="Emphasize"/>
    <w:basedOn w:val="Normal"/>
    <w:uiPriority w:val="49"/>
    <w:qFormat/>
    <w:rsid w:val="001345D9"/>
    <w:pPr>
      <w:spacing w:after="0"/>
      <w:contextualSpacing/>
    </w:pPr>
    <w:rPr>
      <w:rFonts w:ascii="Calibri" w:hAnsi="Calibri" w:cs="Calibri"/>
      <w:b/>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table" w:styleId="GridTable4">
    <w:name w:val="Grid Table 4"/>
    <w:basedOn w:val="TableNormal"/>
    <w:uiPriority w:val="49"/>
    <w:rsid w:val="00615D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17126D"/>
    <w:pPr>
      <w:spacing w:after="0"/>
    </w:pPr>
  </w:style>
  <w:style w:type="paragraph" w:styleId="BodyText">
    <w:name w:val="Body Text"/>
    <w:basedOn w:val="Normal"/>
    <w:link w:val="BodyTextChar"/>
    <w:qFormat/>
    <w:rsid w:val="009D3B25"/>
    <w:pPr>
      <w:spacing w:after="120"/>
    </w:pPr>
  </w:style>
  <w:style w:type="character" w:customStyle="1" w:styleId="BodyTextChar">
    <w:name w:val="Body Text Char"/>
    <w:basedOn w:val="DefaultParagraphFont"/>
    <w:link w:val="BodyText"/>
    <w:rsid w:val="00A76CD6"/>
  </w:style>
  <w:style w:type="character" w:styleId="Mention">
    <w:name w:val="Mention"/>
    <w:basedOn w:val="DefaultParagraphFont"/>
    <w:uiPriority w:val="99"/>
    <w:unhideWhenUsed/>
    <w:rsid w:val="00FB4CE5"/>
    <w:rPr>
      <w:color w:val="2B579A"/>
      <w:shd w:val="clear" w:color="auto" w:fill="E1DFDD"/>
    </w:rPr>
  </w:style>
  <w:style w:type="paragraph" w:customStyle="1" w:styleId="FigureCaption">
    <w:name w:val="Figure Caption"/>
    <w:basedOn w:val="Caption"/>
    <w:next w:val="BodyText"/>
    <w:uiPriority w:val="49"/>
    <w:qFormat/>
    <w:rsid w:val="00E24727"/>
    <w:pPr>
      <w:keepNext/>
      <w:keepLines/>
    </w:pPr>
    <w:rPr>
      <w:rFonts w:ascii="Tw Cen MT" w:hAnsi="Tw Cen MT"/>
      <w:noProof w:val="0"/>
      <w:color w:val="800014" w:themeColor="text2"/>
    </w:rPr>
  </w:style>
  <w:style w:type="paragraph" w:customStyle="1" w:styleId="TableCaption">
    <w:name w:val="Table Caption"/>
    <w:basedOn w:val="Caption"/>
    <w:next w:val="BodyText"/>
    <w:uiPriority w:val="49"/>
    <w:qFormat/>
    <w:rsid w:val="00005660"/>
    <w:pPr>
      <w:keepNext/>
      <w:keepLines/>
    </w:pPr>
    <w:rPr>
      <w:rFonts w:ascii="Tw Cen MT" w:hAnsi="Tw Cen MT"/>
      <w:noProof w:val="0"/>
      <w:color w:val="800014" w:themeColor="text2"/>
    </w:rPr>
  </w:style>
  <w:style w:type="character" w:styleId="IntenseEmphasis">
    <w:name w:val="Intense Emphasis"/>
    <w:basedOn w:val="DefaultParagraphFont"/>
    <w:uiPriority w:val="21"/>
    <w:qFormat/>
    <w:rsid w:val="001D4A2F"/>
    <w:rPr>
      <w:i/>
      <w:iCs/>
      <w:color w:val="641C26" w:themeColor="accent1" w:themeShade="BF"/>
    </w:rPr>
  </w:style>
  <w:style w:type="character" w:styleId="Emphasis">
    <w:name w:val="Emphasis"/>
    <w:basedOn w:val="DefaultParagraphFont"/>
    <w:uiPriority w:val="20"/>
    <w:qFormat/>
    <w:rsid w:val="001D4A2F"/>
    <w:rPr>
      <w:b/>
      <w:i w:val="0"/>
      <w:iCs/>
    </w:rPr>
  </w:style>
  <w:style w:type="paragraph" w:customStyle="1" w:styleId="TitlePageAdditionalInfo">
    <w:name w:val="Title Page Additional Info"/>
    <w:basedOn w:val="Normal"/>
    <w:next w:val="Normal"/>
    <w:rsid w:val="00612375"/>
    <w:pPr>
      <w:spacing w:after="0" w:line="260" w:lineRule="exact"/>
    </w:pPr>
    <w:rPr>
      <w:rFonts w:ascii="Arial" w:eastAsia="Times New Roman" w:hAnsi="Arial" w:cs="Times New Roman"/>
      <w:szCs w:val="24"/>
    </w:rPr>
  </w:style>
  <w:style w:type="paragraph" w:customStyle="1" w:styleId="Default">
    <w:name w:val="Default"/>
    <w:rsid w:val="00AD23A9"/>
    <w:pPr>
      <w:autoSpaceDE w:val="0"/>
      <w:autoSpaceDN w:val="0"/>
      <w:adjustRightInd w:val="0"/>
      <w:spacing w:after="0" w:line="240" w:lineRule="auto"/>
    </w:pPr>
    <w:rPr>
      <w:rFonts w:ascii="Calibri" w:hAnsi="Calibri" w:cs="Calibri"/>
      <w:color w:val="000000"/>
      <w:sz w:val="24"/>
      <w:szCs w:val="24"/>
    </w:rPr>
  </w:style>
  <w:style w:type="numbering" w:styleId="111111">
    <w:name w:val="Outline List 2"/>
    <w:basedOn w:val="NoList"/>
    <w:semiHidden/>
    <w:rsid w:val="00FF155F"/>
    <w:pPr>
      <w:numPr>
        <w:numId w:val="35"/>
      </w:numPr>
    </w:pPr>
  </w:style>
  <w:style w:type="character" w:styleId="Strong">
    <w:name w:val="Strong"/>
    <w:uiPriority w:val="22"/>
    <w:qFormat/>
    <w:rsid w:val="00FF155F"/>
    <w:rPr>
      <w:b/>
      <w:bCs/>
    </w:rPr>
  </w:style>
  <w:style w:type="character" w:customStyle="1" w:styleId="apple-converted-space">
    <w:name w:val="apple-converted-space"/>
    <w:basedOn w:val="DefaultParagraphFont"/>
    <w:rsid w:val="00FF155F"/>
  </w:style>
  <w:style w:type="paragraph" w:styleId="ListParagraph">
    <w:name w:val="List Paragraph"/>
    <w:basedOn w:val="Normal"/>
    <w:uiPriority w:val="34"/>
    <w:qFormat/>
    <w:rsid w:val="00FF155F"/>
    <w:pPr>
      <w:ind w:left="720"/>
      <w:contextualSpacing/>
    </w:pPr>
  </w:style>
  <w:style w:type="paragraph" w:customStyle="1" w:styleId="paragraph">
    <w:name w:val="paragraph"/>
    <w:basedOn w:val="Normal"/>
    <w:rsid w:val="00E34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34073"/>
  </w:style>
  <w:style w:type="character" w:customStyle="1" w:styleId="eop">
    <w:name w:val="eop"/>
    <w:basedOn w:val="DefaultParagraphFont"/>
    <w:rsid w:val="00E34073"/>
  </w:style>
  <w:style w:type="character" w:customStyle="1" w:styleId="scxw98224807">
    <w:name w:val="scxw98224807"/>
    <w:basedOn w:val="DefaultParagraphFont"/>
    <w:rsid w:val="00E34073"/>
  </w:style>
  <w:style w:type="character" w:styleId="UnresolvedMention">
    <w:name w:val="Unresolved Mention"/>
    <w:basedOn w:val="DefaultParagraphFont"/>
    <w:uiPriority w:val="99"/>
    <w:semiHidden/>
    <w:unhideWhenUsed/>
    <w:rsid w:val="00235DFF"/>
    <w:rPr>
      <w:color w:val="605E5C"/>
      <w:shd w:val="clear" w:color="auto" w:fill="E1DFDD"/>
    </w:rPr>
  </w:style>
  <w:style w:type="table" w:customStyle="1" w:styleId="TableGrid1">
    <w:name w:val="Table Grid1"/>
    <w:basedOn w:val="TableNormal"/>
    <w:next w:val="TableGrid"/>
    <w:uiPriority w:val="39"/>
    <w:rsid w:val="00DF0E0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perscript">
    <w:name w:val="superscript"/>
    <w:basedOn w:val="DefaultParagraphFont"/>
    <w:rsid w:val="00FC7CD4"/>
  </w:style>
  <w:style w:type="character" w:customStyle="1" w:styleId="mi">
    <w:name w:val="mi"/>
    <w:basedOn w:val="DefaultParagraphFont"/>
    <w:rsid w:val="00570FFF"/>
  </w:style>
  <w:style w:type="character" w:customStyle="1" w:styleId="mo">
    <w:name w:val="mo"/>
    <w:basedOn w:val="DefaultParagraphFont"/>
    <w:rsid w:val="00570FFF"/>
  </w:style>
  <w:style w:type="character" w:customStyle="1" w:styleId="mn">
    <w:name w:val="mn"/>
    <w:basedOn w:val="DefaultParagraphFont"/>
    <w:rsid w:val="00570FFF"/>
  </w:style>
  <w:style w:type="character" w:customStyle="1" w:styleId="mjxassistivemathml">
    <w:name w:val="mjx_assistive_mathml"/>
    <w:basedOn w:val="DefaultParagraphFont"/>
    <w:rsid w:val="00570FFF"/>
  </w:style>
  <w:style w:type="paragraph" w:customStyle="1" w:styleId="ReportTitle">
    <w:name w:val="Report Title"/>
    <w:next w:val="TitlePageAdditionalInfo"/>
    <w:rsid w:val="00AF381A"/>
    <w:pPr>
      <w:spacing w:before="120" w:after="120" w:line="240" w:lineRule="auto"/>
    </w:pPr>
    <w:rPr>
      <w:rFonts w:ascii="Arial" w:eastAsia="Times New Roman" w:hAnsi="Arial" w:cs="Arial"/>
      <w:b/>
      <w:bCs/>
      <w:color w:val="800000"/>
      <w:sz w:val="36"/>
      <w:szCs w:val="28"/>
    </w:rPr>
  </w:style>
  <w:style w:type="character" w:customStyle="1" w:styleId="cf01">
    <w:name w:val="cf01"/>
    <w:basedOn w:val="DefaultParagraphFont"/>
    <w:rsid w:val="00FF1140"/>
    <w:rPr>
      <w:rFonts w:ascii="Segoe UI" w:hAnsi="Segoe UI" w:cs="Segoe UI" w:hint="default"/>
      <w:sz w:val="18"/>
      <w:szCs w:val="18"/>
    </w:rPr>
  </w:style>
  <w:style w:type="character" w:customStyle="1" w:styleId="scxw174657699">
    <w:name w:val="scxw174657699"/>
    <w:basedOn w:val="DefaultParagraphFont"/>
    <w:rsid w:val="00800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4138">
      <w:bodyDiv w:val="1"/>
      <w:marLeft w:val="0"/>
      <w:marRight w:val="0"/>
      <w:marTop w:val="0"/>
      <w:marBottom w:val="0"/>
      <w:divBdr>
        <w:top w:val="none" w:sz="0" w:space="0" w:color="auto"/>
        <w:left w:val="none" w:sz="0" w:space="0" w:color="auto"/>
        <w:bottom w:val="none" w:sz="0" w:space="0" w:color="auto"/>
        <w:right w:val="none" w:sz="0" w:space="0" w:color="auto"/>
      </w:divBdr>
    </w:div>
    <w:div w:id="15040224">
      <w:bodyDiv w:val="1"/>
      <w:marLeft w:val="0"/>
      <w:marRight w:val="0"/>
      <w:marTop w:val="0"/>
      <w:marBottom w:val="0"/>
      <w:divBdr>
        <w:top w:val="none" w:sz="0" w:space="0" w:color="auto"/>
        <w:left w:val="none" w:sz="0" w:space="0" w:color="auto"/>
        <w:bottom w:val="none" w:sz="0" w:space="0" w:color="auto"/>
        <w:right w:val="none" w:sz="0" w:space="0" w:color="auto"/>
      </w:divBdr>
      <w:divsChild>
        <w:div w:id="1875386393">
          <w:marLeft w:val="446"/>
          <w:marRight w:val="0"/>
          <w:marTop w:val="120"/>
          <w:marBottom w:val="0"/>
          <w:divBdr>
            <w:top w:val="none" w:sz="0" w:space="0" w:color="auto"/>
            <w:left w:val="none" w:sz="0" w:space="0" w:color="auto"/>
            <w:bottom w:val="none" w:sz="0" w:space="0" w:color="auto"/>
            <w:right w:val="none" w:sz="0" w:space="0" w:color="auto"/>
          </w:divBdr>
        </w:div>
      </w:divsChild>
    </w:div>
    <w:div w:id="25640820">
      <w:bodyDiv w:val="1"/>
      <w:marLeft w:val="0"/>
      <w:marRight w:val="0"/>
      <w:marTop w:val="0"/>
      <w:marBottom w:val="0"/>
      <w:divBdr>
        <w:top w:val="none" w:sz="0" w:space="0" w:color="auto"/>
        <w:left w:val="none" w:sz="0" w:space="0" w:color="auto"/>
        <w:bottom w:val="none" w:sz="0" w:space="0" w:color="auto"/>
        <w:right w:val="none" w:sz="0" w:space="0" w:color="auto"/>
      </w:divBdr>
    </w:div>
    <w:div w:id="43330484">
      <w:bodyDiv w:val="1"/>
      <w:marLeft w:val="0"/>
      <w:marRight w:val="0"/>
      <w:marTop w:val="0"/>
      <w:marBottom w:val="0"/>
      <w:divBdr>
        <w:top w:val="none" w:sz="0" w:space="0" w:color="auto"/>
        <w:left w:val="none" w:sz="0" w:space="0" w:color="auto"/>
        <w:bottom w:val="none" w:sz="0" w:space="0" w:color="auto"/>
        <w:right w:val="none" w:sz="0" w:space="0" w:color="auto"/>
      </w:divBdr>
    </w:div>
    <w:div w:id="117339715">
      <w:bodyDiv w:val="1"/>
      <w:marLeft w:val="0"/>
      <w:marRight w:val="0"/>
      <w:marTop w:val="0"/>
      <w:marBottom w:val="0"/>
      <w:divBdr>
        <w:top w:val="none" w:sz="0" w:space="0" w:color="auto"/>
        <w:left w:val="none" w:sz="0" w:space="0" w:color="auto"/>
        <w:bottom w:val="none" w:sz="0" w:space="0" w:color="auto"/>
        <w:right w:val="none" w:sz="0" w:space="0" w:color="auto"/>
      </w:divBdr>
    </w:div>
    <w:div w:id="131678735">
      <w:bodyDiv w:val="1"/>
      <w:marLeft w:val="0"/>
      <w:marRight w:val="0"/>
      <w:marTop w:val="0"/>
      <w:marBottom w:val="0"/>
      <w:divBdr>
        <w:top w:val="none" w:sz="0" w:space="0" w:color="auto"/>
        <w:left w:val="none" w:sz="0" w:space="0" w:color="auto"/>
        <w:bottom w:val="none" w:sz="0" w:space="0" w:color="auto"/>
        <w:right w:val="none" w:sz="0" w:space="0" w:color="auto"/>
      </w:divBdr>
    </w:div>
    <w:div w:id="177930302">
      <w:bodyDiv w:val="1"/>
      <w:marLeft w:val="0"/>
      <w:marRight w:val="0"/>
      <w:marTop w:val="0"/>
      <w:marBottom w:val="0"/>
      <w:divBdr>
        <w:top w:val="none" w:sz="0" w:space="0" w:color="auto"/>
        <w:left w:val="none" w:sz="0" w:space="0" w:color="auto"/>
        <w:bottom w:val="none" w:sz="0" w:space="0" w:color="auto"/>
        <w:right w:val="none" w:sz="0" w:space="0" w:color="auto"/>
      </w:divBdr>
      <w:divsChild>
        <w:div w:id="146946232">
          <w:marLeft w:val="547"/>
          <w:marRight w:val="0"/>
          <w:marTop w:val="0"/>
          <w:marBottom w:val="0"/>
          <w:divBdr>
            <w:top w:val="none" w:sz="0" w:space="0" w:color="auto"/>
            <w:left w:val="none" w:sz="0" w:space="0" w:color="auto"/>
            <w:bottom w:val="none" w:sz="0" w:space="0" w:color="auto"/>
            <w:right w:val="none" w:sz="0" w:space="0" w:color="auto"/>
          </w:divBdr>
        </w:div>
        <w:div w:id="397096234">
          <w:marLeft w:val="547"/>
          <w:marRight w:val="0"/>
          <w:marTop w:val="0"/>
          <w:marBottom w:val="0"/>
          <w:divBdr>
            <w:top w:val="none" w:sz="0" w:space="0" w:color="auto"/>
            <w:left w:val="none" w:sz="0" w:space="0" w:color="auto"/>
            <w:bottom w:val="none" w:sz="0" w:space="0" w:color="auto"/>
            <w:right w:val="none" w:sz="0" w:space="0" w:color="auto"/>
          </w:divBdr>
        </w:div>
        <w:div w:id="809131034">
          <w:marLeft w:val="547"/>
          <w:marRight w:val="0"/>
          <w:marTop w:val="0"/>
          <w:marBottom w:val="0"/>
          <w:divBdr>
            <w:top w:val="none" w:sz="0" w:space="0" w:color="auto"/>
            <w:left w:val="none" w:sz="0" w:space="0" w:color="auto"/>
            <w:bottom w:val="none" w:sz="0" w:space="0" w:color="auto"/>
            <w:right w:val="none" w:sz="0" w:space="0" w:color="auto"/>
          </w:divBdr>
        </w:div>
        <w:div w:id="1378049654">
          <w:marLeft w:val="547"/>
          <w:marRight w:val="0"/>
          <w:marTop w:val="0"/>
          <w:marBottom w:val="0"/>
          <w:divBdr>
            <w:top w:val="none" w:sz="0" w:space="0" w:color="auto"/>
            <w:left w:val="none" w:sz="0" w:space="0" w:color="auto"/>
            <w:bottom w:val="none" w:sz="0" w:space="0" w:color="auto"/>
            <w:right w:val="none" w:sz="0" w:space="0" w:color="auto"/>
          </w:divBdr>
        </w:div>
        <w:div w:id="2043628021">
          <w:marLeft w:val="547"/>
          <w:marRight w:val="0"/>
          <w:marTop w:val="0"/>
          <w:marBottom w:val="0"/>
          <w:divBdr>
            <w:top w:val="none" w:sz="0" w:space="0" w:color="auto"/>
            <w:left w:val="none" w:sz="0" w:space="0" w:color="auto"/>
            <w:bottom w:val="none" w:sz="0" w:space="0" w:color="auto"/>
            <w:right w:val="none" w:sz="0" w:space="0" w:color="auto"/>
          </w:divBdr>
        </w:div>
      </w:divsChild>
    </w:div>
    <w:div w:id="222107962">
      <w:bodyDiv w:val="1"/>
      <w:marLeft w:val="0"/>
      <w:marRight w:val="0"/>
      <w:marTop w:val="0"/>
      <w:marBottom w:val="0"/>
      <w:divBdr>
        <w:top w:val="none" w:sz="0" w:space="0" w:color="auto"/>
        <w:left w:val="none" w:sz="0" w:space="0" w:color="auto"/>
        <w:bottom w:val="none" w:sz="0" w:space="0" w:color="auto"/>
        <w:right w:val="none" w:sz="0" w:space="0" w:color="auto"/>
      </w:divBdr>
      <w:divsChild>
        <w:div w:id="86391324">
          <w:marLeft w:val="547"/>
          <w:marRight w:val="0"/>
          <w:marTop w:val="0"/>
          <w:marBottom w:val="0"/>
          <w:divBdr>
            <w:top w:val="none" w:sz="0" w:space="0" w:color="auto"/>
            <w:left w:val="none" w:sz="0" w:space="0" w:color="auto"/>
            <w:bottom w:val="none" w:sz="0" w:space="0" w:color="auto"/>
            <w:right w:val="none" w:sz="0" w:space="0" w:color="auto"/>
          </w:divBdr>
        </w:div>
        <w:div w:id="212932345">
          <w:marLeft w:val="547"/>
          <w:marRight w:val="0"/>
          <w:marTop w:val="0"/>
          <w:marBottom w:val="0"/>
          <w:divBdr>
            <w:top w:val="none" w:sz="0" w:space="0" w:color="auto"/>
            <w:left w:val="none" w:sz="0" w:space="0" w:color="auto"/>
            <w:bottom w:val="none" w:sz="0" w:space="0" w:color="auto"/>
            <w:right w:val="none" w:sz="0" w:space="0" w:color="auto"/>
          </w:divBdr>
        </w:div>
        <w:div w:id="396973618">
          <w:marLeft w:val="547"/>
          <w:marRight w:val="0"/>
          <w:marTop w:val="0"/>
          <w:marBottom w:val="0"/>
          <w:divBdr>
            <w:top w:val="none" w:sz="0" w:space="0" w:color="auto"/>
            <w:left w:val="none" w:sz="0" w:space="0" w:color="auto"/>
            <w:bottom w:val="none" w:sz="0" w:space="0" w:color="auto"/>
            <w:right w:val="none" w:sz="0" w:space="0" w:color="auto"/>
          </w:divBdr>
        </w:div>
        <w:div w:id="603995641">
          <w:marLeft w:val="547"/>
          <w:marRight w:val="0"/>
          <w:marTop w:val="0"/>
          <w:marBottom w:val="0"/>
          <w:divBdr>
            <w:top w:val="none" w:sz="0" w:space="0" w:color="auto"/>
            <w:left w:val="none" w:sz="0" w:space="0" w:color="auto"/>
            <w:bottom w:val="none" w:sz="0" w:space="0" w:color="auto"/>
            <w:right w:val="none" w:sz="0" w:space="0" w:color="auto"/>
          </w:divBdr>
        </w:div>
        <w:div w:id="1851675737">
          <w:marLeft w:val="547"/>
          <w:marRight w:val="0"/>
          <w:marTop w:val="0"/>
          <w:marBottom w:val="0"/>
          <w:divBdr>
            <w:top w:val="none" w:sz="0" w:space="0" w:color="auto"/>
            <w:left w:val="none" w:sz="0" w:space="0" w:color="auto"/>
            <w:bottom w:val="none" w:sz="0" w:space="0" w:color="auto"/>
            <w:right w:val="none" w:sz="0" w:space="0" w:color="auto"/>
          </w:divBdr>
        </w:div>
        <w:div w:id="2021811147">
          <w:marLeft w:val="547"/>
          <w:marRight w:val="0"/>
          <w:marTop w:val="0"/>
          <w:marBottom w:val="0"/>
          <w:divBdr>
            <w:top w:val="none" w:sz="0" w:space="0" w:color="auto"/>
            <w:left w:val="none" w:sz="0" w:space="0" w:color="auto"/>
            <w:bottom w:val="none" w:sz="0" w:space="0" w:color="auto"/>
            <w:right w:val="none" w:sz="0" w:space="0" w:color="auto"/>
          </w:divBdr>
        </w:div>
      </w:divsChild>
    </w:div>
    <w:div w:id="242374487">
      <w:bodyDiv w:val="1"/>
      <w:marLeft w:val="0"/>
      <w:marRight w:val="0"/>
      <w:marTop w:val="0"/>
      <w:marBottom w:val="0"/>
      <w:divBdr>
        <w:top w:val="none" w:sz="0" w:space="0" w:color="auto"/>
        <w:left w:val="none" w:sz="0" w:space="0" w:color="auto"/>
        <w:bottom w:val="none" w:sz="0" w:space="0" w:color="auto"/>
        <w:right w:val="none" w:sz="0" w:space="0" w:color="auto"/>
      </w:divBdr>
      <w:divsChild>
        <w:div w:id="96025471">
          <w:marLeft w:val="446"/>
          <w:marRight w:val="0"/>
          <w:marTop w:val="0"/>
          <w:marBottom w:val="0"/>
          <w:divBdr>
            <w:top w:val="none" w:sz="0" w:space="0" w:color="auto"/>
            <w:left w:val="none" w:sz="0" w:space="0" w:color="auto"/>
            <w:bottom w:val="none" w:sz="0" w:space="0" w:color="auto"/>
            <w:right w:val="none" w:sz="0" w:space="0" w:color="auto"/>
          </w:divBdr>
        </w:div>
        <w:div w:id="2004236648">
          <w:marLeft w:val="446"/>
          <w:marRight w:val="0"/>
          <w:marTop w:val="0"/>
          <w:marBottom w:val="0"/>
          <w:divBdr>
            <w:top w:val="none" w:sz="0" w:space="0" w:color="auto"/>
            <w:left w:val="none" w:sz="0" w:space="0" w:color="auto"/>
            <w:bottom w:val="none" w:sz="0" w:space="0" w:color="auto"/>
            <w:right w:val="none" w:sz="0" w:space="0" w:color="auto"/>
          </w:divBdr>
        </w:div>
      </w:divsChild>
    </w:div>
    <w:div w:id="313610536">
      <w:bodyDiv w:val="1"/>
      <w:marLeft w:val="0"/>
      <w:marRight w:val="0"/>
      <w:marTop w:val="0"/>
      <w:marBottom w:val="0"/>
      <w:divBdr>
        <w:top w:val="none" w:sz="0" w:space="0" w:color="auto"/>
        <w:left w:val="none" w:sz="0" w:space="0" w:color="auto"/>
        <w:bottom w:val="none" w:sz="0" w:space="0" w:color="auto"/>
        <w:right w:val="none" w:sz="0" w:space="0" w:color="auto"/>
      </w:divBdr>
    </w:div>
    <w:div w:id="314997086">
      <w:bodyDiv w:val="1"/>
      <w:marLeft w:val="0"/>
      <w:marRight w:val="0"/>
      <w:marTop w:val="0"/>
      <w:marBottom w:val="0"/>
      <w:divBdr>
        <w:top w:val="none" w:sz="0" w:space="0" w:color="auto"/>
        <w:left w:val="none" w:sz="0" w:space="0" w:color="auto"/>
        <w:bottom w:val="none" w:sz="0" w:space="0" w:color="auto"/>
        <w:right w:val="none" w:sz="0" w:space="0" w:color="auto"/>
      </w:divBdr>
    </w:div>
    <w:div w:id="324937463">
      <w:bodyDiv w:val="1"/>
      <w:marLeft w:val="0"/>
      <w:marRight w:val="0"/>
      <w:marTop w:val="0"/>
      <w:marBottom w:val="0"/>
      <w:divBdr>
        <w:top w:val="none" w:sz="0" w:space="0" w:color="auto"/>
        <w:left w:val="none" w:sz="0" w:space="0" w:color="auto"/>
        <w:bottom w:val="none" w:sz="0" w:space="0" w:color="auto"/>
        <w:right w:val="none" w:sz="0" w:space="0" w:color="auto"/>
      </w:divBdr>
      <w:divsChild>
        <w:div w:id="644359641">
          <w:marLeft w:val="547"/>
          <w:marRight w:val="0"/>
          <w:marTop w:val="0"/>
          <w:marBottom w:val="0"/>
          <w:divBdr>
            <w:top w:val="none" w:sz="0" w:space="0" w:color="auto"/>
            <w:left w:val="none" w:sz="0" w:space="0" w:color="auto"/>
            <w:bottom w:val="none" w:sz="0" w:space="0" w:color="auto"/>
            <w:right w:val="none" w:sz="0" w:space="0" w:color="auto"/>
          </w:divBdr>
        </w:div>
      </w:divsChild>
    </w:div>
    <w:div w:id="334578025">
      <w:bodyDiv w:val="1"/>
      <w:marLeft w:val="0"/>
      <w:marRight w:val="0"/>
      <w:marTop w:val="0"/>
      <w:marBottom w:val="0"/>
      <w:divBdr>
        <w:top w:val="none" w:sz="0" w:space="0" w:color="auto"/>
        <w:left w:val="none" w:sz="0" w:space="0" w:color="auto"/>
        <w:bottom w:val="none" w:sz="0" w:space="0" w:color="auto"/>
        <w:right w:val="none" w:sz="0" w:space="0" w:color="auto"/>
      </w:divBdr>
    </w:div>
    <w:div w:id="347372264">
      <w:bodyDiv w:val="1"/>
      <w:marLeft w:val="0"/>
      <w:marRight w:val="0"/>
      <w:marTop w:val="0"/>
      <w:marBottom w:val="0"/>
      <w:divBdr>
        <w:top w:val="none" w:sz="0" w:space="0" w:color="auto"/>
        <w:left w:val="none" w:sz="0" w:space="0" w:color="auto"/>
        <w:bottom w:val="none" w:sz="0" w:space="0" w:color="auto"/>
        <w:right w:val="none" w:sz="0" w:space="0" w:color="auto"/>
      </w:divBdr>
    </w:div>
    <w:div w:id="396787519">
      <w:bodyDiv w:val="1"/>
      <w:marLeft w:val="0"/>
      <w:marRight w:val="0"/>
      <w:marTop w:val="0"/>
      <w:marBottom w:val="0"/>
      <w:divBdr>
        <w:top w:val="none" w:sz="0" w:space="0" w:color="auto"/>
        <w:left w:val="none" w:sz="0" w:space="0" w:color="auto"/>
        <w:bottom w:val="none" w:sz="0" w:space="0" w:color="auto"/>
        <w:right w:val="none" w:sz="0" w:space="0" w:color="auto"/>
      </w:divBdr>
    </w:div>
    <w:div w:id="453712432">
      <w:bodyDiv w:val="1"/>
      <w:marLeft w:val="0"/>
      <w:marRight w:val="0"/>
      <w:marTop w:val="0"/>
      <w:marBottom w:val="0"/>
      <w:divBdr>
        <w:top w:val="none" w:sz="0" w:space="0" w:color="auto"/>
        <w:left w:val="none" w:sz="0" w:space="0" w:color="auto"/>
        <w:bottom w:val="none" w:sz="0" w:space="0" w:color="auto"/>
        <w:right w:val="none" w:sz="0" w:space="0" w:color="auto"/>
      </w:divBdr>
      <w:divsChild>
        <w:div w:id="327711303">
          <w:marLeft w:val="446"/>
          <w:marRight w:val="0"/>
          <w:marTop w:val="120"/>
          <w:marBottom w:val="0"/>
          <w:divBdr>
            <w:top w:val="none" w:sz="0" w:space="0" w:color="auto"/>
            <w:left w:val="none" w:sz="0" w:space="0" w:color="auto"/>
            <w:bottom w:val="none" w:sz="0" w:space="0" w:color="auto"/>
            <w:right w:val="none" w:sz="0" w:space="0" w:color="auto"/>
          </w:divBdr>
        </w:div>
        <w:div w:id="1533880359">
          <w:marLeft w:val="446"/>
          <w:marRight w:val="0"/>
          <w:marTop w:val="120"/>
          <w:marBottom w:val="0"/>
          <w:divBdr>
            <w:top w:val="none" w:sz="0" w:space="0" w:color="auto"/>
            <w:left w:val="none" w:sz="0" w:space="0" w:color="auto"/>
            <w:bottom w:val="none" w:sz="0" w:space="0" w:color="auto"/>
            <w:right w:val="none" w:sz="0" w:space="0" w:color="auto"/>
          </w:divBdr>
        </w:div>
      </w:divsChild>
    </w:div>
    <w:div w:id="462843527">
      <w:bodyDiv w:val="1"/>
      <w:marLeft w:val="0"/>
      <w:marRight w:val="0"/>
      <w:marTop w:val="0"/>
      <w:marBottom w:val="0"/>
      <w:divBdr>
        <w:top w:val="none" w:sz="0" w:space="0" w:color="auto"/>
        <w:left w:val="none" w:sz="0" w:space="0" w:color="auto"/>
        <w:bottom w:val="none" w:sz="0" w:space="0" w:color="auto"/>
        <w:right w:val="none" w:sz="0" w:space="0" w:color="auto"/>
      </w:divBdr>
      <w:divsChild>
        <w:div w:id="164590975">
          <w:marLeft w:val="547"/>
          <w:marRight w:val="0"/>
          <w:marTop w:val="0"/>
          <w:marBottom w:val="0"/>
          <w:divBdr>
            <w:top w:val="none" w:sz="0" w:space="0" w:color="auto"/>
            <w:left w:val="none" w:sz="0" w:space="0" w:color="auto"/>
            <w:bottom w:val="none" w:sz="0" w:space="0" w:color="auto"/>
            <w:right w:val="none" w:sz="0" w:space="0" w:color="auto"/>
          </w:divBdr>
        </w:div>
        <w:div w:id="185875694">
          <w:marLeft w:val="1094"/>
          <w:marRight w:val="0"/>
          <w:marTop w:val="0"/>
          <w:marBottom w:val="0"/>
          <w:divBdr>
            <w:top w:val="none" w:sz="0" w:space="0" w:color="auto"/>
            <w:left w:val="none" w:sz="0" w:space="0" w:color="auto"/>
            <w:bottom w:val="none" w:sz="0" w:space="0" w:color="auto"/>
            <w:right w:val="none" w:sz="0" w:space="0" w:color="auto"/>
          </w:divBdr>
        </w:div>
        <w:div w:id="322010386">
          <w:marLeft w:val="1094"/>
          <w:marRight w:val="0"/>
          <w:marTop w:val="0"/>
          <w:marBottom w:val="0"/>
          <w:divBdr>
            <w:top w:val="none" w:sz="0" w:space="0" w:color="auto"/>
            <w:left w:val="none" w:sz="0" w:space="0" w:color="auto"/>
            <w:bottom w:val="none" w:sz="0" w:space="0" w:color="auto"/>
            <w:right w:val="none" w:sz="0" w:space="0" w:color="auto"/>
          </w:divBdr>
        </w:div>
        <w:div w:id="1204707342">
          <w:marLeft w:val="446"/>
          <w:marRight w:val="0"/>
          <w:marTop w:val="0"/>
          <w:marBottom w:val="0"/>
          <w:divBdr>
            <w:top w:val="none" w:sz="0" w:space="0" w:color="auto"/>
            <w:left w:val="none" w:sz="0" w:space="0" w:color="auto"/>
            <w:bottom w:val="none" w:sz="0" w:space="0" w:color="auto"/>
            <w:right w:val="none" w:sz="0" w:space="0" w:color="auto"/>
          </w:divBdr>
        </w:div>
        <w:div w:id="1936278830">
          <w:marLeft w:val="547"/>
          <w:marRight w:val="0"/>
          <w:marTop w:val="0"/>
          <w:marBottom w:val="0"/>
          <w:divBdr>
            <w:top w:val="none" w:sz="0" w:space="0" w:color="auto"/>
            <w:left w:val="none" w:sz="0" w:space="0" w:color="auto"/>
            <w:bottom w:val="none" w:sz="0" w:space="0" w:color="auto"/>
            <w:right w:val="none" w:sz="0" w:space="0" w:color="auto"/>
          </w:divBdr>
        </w:div>
        <w:div w:id="2006395094">
          <w:marLeft w:val="1094"/>
          <w:marRight w:val="0"/>
          <w:marTop w:val="0"/>
          <w:marBottom w:val="0"/>
          <w:divBdr>
            <w:top w:val="none" w:sz="0" w:space="0" w:color="auto"/>
            <w:left w:val="none" w:sz="0" w:space="0" w:color="auto"/>
            <w:bottom w:val="none" w:sz="0" w:space="0" w:color="auto"/>
            <w:right w:val="none" w:sz="0" w:space="0" w:color="auto"/>
          </w:divBdr>
        </w:div>
      </w:divsChild>
    </w:div>
    <w:div w:id="471675307">
      <w:bodyDiv w:val="1"/>
      <w:marLeft w:val="0"/>
      <w:marRight w:val="0"/>
      <w:marTop w:val="0"/>
      <w:marBottom w:val="0"/>
      <w:divBdr>
        <w:top w:val="none" w:sz="0" w:space="0" w:color="auto"/>
        <w:left w:val="none" w:sz="0" w:space="0" w:color="auto"/>
        <w:bottom w:val="none" w:sz="0" w:space="0" w:color="auto"/>
        <w:right w:val="none" w:sz="0" w:space="0" w:color="auto"/>
      </w:divBdr>
      <w:divsChild>
        <w:div w:id="213976432">
          <w:marLeft w:val="547"/>
          <w:marRight w:val="0"/>
          <w:marTop w:val="0"/>
          <w:marBottom w:val="0"/>
          <w:divBdr>
            <w:top w:val="none" w:sz="0" w:space="0" w:color="auto"/>
            <w:left w:val="none" w:sz="0" w:space="0" w:color="auto"/>
            <w:bottom w:val="none" w:sz="0" w:space="0" w:color="auto"/>
            <w:right w:val="none" w:sz="0" w:space="0" w:color="auto"/>
          </w:divBdr>
        </w:div>
        <w:div w:id="600574519">
          <w:marLeft w:val="547"/>
          <w:marRight w:val="0"/>
          <w:marTop w:val="0"/>
          <w:marBottom w:val="0"/>
          <w:divBdr>
            <w:top w:val="none" w:sz="0" w:space="0" w:color="auto"/>
            <w:left w:val="none" w:sz="0" w:space="0" w:color="auto"/>
            <w:bottom w:val="none" w:sz="0" w:space="0" w:color="auto"/>
            <w:right w:val="none" w:sz="0" w:space="0" w:color="auto"/>
          </w:divBdr>
        </w:div>
        <w:div w:id="979841742">
          <w:marLeft w:val="547"/>
          <w:marRight w:val="0"/>
          <w:marTop w:val="0"/>
          <w:marBottom w:val="0"/>
          <w:divBdr>
            <w:top w:val="none" w:sz="0" w:space="0" w:color="auto"/>
            <w:left w:val="none" w:sz="0" w:space="0" w:color="auto"/>
            <w:bottom w:val="none" w:sz="0" w:space="0" w:color="auto"/>
            <w:right w:val="none" w:sz="0" w:space="0" w:color="auto"/>
          </w:divBdr>
        </w:div>
        <w:div w:id="1089035633">
          <w:marLeft w:val="547"/>
          <w:marRight w:val="0"/>
          <w:marTop w:val="0"/>
          <w:marBottom w:val="0"/>
          <w:divBdr>
            <w:top w:val="none" w:sz="0" w:space="0" w:color="auto"/>
            <w:left w:val="none" w:sz="0" w:space="0" w:color="auto"/>
            <w:bottom w:val="none" w:sz="0" w:space="0" w:color="auto"/>
            <w:right w:val="none" w:sz="0" w:space="0" w:color="auto"/>
          </w:divBdr>
        </w:div>
        <w:div w:id="2090997563">
          <w:marLeft w:val="547"/>
          <w:marRight w:val="0"/>
          <w:marTop w:val="0"/>
          <w:marBottom w:val="0"/>
          <w:divBdr>
            <w:top w:val="none" w:sz="0" w:space="0" w:color="auto"/>
            <w:left w:val="none" w:sz="0" w:space="0" w:color="auto"/>
            <w:bottom w:val="none" w:sz="0" w:space="0" w:color="auto"/>
            <w:right w:val="none" w:sz="0" w:space="0" w:color="auto"/>
          </w:divBdr>
        </w:div>
        <w:div w:id="2140223056">
          <w:marLeft w:val="547"/>
          <w:marRight w:val="0"/>
          <w:marTop w:val="0"/>
          <w:marBottom w:val="0"/>
          <w:divBdr>
            <w:top w:val="none" w:sz="0" w:space="0" w:color="auto"/>
            <w:left w:val="none" w:sz="0" w:space="0" w:color="auto"/>
            <w:bottom w:val="none" w:sz="0" w:space="0" w:color="auto"/>
            <w:right w:val="none" w:sz="0" w:space="0" w:color="auto"/>
          </w:divBdr>
        </w:div>
      </w:divsChild>
    </w:div>
    <w:div w:id="529955204">
      <w:bodyDiv w:val="1"/>
      <w:marLeft w:val="0"/>
      <w:marRight w:val="0"/>
      <w:marTop w:val="0"/>
      <w:marBottom w:val="0"/>
      <w:divBdr>
        <w:top w:val="none" w:sz="0" w:space="0" w:color="auto"/>
        <w:left w:val="none" w:sz="0" w:space="0" w:color="auto"/>
        <w:bottom w:val="none" w:sz="0" w:space="0" w:color="auto"/>
        <w:right w:val="none" w:sz="0" w:space="0" w:color="auto"/>
      </w:divBdr>
    </w:div>
    <w:div w:id="533151644">
      <w:bodyDiv w:val="1"/>
      <w:marLeft w:val="0"/>
      <w:marRight w:val="0"/>
      <w:marTop w:val="0"/>
      <w:marBottom w:val="0"/>
      <w:divBdr>
        <w:top w:val="none" w:sz="0" w:space="0" w:color="auto"/>
        <w:left w:val="none" w:sz="0" w:space="0" w:color="auto"/>
        <w:bottom w:val="none" w:sz="0" w:space="0" w:color="auto"/>
        <w:right w:val="none" w:sz="0" w:space="0" w:color="auto"/>
      </w:divBdr>
    </w:div>
    <w:div w:id="596404029">
      <w:bodyDiv w:val="1"/>
      <w:marLeft w:val="0"/>
      <w:marRight w:val="0"/>
      <w:marTop w:val="0"/>
      <w:marBottom w:val="0"/>
      <w:divBdr>
        <w:top w:val="none" w:sz="0" w:space="0" w:color="auto"/>
        <w:left w:val="none" w:sz="0" w:space="0" w:color="auto"/>
        <w:bottom w:val="none" w:sz="0" w:space="0" w:color="auto"/>
        <w:right w:val="none" w:sz="0" w:space="0" w:color="auto"/>
      </w:divBdr>
    </w:div>
    <w:div w:id="622856269">
      <w:bodyDiv w:val="1"/>
      <w:marLeft w:val="0"/>
      <w:marRight w:val="0"/>
      <w:marTop w:val="0"/>
      <w:marBottom w:val="0"/>
      <w:divBdr>
        <w:top w:val="none" w:sz="0" w:space="0" w:color="auto"/>
        <w:left w:val="none" w:sz="0" w:space="0" w:color="auto"/>
        <w:bottom w:val="none" w:sz="0" w:space="0" w:color="auto"/>
        <w:right w:val="none" w:sz="0" w:space="0" w:color="auto"/>
      </w:divBdr>
    </w:div>
    <w:div w:id="638998161">
      <w:bodyDiv w:val="1"/>
      <w:marLeft w:val="0"/>
      <w:marRight w:val="0"/>
      <w:marTop w:val="0"/>
      <w:marBottom w:val="0"/>
      <w:divBdr>
        <w:top w:val="none" w:sz="0" w:space="0" w:color="auto"/>
        <w:left w:val="none" w:sz="0" w:space="0" w:color="auto"/>
        <w:bottom w:val="none" w:sz="0" w:space="0" w:color="auto"/>
        <w:right w:val="none" w:sz="0" w:space="0" w:color="auto"/>
      </w:divBdr>
      <w:divsChild>
        <w:div w:id="401415627">
          <w:marLeft w:val="0"/>
          <w:marRight w:val="0"/>
          <w:marTop w:val="0"/>
          <w:marBottom w:val="0"/>
          <w:divBdr>
            <w:top w:val="none" w:sz="0" w:space="0" w:color="auto"/>
            <w:left w:val="none" w:sz="0" w:space="0" w:color="auto"/>
            <w:bottom w:val="none" w:sz="0" w:space="0" w:color="auto"/>
            <w:right w:val="none" w:sz="0" w:space="0" w:color="auto"/>
          </w:divBdr>
        </w:div>
        <w:div w:id="786654643">
          <w:marLeft w:val="0"/>
          <w:marRight w:val="0"/>
          <w:marTop w:val="0"/>
          <w:marBottom w:val="0"/>
          <w:divBdr>
            <w:top w:val="none" w:sz="0" w:space="0" w:color="auto"/>
            <w:left w:val="none" w:sz="0" w:space="0" w:color="auto"/>
            <w:bottom w:val="none" w:sz="0" w:space="0" w:color="auto"/>
            <w:right w:val="none" w:sz="0" w:space="0" w:color="auto"/>
          </w:divBdr>
        </w:div>
        <w:div w:id="1117143674">
          <w:marLeft w:val="0"/>
          <w:marRight w:val="0"/>
          <w:marTop w:val="0"/>
          <w:marBottom w:val="0"/>
          <w:divBdr>
            <w:top w:val="none" w:sz="0" w:space="0" w:color="auto"/>
            <w:left w:val="none" w:sz="0" w:space="0" w:color="auto"/>
            <w:bottom w:val="none" w:sz="0" w:space="0" w:color="auto"/>
            <w:right w:val="none" w:sz="0" w:space="0" w:color="auto"/>
          </w:divBdr>
          <w:divsChild>
            <w:div w:id="1490437590">
              <w:marLeft w:val="-75"/>
              <w:marRight w:val="0"/>
              <w:marTop w:val="30"/>
              <w:marBottom w:val="30"/>
              <w:divBdr>
                <w:top w:val="none" w:sz="0" w:space="0" w:color="auto"/>
                <w:left w:val="none" w:sz="0" w:space="0" w:color="auto"/>
                <w:bottom w:val="none" w:sz="0" w:space="0" w:color="auto"/>
                <w:right w:val="none" w:sz="0" w:space="0" w:color="auto"/>
              </w:divBdr>
              <w:divsChild>
                <w:div w:id="299531911">
                  <w:marLeft w:val="0"/>
                  <w:marRight w:val="0"/>
                  <w:marTop w:val="0"/>
                  <w:marBottom w:val="0"/>
                  <w:divBdr>
                    <w:top w:val="none" w:sz="0" w:space="0" w:color="auto"/>
                    <w:left w:val="none" w:sz="0" w:space="0" w:color="auto"/>
                    <w:bottom w:val="none" w:sz="0" w:space="0" w:color="auto"/>
                    <w:right w:val="none" w:sz="0" w:space="0" w:color="auto"/>
                  </w:divBdr>
                  <w:divsChild>
                    <w:div w:id="94441697">
                      <w:marLeft w:val="0"/>
                      <w:marRight w:val="0"/>
                      <w:marTop w:val="0"/>
                      <w:marBottom w:val="0"/>
                      <w:divBdr>
                        <w:top w:val="none" w:sz="0" w:space="0" w:color="auto"/>
                        <w:left w:val="none" w:sz="0" w:space="0" w:color="auto"/>
                        <w:bottom w:val="none" w:sz="0" w:space="0" w:color="auto"/>
                        <w:right w:val="none" w:sz="0" w:space="0" w:color="auto"/>
                      </w:divBdr>
                    </w:div>
                  </w:divsChild>
                </w:div>
                <w:div w:id="383985592">
                  <w:marLeft w:val="0"/>
                  <w:marRight w:val="0"/>
                  <w:marTop w:val="0"/>
                  <w:marBottom w:val="0"/>
                  <w:divBdr>
                    <w:top w:val="none" w:sz="0" w:space="0" w:color="auto"/>
                    <w:left w:val="none" w:sz="0" w:space="0" w:color="auto"/>
                    <w:bottom w:val="none" w:sz="0" w:space="0" w:color="auto"/>
                    <w:right w:val="none" w:sz="0" w:space="0" w:color="auto"/>
                  </w:divBdr>
                  <w:divsChild>
                    <w:div w:id="264926644">
                      <w:marLeft w:val="0"/>
                      <w:marRight w:val="0"/>
                      <w:marTop w:val="0"/>
                      <w:marBottom w:val="0"/>
                      <w:divBdr>
                        <w:top w:val="none" w:sz="0" w:space="0" w:color="auto"/>
                        <w:left w:val="none" w:sz="0" w:space="0" w:color="auto"/>
                        <w:bottom w:val="none" w:sz="0" w:space="0" w:color="auto"/>
                        <w:right w:val="none" w:sz="0" w:space="0" w:color="auto"/>
                      </w:divBdr>
                    </w:div>
                  </w:divsChild>
                </w:div>
                <w:div w:id="543561680">
                  <w:marLeft w:val="0"/>
                  <w:marRight w:val="0"/>
                  <w:marTop w:val="0"/>
                  <w:marBottom w:val="0"/>
                  <w:divBdr>
                    <w:top w:val="none" w:sz="0" w:space="0" w:color="auto"/>
                    <w:left w:val="none" w:sz="0" w:space="0" w:color="auto"/>
                    <w:bottom w:val="none" w:sz="0" w:space="0" w:color="auto"/>
                    <w:right w:val="none" w:sz="0" w:space="0" w:color="auto"/>
                  </w:divBdr>
                  <w:divsChild>
                    <w:div w:id="1829444611">
                      <w:marLeft w:val="0"/>
                      <w:marRight w:val="0"/>
                      <w:marTop w:val="0"/>
                      <w:marBottom w:val="0"/>
                      <w:divBdr>
                        <w:top w:val="none" w:sz="0" w:space="0" w:color="auto"/>
                        <w:left w:val="none" w:sz="0" w:space="0" w:color="auto"/>
                        <w:bottom w:val="none" w:sz="0" w:space="0" w:color="auto"/>
                        <w:right w:val="none" w:sz="0" w:space="0" w:color="auto"/>
                      </w:divBdr>
                    </w:div>
                  </w:divsChild>
                </w:div>
                <w:div w:id="571354759">
                  <w:marLeft w:val="0"/>
                  <w:marRight w:val="0"/>
                  <w:marTop w:val="0"/>
                  <w:marBottom w:val="0"/>
                  <w:divBdr>
                    <w:top w:val="none" w:sz="0" w:space="0" w:color="auto"/>
                    <w:left w:val="none" w:sz="0" w:space="0" w:color="auto"/>
                    <w:bottom w:val="none" w:sz="0" w:space="0" w:color="auto"/>
                    <w:right w:val="none" w:sz="0" w:space="0" w:color="auto"/>
                  </w:divBdr>
                  <w:divsChild>
                    <w:div w:id="1856767888">
                      <w:marLeft w:val="0"/>
                      <w:marRight w:val="0"/>
                      <w:marTop w:val="0"/>
                      <w:marBottom w:val="0"/>
                      <w:divBdr>
                        <w:top w:val="none" w:sz="0" w:space="0" w:color="auto"/>
                        <w:left w:val="none" w:sz="0" w:space="0" w:color="auto"/>
                        <w:bottom w:val="none" w:sz="0" w:space="0" w:color="auto"/>
                        <w:right w:val="none" w:sz="0" w:space="0" w:color="auto"/>
                      </w:divBdr>
                    </w:div>
                  </w:divsChild>
                </w:div>
                <w:div w:id="621766593">
                  <w:marLeft w:val="0"/>
                  <w:marRight w:val="0"/>
                  <w:marTop w:val="0"/>
                  <w:marBottom w:val="0"/>
                  <w:divBdr>
                    <w:top w:val="none" w:sz="0" w:space="0" w:color="auto"/>
                    <w:left w:val="none" w:sz="0" w:space="0" w:color="auto"/>
                    <w:bottom w:val="none" w:sz="0" w:space="0" w:color="auto"/>
                    <w:right w:val="none" w:sz="0" w:space="0" w:color="auto"/>
                  </w:divBdr>
                  <w:divsChild>
                    <w:div w:id="1697198294">
                      <w:marLeft w:val="0"/>
                      <w:marRight w:val="0"/>
                      <w:marTop w:val="0"/>
                      <w:marBottom w:val="0"/>
                      <w:divBdr>
                        <w:top w:val="none" w:sz="0" w:space="0" w:color="auto"/>
                        <w:left w:val="none" w:sz="0" w:space="0" w:color="auto"/>
                        <w:bottom w:val="none" w:sz="0" w:space="0" w:color="auto"/>
                        <w:right w:val="none" w:sz="0" w:space="0" w:color="auto"/>
                      </w:divBdr>
                    </w:div>
                  </w:divsChild>
                </w:div>
                <w:div w:id="644966865">
                  <w:marLeft w:val="0"/>
                  <w:marRight w:val="0"/>
                  <w:marTop w:val="0"/>
                  <w:marBottom w:val="0"/>
                  <w:divBdr>
                    <w:top w:val="none" w:sz="0" w:space="0" w:color="auto"/>
                    <w:left w:val="none" w:sz="0" w:space="0" w:color="auto"/>
                    <w:bottom w:val="none" w:sz="0" w:space="0" w:color="auto"/>
                    <w:right w:val="none" w:sz="0" w:space="0" w:color="auto"/>
                  </w:divBdr>
                  <w:divsChild>
                    <w:div w:id="565264967">
                      <w:marLeft w:val="0"/>
                      <w:marRight w:val="0"/>
                      <w:marTop w:val="0"/>
                      <w:marBottom w:val="0"/>
                      <w:divBdr>
                        <w:top w:val="none" w:sz="0" w:space="0" w:color="auto"/>
                        <w:left w:val="none" w:sz="0" w:space="0" w:color="auto"/>
                        <w:bottom w:val="none" w:sz="0" w:space="0" w:color="auto"/>
                        <w:right w:val="none" w:sz="0" w:space="0" w:color="auto"/>
                      </w:divBdr>
                    </w:div>
                  </w:divsChild>
                </w:div>
                <w:div w:id="679703528">
                  <w:marLeft w:val="0"/>
                  <w:marRight w:val="0"/>
                  <w:marTop w:val="0"/>
                  <w:marBottom w:val="0"/>
                  <w:divBdr>
                    <w:top w:val="none" w:sz="0" w:space="0" w:color="auto"/>
                    <w:left w:val="none" w:sz="0" w:space="0" w:color="auto"/>
                    <w:bottom w:val="none" w:sz="0" w:space="0" w:color="auto"/>
                    <w:right w:val="none" w:sz="0" w:space="0" w:color="auto"/>
                  </w:divBdr>
                  <w:divsChild>
                    <w:div w:id="941301049">
                      <w:marLeft w:val="0"/>
                      <w:marRight w:val="0"/>
                      <w:marTop w:val="0"/>
                      <w:marBottom w:val="0"/>
                      <w:divBdr>
                        <w:top w:val="none" w:sz="0" w:space="0" w:color="auto"/>
                        <w:left w:val="none" w:sz="0" w:space="0" w:color="auto"/>
                        <w:bottom w:val="none" w:sz="0" w:space="0" w:color="auto"/>
                        <w:right w:val="none" w:sz="0" w:space="0" w:color="auto"/>
                      </w:divBdr>
                    </w:div>
                  </w:divsChild>
                </w:div>
                <w:div w:id="798108078">
                  <w:marLeft w:val="0"/>
                  <w:marRight w:val="0"/>
                  <w:marTop w:val="0"/>
                  <w:marBottom w:val="0"/>
                  <w:divBdr>
                    <w:top w:val="none" w:sz="0" w:space="0" w:color="auto"/>
                    <w:left w:val="none" w:sz="0" w:space="0" w:color="auto"/>
                    <w:bottom w:val="none" w:sz="0" w:space="0" w:color="auto"/>
                    <w:right w:val="none" w:sz="0" w:space="0" w:color="auto"/>
                  </w:divBdr>
                  <w:divsChild>
                    <w:div w:id="883105028">
                      <w:marLeft w:val="0"/>
                      <w:marRight w:val="0"/>
                      <w:marTop w:val="0"/>
                      <w:marBottom w:val="0"/>
                      <w:divBdr>
                        <w:top w:val="none" w:sz="0" w:space="0" w:color="auto"/>
                        <w:left w:val="none" w:sz="0" w:space="0" w:color="auto"/>
                        <w:bottom w:val="none" w:sz="0" w:space="0" w:color="auto"/>
                        <w:right w:val="none" w:sz="0" w:space="0" w:color="auto"/>
                      </w:divBdr>
                    </w:div>
                  </w:divsChild>
                </w:div>
                <w:div w:id="848760459">
                  <w:marLeft w:val="0"/>
                  <w:marRight w:val="0"/>
                  <w:marTop w:val="0"/>
                  <w:marBottom w:val="0"/>
                  <w:divBdr>
                    <w:top w:val="none" w:sz="0" w:space="0" w:color="auto"/>
                    <w:left w:val="none" w:sz="0" w:space="0" w:color="auto"/>
                    <w:bottom w:val="none" w:sz="0" w:space="0" w:color="auto"/>
                    <w:right w:val="none" w:sz="0" w:space="0" w:color="auto"/>
                  </w:divBdr>
                  <w:divsChild>
                    <w:div w:id="2083017935">
                      <w:marLeft w:val="0"/>
                      <w:marRight w:val="0"/>
                      <w:marTop w:val="0"/>
                      <w:marBottom w:val="0"/>
                      <w:divBdr>
                        <w:top w:val="none" w:sz="0" w:space="0" w:color="auto"/>
                        <w:left w:val="none" w:sz="0" w:space="0" w:color="auto"/>
                        <w:bottom w:val="none" w:sz="0" w:space="0" w:color="auto"/>
                        <w:right w:val="none" w:sz="0" w:space="0" w:color="auto"/>
                      </w:divBdr>
                    </w:div>
                  </w:divsChild>
                </w:div>
                <w:div w:id="1100297214">
                  <w:marLeft w:val="0"/>
                  <w:marRight w:val="0"/>
                  <w:marTop w:val="0"/>
                  <w:marBottom w:val="0"/>
                  <w:divBdr>
                    <w:top w:val="none" w:sz="0" w:space="0" w:color="auto"/>
                    <w:left w:val="none" w:sz="0" w:space="0" w:color="auto"/>
                    <w:bottom w:val="none" w:sz="0" w:space="0" w:color="auto"/>
                    <w:right w:val="none" w:sz="0" w:space="0" w:color="auto"/>
                  </w:divBdr>
                  <w:divsChild>
                    <w:div w:id="245191798">
                      <w:marLeft w:val="0"/>
                      <w:marRight w:val="0"/>
                      <w:marTop w:val="0"/>
                      <w:marBottom w:val="0"/>
                      <w:divBdr>
                        <w:top w:val="none" w:sz="0" w:space="0" w:color="auto"/>
                        <w:left w:val="none" w:sz="0" w:space="0" w:color="auto"/>
                        <w:bottom w:val="none" w:sz="0" w:space="0" w:color="auto"/>
                        <w:right w:val="none" w:sz="0" w:space="0" w:color="auto"/>
                      </w:divBdr>
                    </w:div>
                  </w:divsChild>
                </w:div>
                <w:div w:id="1267882425">
                  <w:marLeft w:val="0"/>
                  <w:marRight w:val="0"/>
                  <w:marTop w:val="0"/>
                  <w:marBottom w:val="0"/>
                  <w:divBdr>
                    <w:top w:val="none" w:sz="0" w:space="0" w:color="auto"/>
                    <w:left w:val="none" w:sz="0" w:space="0" w:color="auto"/>
                    <w:bottom w:val="none" w:sz="0" w:space="0" w:color="auto"/>
                    <w:right w:val="none" w:sz="0" w:space="0" w:color="auto"/>
                  </w:divBdr>
                  <w:divsChild>
                    <w:div w:id="1746684648">
                      <w:marLeft w:val="0"/>
                      <w:marRight w:val="0"/>
                      <w:marTop w:val="0"/>
                      <w:marBottom w:val="0"/>
                      <w:divBdr>
                        <w:top w:val="none" w:sz="0" w:space="0" w:color="auto"/>
                        <w:left w:val="none" w:sz="0" w:space="0" w:color="auto"/>
                        <w:bottom w:val="none" w:sz="0" w:space="0" w:color="auto"/>
                        <w:right w:val="none" w:sz="0" w:space="0" w:color="auto"/>
                      </w:divBdr>
                    </w:div>
                  </w:divsChild>
                </w:div>
                <w:div w:id="1350181718">
                  <w:marLeft w:val="0"/>
                  <w:marRight w:val="0"/>
                  <w:marTop w:val="0"/>
                  <w:marBottom w:val="0"/>
                  <w:divBdr>
                    <w:top w:val="none" w:sz="0" w:space="0" w:color="auto"/>
                    <w:left w:val="none" w:sz="0" w:space="0" w:color="auto"/>
                    <w:bottom w:val="none" w:sz="0" w:space="0" w:color="auto"/>
                    <w:right w:val="none" w:sz="0" w:space="0" w:color="auto"/>
                  </w:divBdr>
                  <w:divsChild>
                    <w:div w:id="414716161">
                      <w:marLeft w:val="0"/>
                      <w:marRight w:val="0"/>
                      <w:marTop w:val="0"/>
                      <w:marBottom w:val="0"/>
                      <w:divBdr>
                        <w:top w:val="none" w:sz="0" w:space="0" w:color="auto"/>
                        <w:left w:val="none" w:sz="0" w:space="0" w:color="auto"/>
                        <w:bottom w:val="none" w:sz="0" w:space="0" w:color="auto"/>
                        <w:right w:val="none" w:sz="0" w:space="0" w:color="auto"/>
                      </w:divBdr>
                    </w:div>
                  </w:divsChild>
                </w:div>
                <w:div w:id="1512715426">
                  <w:marLeft w:val="0"/>
                  <w:marRight w:val="0"/>
                  <w:marTop w:val="0"/>
                  <w:marBottom w:val="0"/>
                  <w:divBdr>
                    <w:top w:val="none" w:sz="0" w:space="0" w:color="auto"/>
                    <w:left w:val="none" w:sz="0" w:space="0" w:color="auto"/>
                    <w:bottom w:val="none" w:sz="0" w:space="0" w:color="auto"/>
                    <w:right w:val="none" w:sz="0" w:space="0" w:color="auto"/>
                  </w:divBdr>
                  <w:divsChild>
                    <w:div w:id="612521475">
                      <w:marLeft w:val="0"/>
                      <w:marRight w:val="0"/>
                      <w:marTop w:val="0"/>
                      <w:marBottom w:val="0"/>
                      <w:divBdr>
                        <w:top w:val="none" w:sz="0" w:space="0" w:color="auto"/>
                        <w:left w:val="none" w:sz="0" w:space="0" w:color="auto"/>
                        <w:bottom w:val="none" w:sz="0" w:space="0" w:color="auto"/>
                        <w:right w:val="none" w:sz="0" w:space="0" w:color="auto"/>
                      </w:divBdr>
                    </w:div>
                  </w:divsChild>
                </w:div>
                <w:div w:id="1664122731">
                  <w:marLeft w:val="0"/>
                  <w:marRight w:val="0"/>
                  <w:marTop w:val="0"/>
                  <w:marBottom w:val="0"/>
                  <w:divBdr>
                    <w:top w:val="none" w:sz="0" w:space="0" w:color="auto"/>
                    <w:left w:val="none" w:sz="0" w:space="0" w:color="auto"/>
                    <w:bottom w:val="none" w:sz="0" w:space="0" w:color="auto"/>
                    <w:right w:val="none" w:sz="0" w:space="0" w:color="auto"/>
                  </w:divBdr>
                  <w:divsChild>
                    <w:div w:id="1602448564">
                      <w:marLeft w:val="0"/>
                      <w:marRight w:val="0"/>
                      <w:marTop w:val="0"/>
                      <w:marBottom w:val="0"/>
                      <w:divBdr>
                        <w:top w:val="none" w:sz="0" w:space="0" w:color="auto"/>
                        <w:left w:val="none" w:sz="0" w:space="0" w:color="auto"/>
                        <w:bottom w:val="none" w:sz="0" w:space="0" w:color="auto"/>
                        <w:right w:val="none" w:sz="0" w:space="0" w:color="auto"/>
                      </w:divBdr>
                    </w:div>
                  </w:divsChild>
                </w:div>
                <w:div w:id="1706904597">
                  <w:marLeft w:val="0"/>
                  <w:marRight w:val="0"/>
                  <w:marTop w:val="0"/>
                  <w:marBottom w:val="0"/>
                  <w:divBdr>
                    <w:top w:val="none" w:sz="0" w:space="0" w:color="auto"/>
                    <w:left w:val="none" w:sz="0" w:space="0" w:color="auto"/>
                    <w:bottom w:val="none" w:sz="0" w:space="0" w:color="auto"/>
                    <w:right w:val="none" w:sz="0" w:space="0" w:color="auto"/>
                  </w:divBdr>
                  <w:divsChild>
                    <w:div w:id="2053067177">
                      <w:marLeft w:val="0"/>
                      <w:marRight w:val="0"/>
                      <w:marTop w:val="0"/>
                      <w:marBottom w:val="0"/>
                      <w:divBdr>
                        <w:top w:val="none" w:sz="0" w:space="0" w:color="auto"/>
                        <w:left w:val="none" w:sz="0" w:space="0" w:color="auto"/>
                        <w:bottom w:val="none" w:sz="0" w:space="0" w:color="auto"/>
                        <w:right w:val="none" w:sz="0" w:space="0" w:color="auto"/>
                      </w:divBdr>
                    </w:div>
                  </w:divsChild>
                </w:div>
                <w:div w:id="1739285080">
                  <w:marLeft w:val="0"/>
                  <w:marRight w:val="0"/>
                  <w:marTop w:val="0"/>
                  <w:marBottom w:val="0"/>
                  <w:divBdr>
                    <w:top w:val="none" w:sz="0" w:space="0" w:color="auto"/>
                    <w:left w:val="none" w:sz="0" w:space="0" w:color="auto"/>
                    <w:bottom w:val="none" w:sz="0" w:space="0" w:color="auto"/>
                    <w:right w:val="none" w:sz="0" w:space="0" w:color="auto"/>
                  </w:divBdr>
                  <w:divsChild>
                    <w:div w:id="1336299878">
                      <w:marLeft w:val="0"/>
                      <w:marRight w:val="0"/>
                      <w:marTop w:val="0"/>
                      <w:marBottom w:val="0"/>
                      <w:divBdr>
                        <w:top w:val="none" w:sz="0" w:space="0" w:color="auto"/>
                        <w:left w:val="none" w:sz="0" w:space="0" w:color="auto"/>
                        <w:bottom w:val="none" w:sz="0" w:space="0" w:color="auto"/>
                        <w:right w:val="none" w:sz="0" w:space="0" w:color="auto"/>
                      </w:divBdr>
                    </w:div>
                  </w:divsChild>
                </w:div>
                <w:div w:id="1757366057">
                  <w:marLeft w:val="0"/>
                  <w:marRight w:val="0"/>
                  <w:marTop w:val="0"/>
                  <w:marBottom w:val="0"/>
                  <w:divBdr>
                    <w:top w:val="none" w:sz="0" w:space="0" w:color="auto"/>
                    <w:left w:val="none" w:sz="0" w:space="0" w:color="auto"/>
                    <w:bottom w:val="none" w:sz="0" w:space="0" w:color="auto"/>
                    <w:right w:val="none" w:sz="0" w:space="0" w:color="auto"/>
                  </w:divBdr>
                  <w:divsChild>
                    <w:div w:id="1192718326">
                      <w:marLeft w:val="0"/>
                      <w:marRight w:val="0"/>
                      <w:marTop w:val="0"/>
                      <w:marBottom w:val="0"/>
                      <w:divBdr>
                        <w:top w:val="none" w:sz="0" w:space="0" w:color="auto"/>
                        <w:left w:val="none" w:sz="0" w:space="0" w:color="auto"/>
                        <w:bottom w:val="none" w:sz="0" w:space="0" w:color="auto"/>
                        <w:right w:val="none" w:sz="0" w:space="0" w:color="auto"/>
                      </w:divBdr>
                    </w:div>
                  </w:divsChild>
                </w:div>
                <w:div w:id="1770158484">
                  <w:marLeft w:val="0"/>
                  <w:marRight w:val="0"/>
                  <w:marTop w:val="0"/>
                  <w:marBottom w:val="0"/>
                  <w:divBdr>
                    <w:top w:val="none" w:sz="0" w:space="0" w:color="auto"/>
                    <w:left w:val="none" w:sz="0" w:space="0" w:color="auto"/>
                    <w:bottom w:val="none" w:sz="0" w:space="0" w:color="auto"/>
                    <w:right w:val="none" w:sz="0" w:space="0" w:color="auto"/>
                  </w:divBdr>
                  <w:divsChild>
                    <w:div w:id="57749854">
                      <w:marLeft w:val="0"/>
                      <w:marRight w:val="0"/>
                      <w:marTop w:val="0"/>
                      <w:marBottom w:val="0"/>
                      <w:divBdr>
                        <w:top w:val="none" w:sz="0" w:space="0" w:color="auto"/>
                        <w:left w:val="none" w:sz="0" w:space="0" w:color="auto"/>
                        <w:bottom w:val="none" w:sz="0" w:space="0" w:color="auto"/>
                        <w:right w:val="none" w:sz="0" w:space="0" w:color="auto"/>
                      </w:divBdr>
                    </w:div>
                  </w:divsChild>
                </w:div>
                <w:div w:id="1863545854">
                  <w:marLeft w:val="0"/>
                  <w:marRight w:val="0"/>
                  <w:marTop w:val="0"/>
                  <w:marBottom w:val="0"/>
                  <w:divBdr>
                    <w:top w:val="none" w:sz="0" w:space="0" w:color="auto"/>
                    <w:left w:val="none" w:sz="0" w:space="0" w:color="auto"/>
                    <w:bottom w:val="none" w:sz="0" w:space="0" w:color="auto"/>
                    <w:right w:val="none" w:sz="0" w:space="0" w:color="auto"/>
                  </w:divBdr>
                  <w:divsChild>
                    <w:div w:id="2002544533">
                      <w:marLeft w:val="0"/>
                      <w:marRight w:val="0"/>
                      <w:marTop w:val="0"/>
                      <w:marBottom w:val="0"/>
                      <w:divBdr>
                        <w:top w:val="none" w:sz="0" w:space="0" w:color="auto"/>
                        <w:left w:val="none" w:sz="0" w:space="0" w:color="auto"/>
                        <w:bottom w:val="none" w:sz="0" w:space="0" w:color="auto"/>
                        <w:right w:val="none" w:sz="0" w:space="0" w:color="auto"/>
                      </w:divBdr>
                    </w:div>
                  </w:divsChild>
                </w:div>
                <w:div w:id="1904171127">
                  <w:marLeft w:val="0"/>
                  <w:marRight w:val="0"/>
                  <w:marTop w:val="0"/>
                  <w:marBottom w:val="0"/>
                  <w:divBdr>
                    <w:top w:val="none" w:sz="0" w:space="0" w:color="auto"/>
                    <w:left w:val="none" w:sz="0" w:space="0" w:color="auto"/>
                    <w:bottom w:val="none" w:sz="0" w:space="0" w:color="auto"/>
                    <w:right w:val="none" w:sz="0" w:space="0" w:color="auto"/>
                  </w:divBdr>
                  <w:divsChild>
                    <w:div w:id="1459881807">
                      <w:marLeft w:val="0"/>
                      <w:marRight w:val="0"/>
                      <w:marTop w:val="0"/>
                      <w:marBottom w:val="0"/>
                      <w:divBdr>
                        <w:top w:val="none" w:sz="0" w:space="0" w:color="auto"/>
                        <w:left w:val="none" w:sz="0" w:space="0" w:color="auto"/>
                        <w:bottom w:val="none" w:sz="0" w:space="0" w:color="auto"/>
                        <w:right w:val="none" w:sz="0" w:space="0" w:color="auto"/>
                      </w:divBdr>
                    </w:div>
                  </w:divsChild>
                </w:div>
                <w:div w:id="1935822641">
                  <w:marLeft w:val="0"/>
                  <w:marRight w:val="0"/>
                  <w:marTop w:val="0"/>
                  <w:marBottom w:val="0"/>
                  <w:divBdr>
                    <w:top w:val="none" w:sz="0" w:space="0" w:color="auto"/>
                    <w:left w:val="none" w:sz="0" w:space="0" w:color="auto"/>
                    <w:bottom w:val="none" w:sz="0" w:space="0" w:color="auto"/>
                    <w:right w:val="none" w:sz="0" w:space="0" w:color="auto"/>
                  </w:divBdr>
                  <w:divsChild>
                    <w:div w:id="708844819">
                      <w:marLeft w:val="0"/>
                      <w:marRight w:val="0"/>
                      <w:marTop w:val="0"/>
                      <w:marBottom w:val="0"/>
                      <w:divBdr>
                        <w:top w:val="none" w:sz="0" w:space="0" w:color="auto"/>
                        <w:left w:val="none" w:sz="0" w:space="0" w:color="auto"/>
                        <w:bottom w:val="none" w:sz="0" w:space="0" w:color="auto"/>
                        <w:right w:val="none" w:sz="0" w:space="0" w:color="auto"/>
                      </w:divBdr>
                    </w:div>
                  </w:divsChild>
                </w:div>
                <w:div w:id="1981768743">
                  <w:marLeft w:val="0"/>
                  <w:marRight w:val="0"/>
                  <w:marTop w:val="0"/>
                  <w:marBottom w:val="0"/>
                  <w:divBdr>
                    <w:top w:val="none" w:sz="0" w:space="0" w:color="auto"/>
                    <w:left w:val="none" w:sz="0" w:space="0" w:color="auto"/>
                    <w:bottom w:val="none" w:sz="0" w:space="0" w:color="auto"/>
                    <w:right w:val="none" w:sz="0" w:space="0" w:color="auto"/>
                  </w:divBdr>
                  <w:divsChild>
                    <w:div w:id="950622574">
                      <w:marLeft w:val="0"/>
                      <w:marRight w:val="0"/>
                      <w:marTop w:val="0"/>
                      <w:marBottom w:val="0"/>
                      <w:divBdr>
                        <w:top w:val="none" w:sz="0" w:space="0" w:color="auto"/>
                        <w:left w:val="none" w:sz="0" w:space="0" w:color="auto"/>
                        <w:bottom w:val="none" w:sz="0" w:space="0" w:color="auto"/>
                        <w:right w:val="none" w:sz="0" w:space="0" w:color="auto"/>
                      </w:divBdr>
                    </w:div>
                  </w:divsChild>
                </w:div>
                <w:div w:id="1999529253">
                  <w:marLeft w:val="0"/>
                  <w:marRight w:val="0"/>
                  <w:marTop w:val="0"/>
                  <w:marBottom w:val="0"/>
                  <w:divBdr>
                    <w:top w:val="none" w:sz="0" w:space="0" w:color="auto"/>
                    <w:left w:val="none" w:sz="0" w:space="0" w:color="auto"/>
                    <w:bottom w:val="none" w:sz="0" w:space="0" w:color="auto"/>
                    <w:right w:val="none" w:sz="0" w:space="0" w:color="auto"/>
                  </w:divBdr>
                  <w:divsChild>
                    <w:div w:id="350105550">
                      <w:marLeft w:val="0"/>
                      <w:marRight w:val="0"/>
                      <w:marTop w:val="0"/>
                      <w:marBottom w:val="0"/>
                      <w:divBdr>
                        <w:top w:val="none" w:sz="0" w:space="0" w:color="auto"/>
                        <w:left w:val="none" w:sz="0" w:space="0" w:color="auto"/>
                        <w:bottom w:val="none" w:sz="0" w:space="0" w:color="auto"/>
                        <w:right w:val="none" w:sz="0" w:space="0" w:color="auto"/>
                      </w:divBdr>
                    </w:div>
                  </w:divsChild>
                </w:div>
                <w:div w:id="2043506065">
                  <w:marLeft w:val="0"/>
                  <w:marRight w:val="0"/>
                  <w:marTop w:val="0"/>
                  <w:marBottom w:val="0"/>
                  <w:divBdr>
                    <w:top w:val="none" w:sz="0" w:space="0" w:color="auto"/>
                    <w:left w:val="none" w:sz="0" w:space="0" w:color="auto"/>
                    <w:bottom w:val="none" w:sz="0" w:space="0" w:color="auto"/>
                    <w:right w:val="none" w:sz="0" w:space="0" w:color="auto"/>
                  </w:divBdr>
                  <w:divsChild>
                    <w:div w:id="6907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54047">
          <w:marLeft w:val="0"/>
          <w:marRight w:val="0"/>
          <w:marTop w:val="0"/>
          <w:marBottom w:val="0"/>
          <w:divBdr>
            <w:top w:val="none" w:sz="0" w:space="0" w:color="auto"/>
            <w:left w:val="none" w:sz="0" w:space="0" w:color="auto"/>
            <w:bottom w:val="none" w:sz="0" w:space="0" w:color="auto"/>
            <w:right w:val="none" w:sz="0" w:space="0" w:color="auto"/>
          </w:divBdr>
        </w:div>
        <w:div w:id="1421684730">
          <w:marLeft w:val="0"/>
          <w:marRight w:val="0"/>
          <w:marTop w:val="0"/>
          <w:marBottom w:val="0"/>
          <w:divBdr>
            <w:top w:val="none" w:sz="0" w:space="0" w:color="auto"/>
            <w:left w:val="none" w:sz="0" w:space="0" w:color="auto"/>
            <w:bottom w:val="none" w:sz="0" w:space="0" w:color="auto"/>
            <w:right w:val="none" w:sz="0" w:space="0" w:color="auto"/>
          </w:divBdr>
        </w:div>
        <w:div w:id="1650405098">
          <w:marLeft w:val="0"/>
          <w:marRight w:val="0"/>
          <w:marTop w:val="0"/>
          <w:marBottom w:val="0"/>
          <w:divBdr>
            <w:top w:val="none" w:sz="0" w:space="0" w:color="auto"/>
            <w:left w:val="none" w:sz="0" w:space="0" w:color="auto"/>
            <w:bottom w:val="none" w:sz="0" w:space="0" w:color="auto"/>
            <w:right w:val="none" w:sz="0" w:space="0" w:color="auto"/>
          </w:divBdr>
        </w:div>
      </w:divsChild>
    </w:div>
    <w:div w:id="639195542">
      <w:bodyDiv w:val="1"/>
      <w:marLeft w:val="0"/>
      <w:marRight w:val="0"/>
      <w:marTop w:val="0"/>
      <w:marBottom w:val="0"/>
      <w:divBdr>
        <w:top w:val="none" w:sz="0" w:space="0" w:color="auto"/>
        <w:left w:val="none" w:sz="0" w:space="0" w:color="auto"/>
        <w:bottom w:val="none" w:sz="0" w:space="0" w:color="auto"/>
        <w:right w:val="none" w:sz="0" w:space="0" w:color="auto"/>
      </w:divBdr>
    </w:div>
    <w:div w:id="656031246">
      <w:bodyDiv w:val="1"/>
      <w:marLeft w:val="0"/>
      <w:marRight w:val="0"/>
      <w:marTop w:val="0"/>
      <w:marBottom w:val="0"/>
      <w:divBdr>
        <w:top w:val="none" w:sz="0" w:space="0" w:color="auto"/>
        <w:left w:val="none" w:sz="0" w:space="0" w:color="auto"/>
        <w:bottom w:val="none" w:sz="0" w:space="0" w:color="auto"/>
        <w:right w:val="none" w:sz="0" w:space="0" w:color="auto"/>
      </w:divBdr>
      <w:divsChild>
        <w:div w:id="36660666">
          <w:marLeft w:val="0"/>
          <w:marRight w:val="0"/>
          <w:marTop w:val="0"/>
          <w:marBottom w:val="0"/>
          <w:divBdr>
            <w:top w:val="none" w:sz="0" w:space="0" w:color="auto"/>
            <w:left w:val="none" w:sz="0" w:space="0" w:color="auto"/>
            <w:bottom w:val="none" w:sz="0" w:space="0" w:color="auto"/>
            <w:right w:val="none" w:sz="0" w:space="0" w:color="auto"/>
          </w:divBdr>
        </w:div>
        <w:div w:id="90513274">
          <w:marLeft w:val="0"/>
          <w:marRight w:val="0"/>
          <w:marTop w:val="0"/>
          <w:marBottom w:val="0"/>
          <w:divBdr>
            <w:top w:val="none" w:sz="0" w:space="0" w:color="auto"/>
            <w:left w:val="none" w:sz="0" w:space="0" w:color="auto"/>
            <w:bottom w:val="none" w:sz="0" w:space="0" w:color="auto"/>
            <w:right w:val="none" w:sz="0" w:space="0" w:color="auto"/>
          </w:divBdr>
        </w:div>
        <w:div w:id="164442086">
          <w:marLeft w:val="0"/>
          <w:marRight w:val="0"/>
          <w:marTop w:val="0"/>
          <w:marBottom w:val="0"/>
          <w:divBdr>
            <w:top w:val="none" w:sz="0" w:space="0" w:color="auto"/>
            <w:left w:val="none" w:sz="0" w:space="0" w:color="auto"/>
            <w:bottom w:val="none" w:sz="0" w:space="0" w:color="auto"/>
            <w:right w:val="none" w:sz="0" w:space="0" w:color="auto"/>
          </w:divBdr>
        </w:div>
        <w:div w:id="303317372">
          <w:marLeft w:val="0"/>
          <w:marRight w:val="0"/>
          <w:marTop w:val="0"/>
          <w:marBottom w:val="0"/>
          <w:divBdr>
            <w:top w:val="none" w:sz="0" w:space="0" w:color="auto"/>
            <w:left w:val="none" w:sz="0" w:space="0" w:color="auto"/>
            <w:bottom w:val="none" w:sz="0" w:space="0" w:color="auto"/>
            <w:right w:val="none" w:sz="0" w:space="0" w:color="auto"/>
          </w:divBdr>
        </w:div>
        <w:div w:id="704134679">
          <w:marLeft w:val="0"/>
          <w:marRight w:val="0"/>
          <w:marTop w:val="0"/>
          <w:marBottom w:val="0"/>
          <w:divBdr>
            <w:top w:val="none" w:sz="0" w:space="0" w:color="auto"/>
            <w:left w:val="none" w:sz="0" w:space="0" w:color="auto"/>
            <w:bottom w:val="none" w:sz="0" w:space="0" w:color="auto"/>
            <w:right w:val="none" w:sz="0" w:space="0" w:color="auto"/>
          </w:divBdr>
        </w:div>
        <w:div w:id="1223633555">
          <w:marLeft w:val="0"/>
          <w:marRight w:val="0"/>
          <w:marTop w:val="0"/>
          <w:marBottom w:val="0"/>
          <w:divBdr>
            <w:top w:val="none" w:sz="0" w:space="0" w:color="auto"/>
            <w:left w:val="none" w:sz="0" w:space="0" w:color="auto"/>
            <w:bottom w:val="none" w:sz="0" w:space="0" w:color="auto"/>
            <w:right w:val="none" w:sz="0" w:space="0" w:color="auto"/>
          </w:divBdr>
        </w:div>
        <w:div w:id="1261911629">
          <w:marLeft w:val="0"/>
          <w:marRight w:val="0"/>
          <w:marTop w:val="0"/>
          <w:marBottom w:val="0"/>
          <w:divBdr>
            <w:top w:val="none" w:sz="0" w:space="0" w:color="auto"/>
            <w:left w:val="none" w:sz="0" w:space="0" w:color="auto"/>
            <w:bottom w:val="none" w:sz="0" w:space="0" w:color="auto"/>
            <w:right w:val="none" w:sz="0" w:space="0" w:color="auto"/>
          </w:divBdr>
        </w:div>
        <w:div w:id="1431386806">
          <w:marLeft w:val="0"/>
          <w:marRight w:val="0"/>
          <w:marTop w:val="0"/>
          <w:marBottom w:val="0"/>
          <w:divBdr>
            <w:top w:val="none" w:sz="0" w:space="0" w:color="auto"/>
            <w:left w:val="none" w:sz="0" w:space="0" w:color="auto"/>
            <w:bottom w:val="none" w:sz="0" w:space="0" w:color="auto"/>
            <w:right w:val="none" w:sz="0" w:space="0" w:color="auto"/>
          </w:divBdr>
        </w:div>
        <w:div w:id="1487209740">
          <w:marLeft w:val="0"/>
          <w:marRight w:val="0"/>
          <w:marTop w:val="0"/>
          <w:marBottom w:val="0"/>
          <w:divBdr>
            <w:top w:val="none" w:sz="0" w:space="0" w:color="auto"/>
            <w:left w:val="none" w:sz="0" w:space="0" w:color="auto"/>
            <w:bottom w:val="none" w:sz="0" w:space="0" w:color="auto"/>
            <w:right w:val="none" w:sz="0" w:space="0" w:color="auto"/>
          </w:divBdr>
        </w:div>
        <w:div w:id="1816868639">
          <w:marLeft w:val="0"/>
          <w:marRight w:val="0"/>
          <w:marTop w:val="0"/>
          <w:marBottom w:val="0"/>
          <w:divBdr>
            <w:top w:val="none" w:sz="0" w:space="0" w:color="auto"/>
            <w:left w:val="none" w:sz="0" w:space="0" w:color="auto"/>
            <w:bottom w:val="none" w:sz="0" w:space="0" w:color="auto"/>
            <w:right w:val="none" w:sz="0" w:space="0" w:color="auto"/>
          </w:divBdr>
        </w:div>
        <w:div w:id="1886479089">
          <w:marLeft w:val="0"/>
          <w:marRight w:val="0"/>
          <w:marTop w:val="0"/>
          <w:marBottom w:val="0"/>
          <w:divBdr>
            <w:top w:val="none" w:sz="0" w:space="0" w:color="auto"/>
            <w:left w:val="none" w:sz="0" w:space="0" w:color="auto"/>
            <w:bottom w:val="none" w:sz="0" w:space="0" w:color="auto"/>
            <w:right w:val="none" w:sz="0" w:space="0" w:color="auto"/>
          </w:divBdr>
        </w:div>
      </w:divsChild>
    </w:div>
    <w:div w:id="680163711">
      <w:bodyDiv w:val="1"/>
      <w:marLeft w:val="0"/>
      <w:marRight w:val="0"/>
      <w:marTop w:val="0"/>
      <w:marBottom w:val="0"/>
      <w:divBdr>
        <w:top w:val="none" w:sz="0" w:space="0" w:color="auto"/>
        <w:left w:val="none" w:sz="0" w:space="0" w:color="auto"/>
        <w:bottom w:val="none" w:sz="0" w:space="0" w:color="auto"/>
        <w:right w:val="none" w:sz="0" w:space="0" w:color="auto"/>
      </w:divBdr>
      <w:divsChild>
        <w:div w:id="782192667">
          <w:marLeft w:val="547"/>
          <w:marRight w:val="0"/>
          <w:marTop w:val="0"/>
          <w:marBottom w:val="0"/>
          <w:divBdr>
            <w:top w:val="none" w:sz="0" w:space="0" w:color="auto"/>
            <w:left w:val="none" w:sz="0" w:space="0" w:color="auto"/>
            <w:bottom w:val="none" w:sz="0" w:space="0" w:color="auto"/>
            <w:right w:val="none" w:sz="0" w:space="0" w:color="auto"/>
          </w:divBdr>
        </w:div>
      </w:divsChild>
    </w:div>
    <w:div w:id="696076690">
      <w:bodyDiv w:val="1"/>
      <w:marLeft w:val="0"/>
      <w:marRight w:val="0"/>
      <w:marTop w:val="0"/>
      <w:marBottom w:val="0"/>
      <w:divBdr>
        <w:top w:val="none" w:sz="0" w:space="0" w:color="auto"/>
        <w:left w:val="none" w:sz="0" w:space="0" w:color="auto"/>
        <w:bottom w:val="none" w:sz="0" w:space="0" w:color="auto"/>
        <w:right w:val="none" w:sz="0" w:space="0" w:color="auto"/>
      </w:divBdr>
    </w:div>
    <w:div w:id="706105714">
      <w:bodyDiv w:val="1"/>
      <w:marLeft w:val="0"/>
      <w:marRight w:val="0"/>
      <w:marTop w:val="0"/>
      <w:marBottom w:val="0"/>
      <w:divBdr>
        <w:top w:val="none" w:sz="0" w:space="0" w:color="auto"/>
        <w:left w:val="none" w:sz="0" w:space="0" w:color="auto"/>
        <w:bottom w:val="none" w:sz="0" w:space="0" w:color="auto"/>
        <w:right w:val="none" w:sz="0" w:space="0" w:color="auto"/>
      </w:divBdr>
      <w:divsChild>
        <w:div w:id="136727692">
          <w:marLeft w:val="1166"/>
          <w:marRight w:val="0"/>
          <w:marTop w:val="120"/>
          <w:marBottom w:val="0"/>
          <w:divBdr>
            <w:top w:val="none" w:sz="0" w:space="0" w:color="auto"/>
            <w:left w:val="none" w:sz="0" w:space="0" w:color="auto"/>
            <w:bottom w:val="none" w:sz="0" w:space="0" w:color="auto"/>
            <w:right w:val="none" w:sz="0" w:space="0" w:color="auto"/>
          </w:divBdr>
        </w:div>
        <w:div w:id="260844716">
          <w:marLeft w:val="446"/>
          <w:marRight w:val="0"/>
          <w:marTop w:val="120"/>
          <w:marBottom w:val="0"/>
          <w:divBdr>
            <w:top w:val="none" w:sz="0" w:space="0" w:color="auto"/>
            <w:left w:val="none" w:sz="0" w:space="0" w:color="auto"/>
            <w:bottom w:val="none" w:sz="0" w:space="0" w:color="auto"/>
            <w:right w:val="none" w:sz="0" w:space="0" w:color="auto"/>
          </w:divBdr>
        </w:div>
        <w:div w:id="997420917">
          <w:marLeft w:val="1166"/>
          <w:marRight w:val="0"/>
          <w:marTop w:val="120"/>
          <w:marBottom w:val="0"/>
          <w:divBdr>
            <w:top w:val="none" w:sz="0" w:space="0" w:color="auto"/>
            <w:left w:val="none" w:sz="0" w:space="0" w:color="auto"/>
            <w:bottom w:val="none" w:sz="0" w:space="0" w:color="auto"/>
            <w:right w:val="none" w:sz="0" w:space="0" w:color="auto"/>
          </w:divBdr>
        </w:div>
        <w:div w:id="1021590740">
          <w:marLeft w:val="446"/>
          <w:marRight w:val="0"/>
          <w:marTop w:val="120"/>
          <w:marBottom w:val="0"/>
          <w:divBdr>
            <w:top w:val="none" w:sz="0" w:space="0" w:color="auto"/>
            <w:left w:val="none" w:sz="0" w:space="0" w:color="auto"/>
            <w:bottom w:val="none" w:sz="0" w:space="0" w:color="auto"/>
            <w:right w:val="none" w:sz="0" w:space="0" w:color="auto"/>
          </w:divBdr>
        </w:div>
        <w:div w:id="1768888599">
          <w:marLeft w:val="1166"/>
          <w:marRight w:val="0"/>
          <w:marTop w:val="120"/>
          <w:marBottom w:val="0"/>
          <w:divBdr>
            <w:top w:val="none" w:sz="0" w:space="0" w:color="auto"/>
            <w:left w:val="none" w:sz="0" w:space="0" w:color="auto"/>
            <w:bottom w:val="none" w:sz="0" w:space="0" w:color="auto"/>
            <w:right w:val="none" w:sz="0" w:space="0" w:color="auto"/>
          </w:divBdr>
        </w:div>
      </w:divsChild>
    </w:div>
    <w:div w:id="731317674">
      <w:bodyDiv w:val="1"/>
      <w:marLeft w:val="0"/>
      <w:marRight w:val="0"/>
      <w:marTop w:val="0"/>
      <w:marBottom w:val="0"/>
      <w:divBdr>
        <w:top w:val="none" w:sz="0" w:space="0" w:color="auto"/>
        <w:left w:val="none" w:sz="0" w:space="0" w:color="auto"/>
        <w:bottom w:val="none" w:sz="0" w:space="0" w:color="auto"/>
        <w:right w:val="none" w:sz="0" w:space="0" w:color="auto"/>
      </w:divBdr>
    </w:div>
    <w:div w:id="788663607">
      <w:bodyDiv w:val="1"/>
      <w:marLeft w:val="0"/>
      <w:marRight w:val="0"/>
      <w:marTop w:val="0"/>
      <w:marBottom w:val="0"/>
      <w:divBdr>
        <w:top w:val="none" w:sz="0" w:space="0" w:color="auto"/>
        <w:left w:val="none" w:sz="0" w:space="0" w:color="auto"/>
        <w:bottom w:val="none" w:sz="0" w:space="0" w:color="auto"/>
        <w:right w:val="none" w:sz="0" w:space="0" w:color="auto"/>
      </w:divBdr>
      <w:divsChild>
        <w:div w:id="2093622169">
          <w:marLeft w:val="547"/>
          <w:marRight w:val="0"/>
          <w:marTop w:val="0"/>
          <w:marBottom w:val="0"/>
          <w:divBdr>
            <w:top w:val="none" w:sz="0" w:space="0" w:color="auto"/>
            <w:left w:val="none" w:sz="0" w:space="0" w:color="auto"/>
            <w:bottom w:val="none" w:sz="0" w:space="0" w:color="auto"/>
            <w:right w:val="none" w:sz="0" w:space="0" w:color="auto"/>
          </w:divBdr>
        </w:div>
      </w:divsChild>
    </w:div>
    <w:div w:id="822352807">
      <w:bodyDiv w:val="1"/>
      <w:marLeft w:val="0"/>
      <w:marRight w:val="0"/>
      <w:marTop w:val="0"/>
      <w:marBottom w:val="0"/>
      <w:divBdr>
        <w:top w:val="none" w:sz="0" w:space="0" w:color="auto"/>
        <w:left w:val="none" w:sz="0" w:space="0" w:color="auto"/>
        <w:bottom w:val="none" w:sz="0" w:space="0" w:color="auto"/>
        <w:right w:val="none" w:sz="0" w:space="0" w:color="auto"/>
      </w:divBdr>
      <w:divsChild>
        <w:div w:id="1201943510">
          <w:marLeft w:val="446"/>
          <w:marRight w:val="0"/>
          <w:marTop w:val="0"/>
          <w:marBottom w:val="0"/>
          <w:divBdr>
            <w:top w:val="none" w:sz="0" w:space="0" w:color="auto"/>
            <w:left w:val="none" w:sz="0" w:space="0" w:color="auto"/>
            <w:bottom w:val="none" w:sz="0" w:space="0" w:color="auto"/>
            <w:right w:val="none" w:sz="0" w:space="0" w:color="auto"/>
          </w:divBdr>
        </w:div>
      </w:divsChild>
    </w:div>
    <w:div w:id="853878180">
      <w:bodyDiv w:val="1"/>
      <w:marLeft w:val="0"/>
      <w:marRight w:val="0"/>
      <w:marTop w:val="0"/>
      <w:marBottom w:val="0"/>
      <w:divBdr>
        <w:top w:val="none" w:sz="0" w:space="0" w:color="auto"/>
        <w:left w:val="none" w:sz="0" w:space="0" w:color="auto"/>
        <w:bottom w:val="none" w:sz="0" w:space="0" w:color="auto"/>
        <w:right w:val="none" w:sz="0" w:space="0" w:color="auto"/>
      </w:divBdr>
    </w:div>
    <w:div w:id="880282345">
      <w:bodyDiv w:val="1"/>
      <w:marLeft w:val="0"/>
      <w:marRight w:val="0"/>
      <w:marTop w:val="0"/>
      <w:marBottom w:val="0"/>
      <w:divBdr>
        <w:top w:val="none" w:sz="0" w:space="0" w:color="auto"/>
        <w:left w:val="none" w:sz="0" w:space="0" w:color="auto"/>
        <w:bottom w:val="none" w:sz="0" w:space="0" w:color="auto"/>
        <w:right w:val="none" w:sz="0" w:space="0" w:color="auto"/>
      </w:divBdr>
    </w:div>
    <w:div w:id="942107246">
      <w:bodyDiv w:val="1"/>
      <w:marLeft w:val="0"/>
      <w:marRight w:val="0"/>
      <w:marTop w:val="0"/>
      <w:marBottom w:val="0"/>
      <w:divBdr>
        <w:top w:val="none" w:sz="0" w:space="0" w:color="auto"/>
        <w:left w:val="none" w:sz="0" w:space="0" w:color="auto"/>
        <w:bottom w:val="none" w:sz="0" w:space="0" w:color="auto"/>
        <w:right w:val="none" w:sz="0" w:space="0" w:color="auto"/>
      </w:divBdr>
      <w:divsChild>
        <w:div w:id="125054340">
          <w:marLeft w:val="0"/>
          <w:marRight w:val="0"/>
          <w:marTop w:val="0"/>
          <w:marBottom w:val="0"/>
          <w:divBdr>
            <w:top w:val="none" w:sz="0" w:space="0" w:color="auto"/>
            <w:left w:val="none" w:sz="0" w:space="0" w:color="auto"/>
            <w:bottom w:val="none" w:sz="0" w:space="0" w:color="auto"/>
            <w:right w:val="none" w:sz="0" w:space="0" w:color="auto"/>
          </w:divBdr>
        </w:div>
        <w:div w:id="136336852">
          <w:marLeft w:val="0"/>
          <w:marRight w:val="0"/>
          <w:marTop w:val="0"/>
          <w:marBottom w:val="0"/>
          <w:divBdr>
            <w:top w:val="none" w:sz="0" w:space="0" w:color="auto"/>
            <w:left w:val="none" w:sz="0" w:space="0" w:color="auto"/>
            <w:bottom w:val="none" w:sz="0" w:space="0" w:color="auto"/>
            <w:right w:val="none" w:sz="0" w:space="0" w:color="auto"/>
          </w:divBdr>
        </w:div>
        <w:div w:id="199099647">
          <w:marLeft w:val="0"/>
          <w:marRight w:val="0"/>
          <w:marTop w:val="0"/>
          <w:marBottom w:val="0"/>
          <w:divBdr>
            <w:top w:val="none" w:sz="0" w:space="0" w:color="auto"/>
            <w:left w:val="none" w:sz="0" w:space="0" w:color="auto"/>
            <w:bottom w:val="none" w:sz="0" w:space="0" w:color="auto"/>
            <w:right w:val="none" w:sz="0" w:space="0" w:color="auto"/>
          </w:divBdr>
        </w:div>
        <w:div w:id="412897286">
          <w:marLeft w:val="0"/>
          <w:marRight w:val="0"/>
          <w:marTop w:val="0"/>
          <w:marBottom w:val="0"/>
          <w:divBdr>
            <w:top w:val="none" w:sz="0" w:space="0" w:color="auto"/>
            <w:left w:val="none" w:sz="0" w:space="0" w:color="auto"/>
            <w:bottom w:val="none" w:sz="0" w:space="0" w:color="auto"/>
            <w:right w:val="none" w:sz="0" w:space="0" w:color="auto"/>
          </w:divBdr>
        </w:div>
        <w:div w:id="619993146">
          <w:marLeft w:val="0"/>
          <w:marRight w:val="0"/>
          <w:marTop w:val="0"/>
          <w:marBottom w:val="0"/>
          <w:divBdr>
            <w:top w:val="none" w:sz="0" w:space="0" w:color="auto"/>
            <w:left w:val="none" w:sz="0" w:space="0" w:color="auto"/>
            <w:bottom w:val="none" w:sz="0" w:space="0" w:color="auto"/>
            <w:right w:val="none" w:sz="0" w:space="0" w:color="auto"/>
          </w:divBdr>
        </w:div>
        <w:div w:id="713963270">
          <w:marLeft w:val="0"/>
          <w:marRight w:val="0"/>
          <w:marTop w:val="0"/>
          <w:marBottom w:val="0"/>
          <w:divBdr>
            <w:top w:val="none" w:sz="0" w:space="0" w:color="auto"/>
            <w:left w:val="none" w:sz="0" w:space="0" w:color="auto"/>
            <w:bottom w:val="none" w:sz="0" w:space="0" w:color="auto"/>
            <w:right w:val="none" w:sz="0" w:space="0" w:color="auto"/>
          </w:divBdr>
        </w:div>
        <w:div w:id="892812034">
          <w:marLeft w:val="0"/>
          <w:marRight w:val="0"/>
          <w:marTop w:val="0"/>
          <w:marBottom w:val="0"/>
          <w:divBdr>
            <w:top w:val="none" w:sz="0" w:space="0" w:color="auto"/>
            <w:left w:val="none" w:sz="0" w:space="0" w:color="auto"/>
            <w:bottom w:val="none" w:sz="0" w:space="0" w:color="auto"/>
            <w:right w:val="none" w:sz="0" w:space="0" w:color="auto"/>
          </w:divBdr>
        </w:div>
        <w:div w:id="1227490868">
          <w:marLeft w:val="0"/>
          <w:marRight w:val="0"/>
          <w:marTop w:val="0"/>
          <w:marBottom w:val="0"/>
          <w:divBdr>
            <w:top w:val="none" w:sz="0" w:space="0" w:color="auto"/>
            <w:left w:val="none" w:sz="0" w:space="0" w:color="auto"/>
            <w:bottom w:val="none" w:sz="0" w:space="0" w:color="auto"/>
            <w:right w:val="none" w:sz="0" w:space="0" w:color="auto"/>
          </w:divBdr>
        </w:div>
        <w:div w:id="1287155412">
          <w:marLeft w:val="0"/>
          <w:marRight w:val="0"/>
          <w:marTop w:val="0"/>
          <w:marBottom w:val="0"/>
          <w:divBdr>
            <w:top w:val="none" w:sz="0" w:space="0" w:color="auto"/>
            <w:left w:val="none" w:sz="0" w:space="0" w:color="auto"/>
            <w:bottom w:val="none" w:sz="0" w:space="0" w:color="auto"/>
            <w:right w:val="none" w:sz="0" w:space="0" w:color="auto"/>
          </w:divBdr>
        </w:div>
        <w:div w:id="1329212765">
          <w:marLeft w:val="0"/>
          <w:marRight w:val="0"/>
          <w:marTop w:val="0"/>
          <w:marBottom w:val="0"/>
          <w:divBdr>
            <w:top w:val="none" w:sz="0" w:space="0" w:color="auto"/>
            <w:left w:val="none" w:sz="0" w:space="0" w:color="auto"/>
            <w:bottom w:val="none" w:sz="0" w:space="0" w:color="auto"/>
            <w:right w:val="none" w:sz="0" w:space="0" w:color="auto"/>
          </w:divBdr>
        </w:div>
        <w:div w:id="1340084588">
          <w:marLeft w:val="0"/>
          <w:marRight w:val="0"/>
          <w:marTop w:val="0"/>
          <w:marBottom w:val="0"/>
          <w:divBdr>
            <w:top w:val="none" w:sz="0" w:space="0" w:color="auto"/>
            <w:left w:val="none" w:sz="0" w:space="0" w:color="auto"/>
            <w:bottom w:val="none" w:sz="0" w:space="0" w:color="auto"/>
            <w:right w:val="none" w:sz="0" w:space="0" w:color="auto"/>
          </w:divBdr>
        </w:div>
        <w:div w:id="1525705914">
          <w:marLeft w:val="0"/>
          <w:marRight w:val="0"/>
          <w:marTop w:val="0"/>
          <w:marBottom w:val="0"/>
          <w:divBdr>
            <w:top w:val="none" w:sz="0" w:space="0" w:color="auto"/>
            <w:left w:val="none" w:sz="0" w:space="0" w:color="auto"/>
            <w:bottom w:val="none" w:sz="0" w:space="0" w:color="auto"/>
            <w:right w:val="none" w:sz="0" w:space="0" w:color="auto"/>
          </w:divBdr>
        </w:div>
        <w:div w:id="1533688601">
          <w:marLeft w:val="0"/>
          <w:marRight w:val="0"/>
          <w:marTop w:val="0"/>
          <w:marBottom w:val="0"/>
          <w:divBdr>
            <w:top w:val="none" w:sz="0" w:space="0" w:color="auto"/>
            <w:left w:val="none" w:sz="0" w:space="0" w:color="auto"/>
            <w:bottom w:val="none" w:sz="0" w:space="0" w:color="auto"/>
            <w:right w:val="none" w:sz="0" w:space="0" w:color="auto"/>
          </w:divBdr>
        </w:div>
        <w:div w:id="1647009098">
          <w:marLeft w:val="0"/>
          <w:marRight w:val="0"/>
          <w:marTop w:val="0"/>
          <w:marBottom w:val="0"/>
          <w:divBdr>
            <w:top w:val="none" w:sz="0" w:space="0" w:color="auto"/>
            <w:left w:val="none" w:sz="0" w:space="0" w:color="auto"/>
            <w:bottom w:val="none" w:sz="0" w:space="0" w:color="auto"/>
            <w:right w:val="none" w:sz="0" w:space="0" w:color="auto"/>
          </w:divBdr>
        </w:div>
        <w:div w:id="1935628399">
          <w:marLeft w:val="0"/>
          <w:marRight w:val="0"/>
          <w:marTop w:val="0"/>
          <w:marBottom w:val="0"/>
          <w:divBdr>
            <w:top w:val="none" w:sz="0" w:space="0" w:color="auto"/>
            <w:left w:val="none" w:sz="0" w:space="0" w:color="auto"/>
            <w:bottom w:val="none" w:sz="0" w:space="0" w:color="auto"/>
            <w:right w:val="none" w:sz="0" w:space="0" w:color="auto"/>
          </w:divBdr>
        </w:div>
        <w:div w:id="1989242845">
          <w:marLeft w:val="0"/>
          <w:marRight w:val="0"/>
          <w:marTop w:val="0"/>
          <w:marBottom w:val="0"/>
          <w:divBdr>
            <w:top w:val="none" w:sz="0" w:space="0" w:color="auto"/>
            <w:left w:val="none" w:sz="0" w:space="0" w:color="auto"/>
            <w:bottom w:val="none" w:sz="0" w:space="0" w:color="auto"/>
            <w:right w:val="none" w:sz="0" w:space="0" w:color="auto"/>
          </w:divBdr>
        </w:div>
      </w:divsChild>
    </w:div>
    <w:div w:id="987904775">
      <w:bodyDiv w:val="1"/>
      <w:marLeft w:val="0"/>
      <w:marRight w:val="0"/>
      <w:marTop w:val="0"/>
      <w:marBottom w:val="0"/>
      <w:divBdr>
        <w:top w:val="none" w:sz="0" w:space="0" w:color="auto"/>
        <w:left w:val="none" w:sz="0" w:space="0" w:color="auto"/>
        <w:bottom w:val="none" w:sz="0" w:space="0" w:color="auto"/>
        <w:right w:val="none" w:sz="0" w:space="0" w:color="auto"/>
      </w:divBdr>
    </w:div>
    <w:div w:id="1009521584">
      <w:bodyDiv w:val="1"/>
      <w:marLeft w:val="0"/>
      <w:marRight w:val="0"/>
      <w:marTop w:val="0"/>
      <w:marBottom w:val="0"/>
      <w:divBdr>
        <w:top w:val="none" w:sz="0" w:space="0" w:color="auto"/>
        <w:left w:val="none" w:sz="0" w:space="0" w:color="auto"/>
        <w:bottom w:val="none" w:sz="0" w:space="0" w:color="auto"/>
        <w:right w:val="none" w:sz="0" w:space="0" w:color="auto"/>
      </w:divBdr>
    </w:div>
    <w:div w:id="1022702901">
      <w:bodyDiv w:val="1"/>
      <w:marLeft w:val="0"/>
      <w:marRight w:val="0"/>
      <w:marTop w:val="0"/>
      <w:marBottom w:val="0"/>
      <w:divBdr>
        <w:top w:val="none" w:sz="0" w:space="0" w:color="auto"/>
        <w:left w:val="none" w:sz="0" w:space="0" w:color="auto"/>
        <w:bottom w:val="none" w:sz="0" w:space="0" w:color="auto"/>
        <w:right w:val="none" w:sz="0" w:space="0" w:color="auto"/>
      </w:divBdr>
    </w:div>
    <w:div w:id="1026562569">
      <w:bodyDiv w:val="1"/>
      <w:marLeft w:val="0"/>
      <w:marRight w:val="0"/>
      <w:marTop w:val="0"/>
      <w:marBottom w:val="0"/>
      <w:divBdr>
        <w:top w:val="none" w:sz="0" w:space="0" w:color="auto"/>
        <w:left w:val="none" w:sz="0" w:space="0" w:color="auto"/>
        <w:bottom w:val="none" w:sz="0" w:space="0" w:color="auto"/>
        <w:right w:val="none" w:sz="0" w:space="0" w:color="auto"/>
      </w:divBdr>
    </w:div>
    <w:div w:id="1034885330">
      <w:bodyDiv w:val="1"/>
      <w:marLeft w:val="0"/>
      <w:marRight w:val="0"/>
      <w:marTop w:val="0"/>
      <w:marBottom w:val="0"/>
      <w:divBdr>
        <w:top w:val="none" w:sz="0" w:space="0" w:color="auto"/>
        <w:left w:val="none" w:sz="0" w:space="0" w:color="auto"/>
        <w:bottom w:val="none" w:sz="0" w:space="0" w:color="auto"/>
        <w:right w:val="none" w:sz="0" w:space="0" w:color="auto"/>
      </w:divBdr>
    </w:div>
    <w:div w:id="1045176822">
      <w:bodyDiv w:val="1"/>
      <w:marLeft w:val="0"/>
      <w:marRight w:val="0"/>
      <w:marTop w:val="0"/>
      <w:marBottom w:val="0"/>
      <w:divBdr>
        <w:top w:val="none" w:sz="0" w:space="0" w:color="auto"/>
        <w:left w:val="none" w:sz="0" w:space="0" w:color="auto"/>
        <w:bottom w:val="none" w:sz="0" w:space="0" w:color="auto"/>
        <w:right w:val="none" w:sz="0" w:space="0" w:color="auto"/>
      </w:divBdr>
    </w:div>
    <w:div w:id="1150052655">
      <w:bodyDiv w:val="1"/>
      <w:marLeft w:val="0"/>
      <w:marRight w:val="0"/>
      <w:marTop w:val="0"/>
      <w:marBottom w:val="0"/>
      <w:divBdr>
        <w:top w:val="none" w:sz="0" w:space="0" w:color="auto"/>
        <w:left w:val="none" w:sz="0" w:space="0" w:color="auto"/>
        <w:bottom w:val="none" w:sz="0" w:space="0" w:color="auto"/>
        <w:right w:val="none" w:sz="0" w:space="0" w:color="auto"/>
      </w:divBdr>
      <w:divsChild>
        <w:div w:id="1411082576">
          <w:marLeft w:val="0"/>
          <w:marRight w:val="0"/>
          <w:marTop w:val="0"/>
          <w:marBottom w:val="0"/>
          <w:divBdr>
            <w:top w:val="none" w:sz="0" w:space="0" w:color="auto"/>
            <w:left w:val="none" w:sz="0" w:space="0" w:color="auto"/>
            <w:bottom w:val="none" w:sz="0" w:space="0" w:color="auto"/>
            <w:right w:val="none" w:sz="0" w:space="0" w:color="auto"/>
          </w:divBdr>
          <w:divsChild>
            <w:div w:id="189341904">
              <w:marLeft w:val="0"/>
              <w:marRight w:val="0"/>
              <w:marTop w:val="30"/>
              <w:marBottom w:val="30"/>
              <w:divBdr>
                <w:top w:val="none" w:sz="0" w:space="0" w:color="auto"/>
                <w:left w:val="none" w:sz="0" w:space="0" w:color="auto"/>
                <w:bottom w:val="none" w:sz="0" w:space="0" w:color="auto"/>
                <w:right w:val="none" w:sz="0" w:space="0" w:color="auto"/>
              </w:divBdr>
              <w:divsChild>
                <w:div w:id="42606633">
                  <w:marLeft w:val="0"/>
                  <w:marRight w:val="0"/>
                  <w:marTop w:val="0"/>
                  <w:marBottom w:val="0"/>
                  <w:divBdr>
                    <w:top w:val="none" w:sz="0" w:space="0" w:color="auto"/>
                    <w:left w:val="none" w:sz="0" w:space="0" w:color="auto"/>
                    <w:bottom w:val="none" w:sz="0" w:space="0" w:color="auto"/>
                    <w:right w:val="none" w:sz="0" w:space="0" w:color="auto"/>
                  </w:divBdr>
                  <w:divsChild>
                    <w:div w:id="1776437453">
                      <w:marLeft w:val="0"/>
                      <w:marRight w:val="0"/>
                      <w:marTop w:val="0"/>
                      <w:marBottom w:val="0"/>
                      <w:divBdr>
                        <w:top w:val="none" w:sz="0" w:space="0" w:color="auto"/>
                        <w:left w:val="none" w:sz="0" w:space="0" w:color="auto"/>
                        <w:bottom w:val="none" w:sz="0" w:space="0" w:color="auto"/>
                        <w:right w:val="none" w:sz="0" w:space="0" w:color="auto"/>
                      </w:divBdr>
                    </w:div>
                  </w:divsChild>
                </w:div>
                <w:div w:id="64304614">
                  <w:marLeft w:val="0"/>
                  <w:marRight w:val="0"/>
                  <w:marTop w:val="0"/>
                  <w:marBottom w:val="0"/>
                  <w:divBdr>
                    <w:top w:val="none" w:sz="0" w:space="0" w:color="auto"/>
                    <w:left w:val="none" w:sz="0" w:space="0" w:color="auto"/>
                    <w:bottom w:val="none" w:sz="0" w:space="0" w:color="auto"/>
                    <w:right w:val="none" w:sz="0" w:space="0" w:color="auto"/>
                  </w:divBdr>
                  <w:divsChild>
                    <w:div w:id="1464233588">
                      <w:marLeft w:val="0"/>
                      <w:marRight w:val="0"/>
                      <w:marTop w:val="0"/>
                      <w:marBottom w:val="0"/>
                      <w:divBdr>
                        <w:top w:val="none" w:sz="0" w:space="0" w:color="auto"/>
                        <w:left w:val="none" w:sz="0" w:space="0" w:color="auto"/>
                        <w:bottom w:val="none" w:sz="0" w:space="0" w:color="auto"/>
                        <w:right w:val="none" w:sz="0" w:space="0" w:color="auto"/>
                      </w:divBdr>
                    </w:div>
                  </w:divsChild>
                </w:div>
                <w:div w:id="386076297">
                  <w:marLeft w:val="0"/>
                  <w:marRight w:val="0"/>
                  <w:marTop w:val="0"/>
                  <w:marBottom w:val="0"/>
                  <w:divBdr>
                    <w:top w:val="none" w:sz="0" w:space="0" w:color="auto"/>
                    <w:left w:val="none" w:sz="0" w:space="0" w:color="auto"/>
                    <w:bottom w:val="none" w:sz="0" w:space="0" w:color="auto"/>
                    <w:right w:val="none" w:sz="0" w:space="0" w:color="auto"/>
                  </w:divBdr>
                  <w:divsChild>
                    <w:div w:id="1258560381">
                      <w:marLeft w:val="0"/>
                      <w:marRight w:val="0"/>
                      <w:marTop w:val="0"/>
                      <w:marBottom w:val="0"/>
                      <w:divBdr>
                        <w:top w:val="none" w:sz="0" w:space="0" w:color="auto"/>
                        <w:left w:val="none" w:sz="0" w:space="0" w:color="auto"/>
                        <w:bottom w:val="none" w:sz="0" w:space="0" w:color="auto"/>
                        <w:right w:val="none" w:sz="0" w:space="0" w:color="auto"/>
                      </w:divBdr>
                    </w:div>
                  </w:divsChild>
                </w:div>
                <w:div w:id="482360210">
                  <w:marLeft w:val="0"/>
                  <w:marRight w:val="0"/>
                  <w:marTop w:val="0"/>
                  <w:marBottom w:val="0"/>
                  <w:divBdr>
                    <w:top w:val="none" w:sz="0" w:space="0" w:color="auto"/>
                    <w:left w:val="none" w:sz="0" w:space="0" w:color="auto"/>
                    <w:bottom w:val="none" w:sz="0" w:space="0" w:color="auto"/>
                    <w:right w:val="none" w:sz="0" w:space="0" w:color="auto"/>
                  </w:divBdr>
                  <w:divsChild>
                    <w:div w:id="1123310793">
                      <w:marLeft w:val="0"/>
                      <w:marRight w:val="0"/>
                      <w:marTop w:val="0"/>
                      <w:marBottom w:val="0"/>
                      <w:divBdr>
                        <w:top w:val="none" w:sz="0" w:space="0" w:color="auto"/>
                        <w:left w:val="none" w:sz="0" w:space="0" w:color="auto"/>
                        <w:bottom w:val="none" w:sz="0" w:space="0" w:color="auto"/>
                        <w:right w:val="none" w:sz="0" w:space="0" w:color="auto"/>
                      </w:divBdr>
                    </w:div>
                  </w:divsChild>
                </w:div>
                <w:div w:id="531694483">
                  <w:marLeft w:val="0"/>
                  <w:marRight w:val="0"/>
                  <w:marTop w:val="0"/>
                  <w:marBottom w:val="0"/>
                  <w:divBdr>
                    <w:top w:val="none" w:sz="0" w:space="0" w:color="auto"/>
                    <w:left w:val="none" w:sz="0" w:space="0" w:color="auto"/>
                    <w:bottom w:val="none" w:sz="0" w:space="0" w:color="auto"/>
                    <w:right w:val="none" w:sz="0" w:space="0" w:color="auto"/>
                  </w:divBdr>
                  <w:divsChild>
                    <w:div w:id="2091081152">
                      <w:marLeft w:val="0"/>
                      <w:marRight w:val="0"/>
                      <w:marTop w:val="0"/>
                      <w:marBottom w:val="0"/>
                      <w:divBdr>
                        <w:top w:val="none" w:sz="0" w:space="0" w:color="auto"/>
                        <w:left w:val="none" w:sz="0" w:space="0" w:color="auto"/>
                        <w:bottom w:val="none" w:sz="0" w:space="0" w:color="auto"/>
                        <w:right w:val="none" w:sz="0" w:space="0" w:color="auto"/>
                      </w:divBdr>
                    </w:div>
                  </w:divsChild>
                </w:div>
                <w:div w:id="533881592">
                  <w:marLeft w:val="0"/>
                  <w:marRight w:val="0"/>
                  <w:marTop w:val="0"/>
                  <w:marBottom w:val="0"/>
                  <w:divBdr>
                    <w:top w:val="none" w:sz="0" w:space="0" w:color="auto"/>
                    <w:left w:val="none" w:sz="0" w:space="0" w:color="auto"/>
                    <w:bottom w:val="none" w:sz="0" w:space="0" w:color="auto"/>
                    <w:right w:val="none" w:sz="0" w:space="0" w:color="auto"/>
                  </w:divBdr>
                  <w:divsChild>
                    <w:div w:id="1928421163">
                      <w:marLeft w:val="0"/>
                      <w:marRight w:val="0"/>
                      <w:marTop w:val="0"/>
                      <w:marBottom w:val="0"/>
                      <w:divBdr>
                        <w:top w:val="none" w:sz="0" w:space="0" w:color="auto"/>
                        <w:left w:val="none" w:sz="0" w:space="0" w:color="auto"/>
                        <w:bottom w:val="none" w:sz="0" w:space="0" w:color="auto"/>
                        <w:right w:val="none" w:sz="0" w:space="0" w:color="auto"/>
                      </w:divBdr>
                    </w:div>
                  </w:divsChild>
                </w:div>
                <w:div w:id="535241533">
                  <w:marLeft w:val="0"/>
                  <w:marRight w:val="0"/>
                  <w:marTop w:val="0"/>
                  <w:marBottom w:val="0"/>
                  <w:divBdr>
                    <w:top w:val="none" w:sz="0" w:space="0" w:color="auto"/>
                    <w:left w:val="none" w:sz="0" w:space="0" w:color="auto"/>
                    <w:bottom w:val="none" w:sz="0" w:space="0" w:color="auto"/>
                    <w:right w:val="none" w:sz="0" w:space="0" w:color="auto"/>
                  </w:divBdr>
                  <w:divsChild>
                    <w:div w:id="1073430406">
                      <w:marLeft w:val="0"/>
                      <w:marRight w:val="0"/>
                      <w:marTop w:val="0"/>
                      <w:marBottom w:val="0"/>
                      <w:divBdr>
                        <w:top w:val="none" w:sz="0" w:space="0" w:color="auto"/>
                        <w:left w:val="none" w:sz="0" w:space="0" w:color="auto"/>
                        <w:bottom w:val="none" w:sz="0" w:space="0" w:color="auto"/>
                        <w:right w:val="none" w:sz="0" w:space="0" w:color="auto"/>
                      </w:divBdr>
                    </w:div>
                  </w:divsChild>
                </w:div>
                <w:div w:id="592322845">
                  <w:marLeft w:val="0"/>
                  <w:marRight w:val="0"/>
                  <w:marTop w:val="0"/>
                  <w:marBottom w:val="0"/>
                  <w:divBdr>
                    <w:top w:val="none" w:sz="0" w:space="0" w:color="auto"/>
                    <w:left w:val="none" w:sz="0" w:space="0" w:color="auto"/>
                    <w:bottom w:val="none" w:sz="0" w:space="0" w:color="auto"/>
                    <w:right w:val="none" w:sz="0" w:space="0" w:color="auto"/>
                  </w:divBdr>
                  <w:divsChild>
                    <w:div w:id="252787060">
                      <w:marLeft w:val="0"/>
                      <w:marRight w:val="0"/>
                      <w:marTop w:val="0"/>
                      <w:marBottom w:val="0"/>
                      <w:divBdr>
                        <w:top w:val="none" w:sz="0" w:space="0" w:color="auto"/>
                        <w:left w:val="none" w:sz="0" w:space="0" w:color="auto"/>
                        <w:bottom w:val="none" w:sz="0" w:space="0" w:color="auto"/>
                        <w:right w:val="none" w:sz="0" w:space="0" w:color="auto"/>
                      </w:divBdr>
                    </w:div>
                  </w:divsChild>
                </w:div>
                <w:div w:id="734398176">
                  <w:marLeft w:val="0"/>
                  <w:marRight w:val="0"/>
                  <w:marTop w:val="0"/>
                  <w:marBottom w:val="0"/>
                  <w:divBdr>
                    <w:top w:val="none" w:sz="0" w:space="0" w:color="auto"/>
                    <w:left w:val="none" w:sz="0" w:space="0" w:color="auto"/>
                    <w:bottom w:val="none" w:sz="0" w:space="0" w:color="auto"/>
                    <w:right w:val="none" w:sz="0" w:space="0" w:color="auto"/>
                  </w:divBdr>
                  <w:divsChild>
                    <w:div w:id="1543321572">
                      <w:marLeft w:val="0"/>
                      <w:marRight w:val="0"/>
                      <w:marTop w:val="0"/>
                      <w:marBottom w:val="0"/>
                      <w:divBdr>
                        <w:top w:val="none" w:sz="0" w:space="0" w:color="auto"/>
                        <w:left w:val="none" w:sz="0" w:space="0" w:color="auto"/>
                        <w:bottom w:val="none" w:sz="0" w:space="0" w:color="auto"/>
                        <w:right w:val="none" w:sz="0" w:space="0" w:color="auto"/>
                      </w:divBdr>
                    </w:div>
                  </w:divsChild>
                </w:div>
                <w:div w:id="749428057">
                  <w:marLeft w:val="0"/>
                  <w:marRight w:val="0"/>
                  <w:marTop w:val="0"/>
                  <w:marBottom w:val="0"/>
                  <w:divBdr>
                    <w:top w:val="none" w:sz="0" w:space="0" w:color="auto"/>
                    <w:left w:val="none" w:sz="0" w:space="0" w:color="auto"/>
                    <w:bottom w:val="none" w:sz="0" w:space="0" w:color="auto"/>
                    <w:right w:val="none" w:sz="0" w:space="0" w:color="auto"/>
                  </w:divBdr>
                  <w:divsChild>
                    <w:div w:id="374431862">
                      <w:marLeft w:val="0"/>
                      <w:marRight w:val="0"/>
                      <w:marTop w:val="0"/>
                      <w:marBottom w:val="0"/>
                      <w:divBdr>
                        <w:top w:val="none" w:sz="0" w:space="0" w:color="auto"/>
                        <w:left w:val="none" w:sz="0" w:space="0" w:color="auto"/>
                        <w:bottom w:val="none" w:sz="0" w:space="0" w:color="auto"/>
                        <w:right w:val="none" w:sz="0" w:space="0" w:color="auto"/>
                      </w:divBdr>
                    </w:div>
                  </w:divsChild>
                </w:div>
                <w:div w:id="835069423">
                  <w:marLeft w:val="0"/>
                  <w:marRight w:val="0"/>
                  <w:marTop w:val="0"/>
                  <w:marBottom w:val="0"/>
                  <w:divBdr>
                    <w:top w:val="none" w:sz="0" w:space="0" w:color="auto"/>
                    <w:left w:val="none" w:sz="0" w:space="0" w:color="auto"/>
                    <w:bottom w:val="none" w:sz="0" w:space="0" w:color="auto"/>
                    <w:right w:val="none" w:sz="0" w:space="0" w:color="auto"/>
                  </w:divBdr>
                  <w:divsChild>
                    <w:div w:id="1634213691">
                      <w:marLeft w:val="0"/>
                      <w:marRight w:val="0"/>
                      <w:marTop w:val="0"/>
                      <w:marBottom w:val="0"/>
                      <w:divBdr>
                        <w:top w:val="none" w:sz="0" w:space="0" w:color="auto"/>
                        <w:left w:val="none" w:sz="0" w:space="0" w:color="auto"/>
                        <w:bottom w:val="none" w:sz="0" w:space="0" w:color="auto"/>
                        <w:right w:val="none" w:sz="0" w:space="0" w:color="auto"/>
                      </w:divBdr>
                    </w:div>
                  </w:divsChild>
                </w:div>
                <w:div w:id="1079642417">
                  <w:marLeft w:val="0"/>
                  <w:marRight w:val="0"/>
                  <w:marTop w:val="0"/>
                  <w:marBottom w:val="0"/>
                  <w:divBdr>
                    <w:top w:val="none" w:sz="0" w:space="0" w:color="auto"/>
                    <w:left w:val="none" w:sz="0" w:space="0" w:color="auto"/>
                    <w:bottom w:val="none" w:sz="0" w:space="0" w:color="auto"/>
                    <w:right w:val="none" w:sz="0" w:space="0" w:color="auto"/>
                  </w:divBdr>
                  <w:divsChild>
                    <w:div w:id="1270940333">
                      <w:marLeft w:val="0"/>
                      <w:marRight w:val="0"/>
                      <w:marTop w:val="0"/>
                      <w:marBottom w:val="0"/>
                      <w:divBdr>
                        <w:top w:val="none" w:sz="0" w:space="0" w:color="auto"/>
                        <w:left w:val="none" w:sz="0" w:space="0" w:color="auto"/>
                        <w:bottom w:val="none" w:sz="0" w:space="0" w:color="auto"/>
                        <w:right w:val="none" w:sz="0" w:space="0" w:color="auto"/>
                      </w:divBdr>
                    </w:div>
                  </w:divsChild>
                </w:div>
                <w:div w:id="1121461656">
                  <w:marLeft w:val="0"/>
                  <w:marRight w:val="0"/>
                  <w:marTop w:val="0"/>
                  <w:marBottom w:val="0"/>
                  <w:divBdr>
                    <w:top w:val="none" w:sz="0" w:space="0" w:color="auto"/>
                    <w:left w:val="none" w:sz="0" w:space="0" w:color="auto"/>
                    <w:bottom w:val="none" w:sz="0" w:space="0" w:color="auto"/>
                    <w:right w:val="none" w:sz="0" w:space="0" w:color="auto"/>
                  </w:divBdr>
                  <w:divsChild>
                    <w:div w:id="1416970757">
                      <w:marLeft w:val="0"/>
                      <w:marRight w:val="0"/>
                      <w:marTop w:val="0"/>
                      <w:marBottom w:val="0"/>
                      <w:divBdr>
                        <w:top w:val="none" w:sz="0" w:space="0" w:color="auto"/>
                        <w:left w:val="none" w:sz="0" w:space="0" w:color="auto"/>
                        <w:bottom w:val="none" w:sz="0" w:space="0" w:color="auto"/>
                        <w:right w:val="none" w:sz="0" w:space="0" w:color="auto"/>
                      </w:divBdr>
                    </w:div>
                  </w:divsChild>
                </w:div>
                <w:div w:id="1312366713">
                  <w:marLeft w:val="0"/>
                  <w:marRight w:val="0"/>
                  <w:marTop w:val="0"/>
                  <w:marBottom w:val="0"/>
                  <w:divBdr>
                    <w:top w:val="none" w:sz="0" w:space="0" w:color="auto"/>
                    <w:left w:val="none" w:sz="0" w:space="0" w:color="auto"/>
                    <w:bottom w:val="none" w:sz="0" w:space="0" w:color="auto"/>
                    <w:right w:val="none" w:sz="0" w:space="0" w:color="auto"/>
                  </w:divBdr>
                  <w:divsChild>
                    <w:div w:id="620068645">
                      <w:marLeft w:val="0"/>
                      <w:marRight w:val="0"/>
                      <w:marTop w:val="0"/>
                      <w:marBottom w:val="0"/>
                      <w:divBdr>
                        <w:top w:val="none" w:sz="0" w:space="0" w:color="auto"/>
                        <w:left w:val="none" w:sz="0" w:space="0" w:color="auto"/>
                        <w:bottom w:val="none" w:sz="0" w:space="0" w:color="auto"/>
                        <w:right w:val="none" w:sz="0" w:space="0" w:color="auto"/>
                      </w:divBdr>
                    </w:div>
                  </w:divsChild>
                </w:div>
                <w:div w:id="1377897249">
                  <w:marLeft w:val="0"/>
                  <w:marRight w:val="0"/>
                  <w:marTop w:val="0"/>
                  <w:marBottom w:val="0"/>
                  <w:divBdr>
                    <w:top w:val="none" w:sz="0" w:space="0" w:color="auto"/>
                    <w:left w:val="none" w:sz="0" w:space="0" w:color="auto"/>
                    <w:bottom w:val="none" w:sz="0" w:space="0" w:color="auto"/>
                    <w:right w:val="none" w:sz="0" w:space="0" w:color="auto"/>
                  </w:divBdr>
                  <w:divsChild>
                    <w:div w:id="200360840">
                      <w:marLeft w:val="0"/>
                      <w:marRight w:val="0"/>
                      <w:marTop w:val="0"/>
                      <w:marBottom w:val="0"/>
                      <w:divBdr>
                        <w:top w:val="none" w:sz="0" w:space="0" w:color="auto"/>
                        <w:left w:val="none" w:sz="0" w:space="0" w:color="auto"/>
                        <w:bottom w:val="none" w:sz="0" w:space="0" w:color="auto"/>
                        <w:right w:val="none" w:sz="0" w:space="0" w:color="auto"/>
                      </w:divBdr>
                    </w:div>
                  </w:divsChild>
                </w:div>
                <w:div w:id="1562980367">
                  <w:marLeft w:val="0"/>
                  <w:marRight w:val="0"/>
                  <w:marTop w:val="0"/>
                  <w:marBottom w:val="0"/>
                  <w:divBdr>
                    <w:top w:val="none" w:sz="0" w:space="0" w:color="auto"/>
                    <w:left w:val="none" w:sz="0" w:space="0" w:color="auto"/>
                    <w:bottom w:val="none" w:sz="0" w:space="0" w:color="auto"/>
                    <w:right w:val="none" w:sz="0" w:space="0" w:color="auto"/>
                  </w:divBdr>
                  <w:divsChild>
                    <w:div w:id="1719469632">
                      <w:marLeft w:val="0"/>
                      <w:marRight w:val="0"/>
                      <w:marTop w:val="0"/>
                      <w:marBottom w:val="0"/>
                      <w:divBdr>
                        <w:top w:val="none" w:sz="0" w:space="0" w:color="auto"/>
                        <w:left w:val="none" w:sz="0" w:space="0" w:color="auto"/>
                        <w:bottom w:val="none" w:sz="0" w:space="0" w:color="auto"/>
                        <w:right w:val="none" w:sz="0" w:space="0" w:color="auto"/>
                      </w:divBdr>
                    </w:div>
                  </w:divsChild>
                </w:div>
                <w:div w:id="1613246232">
                  <w:marLeft w:val="0"/>
                  <w:marRight w:val="0"/>
                  <w:marTop w:val="0"/>
                  <w:marBottom w:val="0"/>
                  <w:divBdr>
                    <w:top w:val="none" w:sz="0" w:space="0" w:color="auto"/>
                    <w:left w:val="none" w:sz="0" w:space="0" w:color="auto"/>
                    <w:bottom w:val="none" w:sz="0" w:space="0" w:color="auto"/>
                    <w:right w:val="none" w:sz="0" w:space="0" w:color="auto"/>
                  </w:divBdr>
                  <w:divsChild>
                    <w:div w:id="961040252">
                      <w:marLeft w:val="0"/>
                      <w:marRight w:val="0"/>
                      <w:marTop w:val="0"/>
                      <w:marBottom w:val="0"/>
                      <w:divBdr>
                        <w:top w:val="none" w:sz="0" w:space="0" w:color="auto"/>
                        <w:left w:val="none" w:sz="0" w:space="0" w:color="auto"/>
                        <w:bottom w:val="none" w:sz="0" w:space="0" w:color="auto"/>
                        <w:right w:val="none" w:sz="0" w:space="0" w:color="auto"/>
                      </w:divBdr>
                    </w:div>
                  </w:divsChild>
                </w:div>
                <w:div w:id="1647248280">
                  <w:marLeft w:val="0"/>
                  <w:marRight w:val="0"/>
                  <w:marTop w:val="0"/>
                  <w:marBottom w:val="0"/>
                  <w:divBdr>
                    <w:top w:val="none" w:sz="0" w:space="0" w:color="auto"/>
                    <w:left w:val="none" w:sz="0" w:space="0" w:color="auto"/>
                    <w:bottom w:val="none" w:sz="0" w:space="0" w:color="auto"/>
                    <w:right w:val="none" w:sz="0" w:space="0" w:color="auto"/>
                  </w:divBdr>
                  <w:divsChild>
                    <w:div w:id="1775174602">
                      <w:marLeft w:val="0"/>
                      <w:marRight w:val="0"/>
                      <w:marTop w:val="0"/>
                      <w:marBottom w:val="0"/>
                      <w:divBdr>
                        <w:top w:val="none" w:sz="0" w:space="0" w:color="auto"/>
                        <w:left w:val="none" w:sz="0" w:space="0" w:color="auto"/>
                        <w:bottom w:val="none" w:sz="0" w:space="0" w:color="auto"/>
                        <w:right w:val="none" w:sz="0" w:space="0" w:color="auto"/>
                      </w:divBdr>
                    </w:div>
                  </w:divsChild>
                </w:div>
                <w:div w:id="1798987418">
                  <w:marLeft w:val="0"/>
                  <w:marRight w:val="0"/>
                  <w:marTop w:val="0"/>
                  <w:marBottom w:val="0"/>
                  <w:divBdr>
                    <w:top w:val="none" w:sz="0" w:space="0" w:color="auto"/>
                    <w:left w:val="none" w:sz="0" w:space="0" w:color="auto"/>
                    <w:bottom w:val="none" w:sz="0" w:space="0" w:color="auto"/>
                    <w:right w:val="none" w:sz="0" w:space="0" w:color="auto"/>
                  </w:divBdr>
                  <w:divsChild>
                    <w:div w:id="2048794849">
                      <w:marLeft w:val="0"/>
                      <w:marRight w:val="0"/>
                      <w:marTop w:val="0"/>
                      <w:marBottom w:val="0"/>
                      <w:divBdr>
                        <w:top w:val="none" w:sz="0" w:space="0" w:color="auto"/>
                        <w:left w:val="none" w:sz="0" w:space="0" w:color="auto"/>
                        <w:bottom w:val="none" w:sz="0" w:space="0" w:color="auto"/>
                        <w:right w:val="none" w:sz="0" w:space="0" w:color="auto"/>
                      </w:divBdr>
                    </w:div>
                  </w:divsChild>
                </w:div>
                <w:div w:id="1836799603">
                  <w:marLeft w:val="0"/>
                  <w:marRight w:val="0"/>
                  <w:marTop w:val="0"/>
                  <w:marBottom w:val="0"/>
                  <w:divBdr>
                    <w:top w:val="none" w:sz="0" w:space="0" w:color="auto"/>
                    <w:left w:val="none" w:sz="0" w:space="0" w:color="auto"/>
                    <w:bottom w:val="none" w:sz="0" w:space="0" w:color="auto"/>
                    <w:right w:val="none" w:sz="0" w:space="0" w:color="auto"/>
                  </w:divBdr>
                  <w:divsChild>
                    <w:div w:id="1237471571">
                      <w:marLeft w:val="0"/>
                      <w:marRight w:val="0"/>
                      <w:marTop w:val="0"/>
                      <w:marBottom w:val="0"/>
                      <w:divBdr>
                        <w:top w:val="none" w:sz="0" w:space="0" w:color="auto"/>
                        <w:left w:val="none" w:sz="0" w:space="0" w:color="auto"/>
                        <w:bottom w:val="none" w:sz="0" w:space="0" w:color="auto"/>
                        <w:right w:val="none" w:sz="0" w:space="0" w:color="auto"/>
                      </w:divBdr>
                    </w:div>
                  </w:divsChild>
                </w:div>
                <w:div w:id="1842966654">
                  <w:marLeft w:val="0"/>
                  <w:marRight w:val="0"/>
                  <w:marTop w:val="0"/>
                  <w:marBottom w:val="0"/>
                  <w:divBdr>
                    <w:top w:val="none" w:sz="0" w:space="0" w:color="auto"/>
                    <w:left w:val="none" w:sz="0" w:space="0" w:color="auto"/>
                    <w:bottom w:val="none" w:sz="0" w:space="0" w:color="auto"/>
                    <w:right w:val="none" w:sz="0" w:space="0" w:color="auto"/>
                  </w:divBdr>
                  <w:divsChild>
                    <w:div w:id="1169057942">
                      <w:marLeft w:val="0"/>
                      <w:marRight w:val="0"/>
                      <w:marTop w:val="0"/>
                      <w:marBottom w:val="0"/>
                      <w:divBdr>
                        <w:top w:val="none" w:sz="0" w:space="0" w:color="auto"/>
                        <w:left w:val="none" w:sz="0" w:space="0" w:color="auto"/>
                        <w:bottom w:val="none" w:sz="0" w:space="0" w:color="auto"/>
                        <w:right w:val="none" w:sz="0" w:space="0" w:color="auto"/>
                      </w:divBdr>
                    </w:div>
                  </w:divsChild>
                </w:div>
                <w:div w:id="1881473407">
                  <w:marLeft w:val="0"/>
                  <w:marRight w:val="0"/>
                  <w:marTop w:val="0"/>
                  <w:marBottom w:val="0"/>
                  <w:divBdr>
                    <w:top w:val="none" w:sz="0" w:space="0" w:color="auto"/>
                    <w:left w:val="none" w:sz="0" w:space="0" w:color="auto"/>
                    <w:bottom w:val="none" w:sz="0" w:space="0" w:color="auto"/>
                    <w:right w:val="none" w:sz="0" w:space="0" w:color="auto"/>
                  </w:divBdr>
                  <w:divsChild>
                    <w:div w:id="17075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0004">
          <w:marLeft w:val="0"/>
          <w:marRight w:val="0"/>
          <w:marTop w:val="0"/>
          <w:marBottom w:val="0"/>
          <w:divBdr>
            <w:top w:val="none" w:sz="0" w:space="0" w:color="auto"/>
            <w:left w:val="none" w:sz="0" w:space="0" w:color="auto"/>
            <w:bottom w:val="none" w:sz="0" w:space="0" w:color="auto"/>
            <w:right w:val="none" w:sz="0" w:space="0" w:color="auto"/>
          </w:divBdr>
        </w:div>
      </w:divsChild>
    </w:div>
    <w:div w:id="1150250591">
      <w:bodyDiv w:val="1"/>
      <w:marLeft w:val="0"/>
      <w:marRight w:val="0"/>
      <w:marTop w:val="0"/>
      <w:marBottom w:val="0"/>
      <w:divBdr>
        <w:top w:val="none" w:sz="0" w:space="0" w:color="auto"/>
        <w:left w:val="none" w:sz="0" w:space="0" w:color="auto"/>
        <w:bottom w:val="none" w:sz="0" w:space="0" w:color="auto"/>
        <w:right w:val="none" w:sz="0" w:space="0" w:color="auto"/>
      </w:divBdr>
    </w:div>
    <w:div w:id="1251816365">
      <w:bodyDiv w:val="1"/>
      <w:marLeft w:val="0"/>
      <w:marRight w:val="0"/>
      <w:marTop w:val="0"/>
      <w:marBottom w:val="0"/>
      <w:divBdr>
        <w:top w:val="none" w:sz="0" w:space="0" w:color="auto"/>
        <w:left w:val="none" w:sz="0" w:space="0" w:color="auto"/>
        <w:bottom w:val="none" w:sz="0" w:space="0" w:color="auto"/>
        <w:right w:val="none" w:sz="0" w:space="0" w:color="auto"/>
      </w:divBdr>
      <w:divsChild>
        <w:div w:id="497229491">
          <w:marLeft w:val="547"/>
          <w:marRight w:val="0"/>
          <w:marTop w:val="0"/>
          <w:marBottom w:val="0"/>
          <w:divBdr>
            <w:top w:val="none" w:sz="0" w:space="0" w:color="auto"/>
            <w:left w:val="none" w:sz="0" w:space="0" w:color="auto"/>
            <w:bottom w:val="none" w:sz="0" w:space="0" w:color="auto"/>
            <w:right w:val="none" w:sz="0" w:space="0" w:color="auto"/>
          </w:divBdr>
        </w:div>
        <w:div w:id="1137726284">
          <w:marLeft w:val="547"/>
          <w:marRight w:val="0"/>
          <w:marTop w:val="0"/>
          <w:marBottom w:val="0"/>
          <w:divBdr>
            <w:top w:val="none" w:sz="0" w:space="0" w:color="auto"/>
            <w:left w:val="none" w:sz="0" w:space="0" w:color="auto"/>
            <w:bottom w:val="none" w:sz="0" w:space="0" w:color="auto"/>
            <w:right w:val="none" w:sz="0" w:space="0" w:color="auto"/>
          </w:divBdr>
        </w:div>
        <w:div w:id="1417435892">
          <w:marLeft w:val="547"/>
          <w:marRight w:val="0"/>
          <w:marTop w:val="0"/>
          <w:marBottom w:val="0"/>
          <w:divBdr>
            <w:top w:val="none" w:sz="0" w:space="0" w:color="auto"/>
            <w:left w:val="none" w:sz="0" w:space="0" w:color="auto"/>
            <w:bottom w:val="none" w:sz="0" w:space="0" w:color="auto"/>
            <w:right w:val="none" w:sz="0" w:space="0" w:color="auto"/>
          </w:divBdr>
        </w:div>
        <w:div w:id="1781874964">
          <w:marLeft w:val="547"/>
          <w:marRight w:val="0"/>
          <w:marTop w:val="0"/>
          <w:marBottom w:val="0"/>
          <w:divBdr>
            <w:top w:val="none" w:sz="0" w:space="0" w:color="auto"/>
            <w:left w:val="none" w:sz="0" w:space="0" w:color="auto"/>
            <w:bottom w:val="none" w:sz="0" w:space="0" w:color="auto"/>
            <w:right w:val="none" w:sz="0" w:space="0" w:color="auto"/>
          </w:divBdr>
        </w:div>
        <w:div w:id="1994750993">
          <w:marLeft w:val="547"/>
          <w:marRight w:val="0"/>
          <w:marTop w:val="0"/>
          <w:marBottom w:val="0"/>
          <w:divBdr>
            <w:top w:val="none" w:sz="0" w:space="0" w:color="auto"/>
            <w:left w:val="none" w:sz="0" w:space="0" w:color="auto"/>
            <w:bottom w:val="none" w:sz="0" w:space="0" w:color="auto"/>
            <w:right w:val="none" w:sz="0" w:space="0" w:color="auto"/>
          </w:divBdr>
        </w:div>
      </w:divsChild>
    </w:div>
    <w:div w:id="1269704535">
      <w:bodyDiv w:val="1"/>
      <w:marLeft w:val="0"/>
      <w:marRight w:val="0"/>
      <w:marTop w:val="0"/>
      <w:marBottom w:val="0"/>
      <w:divBdr>
        <w:top w:val="none" w:sz="0" w:space="0" w:color="auto"/>
        <w:left w:val="none" w:sz="0" w:space="0" w:color="auto"/>
        <w:bottom w:val="none" w:sz="0" w:space="0" w:color="auto"/>
        <w:right w:val="none" w:sz="0" w:space="0" w:color="auto"/>
      </w:divBdr>
    </w:div>
    <w:div w:id="1285963265">
      <w:bodyDiv w:val="1"/>
      <w:marLeft w:val="0"/>
      <w:marRight w:val="0"/>
      <w:marTop w:val="0"/>
      <w:marBottom w:val="0"/>
      <w:divBdr>
        <w:top w:val="none" w:sz="0" w:space="0" w:color="auto"/>
        <w:left w:val="none" w:sz="0" w:space="0" w:color="auto"/>
        <w:bottom w:val="none" w:sz="0" w:space="0" w:color="auto"/>
        <w:right w:val="none" w:sz="0" w:space="0" w:color="auto"/>
      </w:divBdr>
    </w:div>
    <w:div w:id="1297954278">
      <w:bodyDiv w:val="1"/>
      <w:marLeft w:val="0"/>
      <w:marRight w:val="0"/>
      <w:marTop w:val="0"/>
      <w:marBottom w:val="0"/>
      <w:divBdr>
        <w:top w:val="none" w:sz="0" w:space="0" w:color="auto"/>
        <w:left w:val="none" w:sz="0" w:space="0" w:color="auto"/>
        <w:bottom w:val="none" w:sz="0" w:space="0" w:color="auto"/>
        <w:right w:val="none" w:sz="0" w:space="0" w:color="auto"/>
      </w:divBdr>
      <w:divsChild>
        <w:div w:id="603343300">
          <w:marLeft w:val="446"/>
          <w:marRight w:val="0"/>
          <w:marTop w:val="120"/>
          <w:marBottom w:val="0"/>
          <w:divBdr>
            <w:top w:val="none" w:sz="0" w:space="0" w:color="auto"/>
            <w:left w:val="none" w:sz="0" w:space="0" w:color="auto"/>
            <w:bottom w:val="none" w:sz="0" w:space="0" w:color="auto"/>
            <w:right w:val="none" w:sz="0" w:space="0" w:color="auto"/>
          </w:divBdr>
        </w:div>
        <w:div w:id="1174225373">
          <w:marLeft w:val="446"/>
          <w:marRight w:val="0"/>
          <w:marTop w:val="120"/>
          <w:marBottom w:val="0"/>
          <w:divBdr>
            <w:top w:val="none" w:sz="0" w:space="0" w:color="auto"/>
            <w:left w:val="none" w:sz="0" w:space="0" w:color="auto"/>
            <w:bottom w:val="none" w:sz="0" w:space="0" w:color="auto"/>
            <w:right w:val="none" w:sz="0" w:space="0" w:color="auto"/>
          </w:divBdr>
        </w:div>
      </w:divsChild>
    </w:div>
    <w:div w:id="1324813883">
      <w:bodyDiv w:val="1"/>
      <w:marLeft w:val="0"/>
      <w:marRight w:val="0"/>
      <w:marTop w:val="0"/>
      <w:marBottom w:val="0"/>
      <w:divBdr>
        <w:top w:val="none" w:sz="0" w:space="0" w:color="auto"/>
        <w:left w:val="none" w:sz="0" w:space="0" w:color="auto"/>
        <w:bottom w:val="none" w:sz="0" w:space="0" w:color="auto"/>
        <w:right w:val="none" w:sz="0" w:space="0" w:color="auto"/>
      </w:divBdr>
      <w:divsChild>
        <w:div w:id="1927766008">
          <w:marLeft w:val="547"/>
          <w:marRight w:val="0"/>
          <w:marTop w:val="0"/>
          <w:marBottom w:val="0"/>
          <w:divBdr>
            <w:top w:val="none" w:sz="0" w:space="0" w:color="auto"/>
            <w:left w:val="none" w:sz="0" w:space="0" w:color="auto"/>
            <w:bottom w:val="none" w:sz="0" w:space="0" w:color="auto"/>
            <w:right w:val="none" w:sz="0" w:space="0" w:color="auto"/>
          </w:divBdr>
        </w:div>
      </w:divsChild>
    </w:div>
    <w:div w:id="1326930384">
      <w:bodyDiv w:val="1"/>
      <w:marLeft w:val="0"/>
      <w:marRight w:val="0"/>
      <w:marTop w:val="0"/>
      <w:marBottom w:val="0"/>
      <w:divBdr>
        <w:top w:val="none" w:sz="0" w:space="0" w:color="auto"/>
        <w:left w:val="none" w:sz="0" w:space="0" w:color="auto"/>
        <w:bottom w:val="none" w:sz="0" w:space="0" w:color="auto"/>
        <w:right w:val="none" w:sz="0" w:space="0" w:color="auto"/>
      </w:divBdr>
    </w:div>
    <w:div w:id="1351489855">
      <w:bodyDiv w:val="1"/>
      <w:marLeft w:val="0"/>
      <w:marRight w:val="0"/>
      <w:marTop w:val="0"/>
      <w:marBottom w:val="0"/>
      <w:divBdr>
        <w:top w:val="none" w:sz="0" w:space="0" w:color="auto"/>
        <w:left w:val="none" w:sz="0" w:space="0" w:color="auto"/>
        <w:bottom w:val="none" w:sz="0" w:space="0" w:color="auto"/>
        <w:right w:val="none" w:sz="0" w:space="0" w:color="auto"/>
      </w:divBdr>
    </w:div>
    <w:div w:id="1354454708">
      <w:bodyDiv w:val="1"/>
      <w:marLeft w:val="0"/>
      <w:marRight w:val="0"/>
      <w:marTop w:val="0"/>
      <w:marBottom w:val="0"/>
      <w:divBdr>
        <w:top w:val="none" w:sz="0" w:space="0" w:color="auto"/>
        <w:left w:val="none" w:sz="0" w:space="0" w:color="auto"/>
        <w:bottom w:val="none" w:sz="0" w:space="0" w:color="auto"/>
        <w:right w:val="none" w:sz="0" w:space="0" w:color="auto"/>
      </w:divBdr>
    </w:div>
    <w:div w:id="1372729798">
      <w:bodyDiv w:val="1"/>
      <w:marLeft w:val="0"/>
      <w:marRight w:val="0"/>
      <w:marTop w:val="0"/>
      <w:marBottom w:val="0"/>
      <w:divBdr>
        <w:top w:val="none" w:sz="0" w:space="0" w:color="auto"/>
        <w:left w:val="none" w:sz="0" w:space="0" w:color="auto"/>
        <w:bottom w:val="none" w:sz="0" w:space="0" w:color="auto"/>
        <w:right w:val="none" w:sz="0" w:space="0" w:color="auto"/>
      </w:divBdr>
    </w:div>
    <w:div w:id="1380277645">
      <w:bodyDiv w:val="1"/>
      <w:marLeft w:val="0"/>
      <w:marRight w:val="0"/>
      <w:marTop w:val="0"/>
      <w:marBottom w:val="0"/>
      <w:divBdr>
        <w:top w:val="none" w:sz="0" w:space="0" w:color="auto"/>
        <w:left w:val="none" w:sz="0" w:space="0" w:color="auto"/>
        <w:bottom w:val="none" w:sz="0" w:space="0" w:color="auto"/>
        <w:right w:val="none" w:sz="0" w:space="0" w:color="auto"/>
      </w:divBdr>
    </w:div>
    <w:div w:id="1396469877">
      <w:bodyDiv w:val="1"/>
      <w:marLeft w:val="0"/>
      <w:marRight w:val="0"/>
      <w:marTop w:val="0"/>
      <w:marBottom w:val="0"/>
      <w:divBdr>
        <w:top w:val="none" w:sz="0" w:space="0" w:color="auto"/>
        <w:left w:val="none" w:sz="0" w:space="0" w:color="auto"/>
        <w:bottom w:val="none" w:sz="0" w:space="0" w:color="auto"/>
        <w:right w:val="none" w:sz="0" w:space="0" w:color="auto"/>
      </w:divBdr>
    </w:div>
    <w:div w:id="1403061013">
      <w:bodyDiv w:val="1"/>
      <w:marLeft w:val="0"/>
      <w:marRight w:val="0"/>
      <w:marTop w:val="0"/>
      <w:marBottom w:val="0"/>
      <w:divBdr>
        <w:top w:val="none" w:sz="0" w:space="0" w:color="auto"/>
        <w:left w:val="none" w:sz="0" w:space="0" w:color="auto"/>
        <w:bottom w:val="none" w:sz="0" w:space="0" w:color="auto"/>
        <w:right w:val="none" w:sz="0" w:space="0" w:color="auto"/>
      </w:divBdr>
    </w:div>
    <w:div w:id="1435250619">
      <w:bodyDiv w:val="1"/>
      <w:marLeft w:val="0"/>
      <w:marRight w:val="0"/>
      <w:marTop w:val="0"/>
      <w:marBottom w:val="0"/>
      <w:divBdr>
        <w:top w:val="none" w:sz="0" w:space="0" w:color="auto"/>
        <w:left w:val="none" w:sz="0" w:space="0" w:color="auto"/>
        <w:bottom w:val="none" w:sz="0" w:space="0" w:color="auto"/>
        <w:right w:val="none" w:sz="0" w:space="0" w:color="auto"/>
      </w:divBdr>
    </w:div>
    <w:div w:id="1495075030">
      <w:bodyDiv w:val="1"/>
      <w:marLeft w:val="0"/>
      <w:marRight w:val="0"/>
      <w:marTop w:val="0"/>
      <w:marBottom w:val="0"/>
      <w:divBdr>
        <w:top w:val="none" w:sz="0" w:space="0" w:color="auto"/>
        <w:left w:val="none" w:sz="0" w:space="0" w:color="auto"/>
        <w:bottom w:val="none" w:sz="0" w:space="0" w:color="auto"/>
        <w:right w:val="none" w:sz="0" w:space="0" w:color="auto"/>
      </w:divBdr>
      <w:divsChild>
        <w:div w:id="373119093">
          <w:marLeft w:val="547"/>
          <w:marRight w:val="0"/>
          <w:marTop w:val="0"/>
          <w:marBottom w:val="0"/>
          <w:divBdr>
            <w:top w:val="none" w:sz="0" w:space="0" w:color="auto"/>
            <w:left w:val="none" w:sz="0" w:space="0" w:color="auto"/>
            <w:bottom w:val="none" w:sz="0" w:space="0" w:color="auto"/>
            <w:right w:val="none" w:sz="0" w:space="0" w:color="auto"/>
          </w:divBdr>
        </w:div>
        <w:div w:id="681511133">
          <w:marLeft w:val="547"/>
          <w:marRight w:val="0"/>
          <w:marTop w:val="0"/>
          <w:marBottom w:val="0"/>
          <w:divBdr>
            <w:top w:val="none" w:sz="0" w:space="0" w:color="auto"/>
            <w:left w:val="none" w:sz="0" w:space="0" w:color="auto"/>
            <w:bottom w:val="none" w:sz="0" w:space="0" w:color="auto"/>
            <w:right w:val="none" w:sz="0" w:space="0" w:color="auto"/>
          </w:divBdr>
        </w:div>
        <w:div w:id="1783107813">
          <w:marLeft w:val="547"/>
          <w:marRight w:val="0"/>
          <w:marTop w:val="0"/>
          <w:marBottom w:val="0"/>
          <w:divBdr>
            <w:top w:val="none" w:sz="0" w:space="0" w:color="auto"/>
            <w:left w:val="none" w:sz="0" w:space="0" w:color="auto"/>
            <w:bottom w:val="none" w:sz="0" w:space="0" w:color="auto"/>
            <w:right w:val="none" w:sz="0" w:space="0" w:color="auto"/>
          </w:divBdr>
        </w:div>
        <w:div w:id="1960335659">
          <w:marLeft w:val="547"/>
          <w:marRight w:val="0"/>
          <w:marTop w:val="0"/>
          <w:marBottom w:val="0"/>
          <w:divBdr>
            <w:top w:val="none" w:sz="0" w:space="0" w:color="auto"/>
            <w:left w:val="none" w:sz="0" w:space="0" w:color="auto"/>
            <w:bottom w:val="none" w:sz="0" w:space="0" w:color="auto"/>
            <w:right w:val="none" w:sz="0" w:space="0" w:color="auto"/>
          </w:divBdr>
        </w:div>
      </w:divsChild>
    </w:div>
    <w:div w:id="1503157489">
      <w:bodyDiv w:val="1"/>
      <w:marLeft w:val="0"/>
      <w:marRight w:val="0"/>
      <w:marTop w:val="0"/>
      <w:marBottom w:val="0"/>
      <w:divBdr>
        <w:top w:val="none" w:sz="0" w:space="0" w:color="auto"/>
        <w:left w:val="none" w:sz="0" w:space="0" w:color="auto"/>
        <w:bottom w:val="none" w:sz="0" w:space="0" w:color="auto"/>
        <w:right w:val="none" w:sz="0" w:space="0" w:color="auto"/>
      </w:divBdr>
      <w:divsChild>
        <w:div w:id="312223738">
          <w:marLeft w:val="0"/>
          <w:marRight w:val="0"/>
          <w:marTop w:val="0"/>
          <w:marBottom w:val="0"/>
          <w:divBdr>
            <w:top w:val="none" w:sz="0" w:space="0" w:color="auto"/>
            <w:left w:val="none" w:sz="0" w:space="0" w:color="auto"/>
            <w:bottom w:val="none" w:sz="0" w:space="0" w:color="auto"/>
            <w:right w:val="none" w:sz="0" w:space="0" w:color="auto"/>
          </w:divBdr>
        </w:div>
        <w:div w:id="367684998">
          <w:marLeft w:val="0"/>
          <w:marRight w:val="0"/>
          <w:marTop w:val="0"/>
          <w:marBottom w:val="0"/>
          <w:divBdr>
            <w:top w:val="none" w:sz="0" w:space="0" w:color="auto"/>
            <w:left w:val="none" w:sz="0" w:space="0" w:color="auto"/>
            <w:bottom w:val="none" w:sz="0" w:space="0" w:color="auto"/>
            <w:right w:val="none" w:sz="0" w:space="0" w:color="auto"/>
          </w:divBdr>
        </w:div>
        <w:div w:id="593906609">
          <w:marLeft w:val="0"/>
          <w:marRight w:val="0"/>
          <w:marTop w:val="0"/>
          <w:marBottom w:val="0"/>
          <w:divBdr>
            <w:top w:val="none" w:sz="0" w:space="0" w:color="auto"/>
            <w:left w:val="none" w:sz="0" w:space="0" w:color="auto"/>
            <w:bottom w:val="none" w:sz="0" w:space="0" w:color="auto"/>
            <w:right w:val="none" w:sz="0" w:space="0" w:color="auto"/>
          </w:divBdr>
          <w:divsChild>
            <w:div w:id="1583836112">
              <w:marLeft w:val="-75"/>
              <w:marRight w:val="0"/>
              <w:marTop w:val="30"/>
              <w:marBottom w:val="30"/>
              <w:divBdr>
                <w:top w:val="none" w:sz="0" w:space="0" w:color="auto"/>
                <w:left w:val="none" w:sz="0" w:space="0" w:color="auto"/>
                <w:bottom w:val="none" w:sz="0" w:space="0" w:color="auto"/>
                <w:right w:val="none" w:sz="0" w:space="0" w:color="auto"/>
              </w:divBdr>
              <w:divsChild>
                <w:div w:id="14384579">
                  <w:marLeft w:val="0"/>
                  <w:marRight w:val="0"/>
                  <w:marTop w:val="0"/>
                  <w:marBottom w:val="0"/>
                  <w:divBdr>
                    <w:top w:val="none" w:sz="0" w:space="0" w:color="auto"/>
                    <w:left w:val="none" w:sz="0" w:space="0" w:color="auto"/>
                    <w:bottom w:val="none" w:sz="0" w:space="0" w:color="auto"/>
                    <w:right w:val="none" w:sz="0" w:space="0" w:color="auto"/>
                  </w:divBdr>
                  <w:divsChild>
                    <w:div w:id="1294367536">
                      <w:marLeft w:val="0"/>
                      <w:marRight w:val="0"/>
                      <w:marTop w:val="0"/>
                      <w:marBottom w:val="0"/>
                      <w:divBdr>
                        <w:top w:val="none" w:sz="0" w:space="0" w:color="auto"/>
                        <w:left w:val="none" w:sz="0" w:space="0" w:color="auto"/>
                        <w:bottom w:val="none" w:sz="0" w:space="0" w:color="auto"/>
                        <w:right w:val="none" w:sz="0" w:space="0" w:color="auto"/>
                      </w:divBdr>
                    </w:div>
                  </w:divsChild>
                </w:div>
                <w:div w:id="90246220">
                  <w:marLeft w:val="0"/>
                  <w:marRight w:val="0"/>
                  <w:marTop w:val="0"/>
                  <w:marBottom w:val="0"/>
                  <w:divBdr>
                    <w:top w:val="none" w:sz="0" w:space="0" w:color="auto"/>
                    <w:left w:val="none" w:sz="0" w:space="0" w:color="auto"/>
                    <w:bottom w:val="none" w:sz="0" w:space="0" w:color="auto"/>
                    <w:right w:val="none" w:sz="0" w:space="0" w:color="auto"/>
                  </w:divBdr>
                  <w:divsChild>
                    <w:div w:id="1714966720">
                      <w:marLeft w:val="0"/>
                      <w:marRight w:val="0"/>
                      <w:marTop w:val="0"/>
                      <w:marBottom w:val="0"/>
                      <w:divBdr>
                        <w:top w:val="none" w:sz="0" w:space="0" w:color="auto"/>
                        <w:left w:val="none" w:sz="0" w:space="0" w:color="auto"/>
                        <w:bottom w:val="none" w:sz="0" w:space="0" w:color="auto"/>
                        <w:right w:val="none" w:sz="0" w:space="0" w:color="auto"/>
                      </w:divBdr>
                    </w:div>
                  </w:divsChild>
                </w:div>
                <w:div w:id="98720961">
                  <w:marLeft w:val="0"/>
                  <w:marRight w:val="0"/>
                  <w:marTop w:val="0"/>
                  <w:marBottom w:val="0"/>
                  <w:divBdr>
                    <w:top w:val="none" w:sz="0" w:space="0" w:color="auto"/>
                    <w:left w:val="none" w:sz="0" w:space="0" w:color="auto"/>
                    <w:bottom w:val="none" w:sz="0" w:space="0" w:color="auto"/>
                    <w:right w:val="none" w:sz="0" w:space="0" w:color="auto"/>
                  </w:divBdr>
                  <w:divsChild>
                    <w:div w:id="1712532446">
                      <w:marLeft w:val="0"/>
                      <w:marRight w:val="0"/>
                      <w:marTop w:val="0"/>
                      <w:marBottom w:val="0"/>
                      <w:divBdr>
                        <w:top w:val="none" w:sz="0" w:space="0" w:color="auto"/>
                        <w:left w:val="none" w:sz="0" w:space="0" w:color="auto"/>
                        <w:bottom w:val="none" w:sz="0" w:space="0" w:color="auto"/>
                        <w:right w:val="none" w:sz="0" w:space="0" w:color="auto"/>
                      </w:divBdr>
                    </w:div>
                  </w:divsChild>
                </w:div>
                <w:div w:id="124546278">
                  <w:marLeft w:val="0"/>
                  <w:marRight w:val="0"/>
                  <w:marTop w:val="0"/>
                  <w:marBottom w:val="0"/>
                  <w:divBdr>
                    <w:top w:val="none" w:sz="0" w:space="0" w:color="auto"/>
                    <w:left w:val="none" w:sz="0" w:space="0" w:color="auto"/>
                    <w:bottom w:val="none" w:sz="0" w:space="0" w:color="auto"/>
                    <w:right w:val="none" w:sz="0" w:space="0" w:color="auto"/>
                  </w:divBdr>
                  <w:divsChild>
                    <w:div w:id="380790614">
                      <w:marLeft w:val="0"/>
                      <w:marRight w:val="0"/>
                      <w:marTop w:val="0"/>
                      <w:marBottom w:val="0"/>
                      <w:divBdr>
                        <w:top w:val="none" w:sz="0" w:space="0" w:color="auto"/>
                        <w:left w:val="none" w:sz="0" w:space="0" w:color="auto"/>
                        <w:bottom w:val="none" w:sz="0" w:space="0" w:color="auto"/>
                        <w:right w:val="none" w:sz="0" w:space="0" w:color="auto"/>
                      </w:divBdr>
                    </w:div>
                  </w:divsChild>
                </w:div>
                <w:div w:id="192807341">
                  <w:marLeft w:val="0"/>
                  <w:marRight w:val="0"/>
                  <w:marTop w:val="0"/>
                  <w:marBottom w:val="0"/>
                  <w:divBdr>
                    <w:top w:val="none" w:sz="0" w:space="0" w:color="auto"/>
                    <w:left w:val="none" w:sz="0" w:space="0" w:color="auto"/>
                    <w:bottom w:val="none" w:sz="0" w:space="0" w:color="auto"/>
                    <w:right w:val="none" w:sz="0" w:space="0" w:color="auto"/>
                  </w:divBdr>
                  <w:divsChild>
                    <w:div w:id="1687831914">
                      <w:marLeft w:val="0"/>
                      <w:marRight w:val="0"/>
                      <w:marTop w:val="0"/>
                      <w:marBottom w:val="0"/>
                      <w:divBdr>
                        <w:top w:val="none" w:sz="0" w:space="0" w:color="auto"/>
                        <w:left w:val="none" w:sz="0" w:space="0" w:color="auto"/>
                        <w:bottom w:val="none" w:sz="0" w:space="0" w:color="auto"/>
                        <w:right w:val="none" w:sz="0" w:space="0" w:color="auto"/>
                      </w:divBdr>
                    </w:div>
                  </w:divsChild>
                </w:div>
                <w:div w:id="194006774">
                  <w:marLeft w:val="0"/>
                  <w:marRight w:val="0"/>
                  <w:marTop w:val="0"/>
                  <w:marBottom w:val="0"/>
                  <w:divBdr>
                    <w:top w:val="none" w:sz="0" w:space="0" w:color="auto"/>
                    <w:left w:val="none" w:sz="0" w:space="0" w:color="auto"/>
                    <w:bottom w:val="none" w:sz="0" w:space="0" w:color="auto"/>
                    <w:right w:val="none" w:sz="0" w:space="0" w:color="auto"/>
                  </w:divBdr>
                  <w:divsChild>
                    <w:div w:id="1297761945">
                      <w:marLeft w:val="0"/>
                      <w:marRight w:val="0"/>
                      <w:marTop w:val="0"/>
                      <w:marBottom w:val="0"/>
                      <w:divBdr>
                        <w:top w:val="none" w:sz="0" w:space="0" w:color="auto"/>
                        <w:left w:val="none" w:sz="0" w:space="0" w:color="auto"/>
                        <w:bottom w:val="none" w:sz="0" w:space="0" w:color="auto"/>
                        <w:right w:val="none" w:sz="0" w:space="0" w:color="auto"/>
                      </w:divBdr>
                    </w:div>
                  </w:divsChild>
                </w:div>
                <w:div w:id="206180768">
                  <w:marLeft w:val="0"/>
                  <w:marRight w:val="0"/>
                  <w:marTop w:val="0"/>
                  <w:marBottom w:val="0"/>
                  <w:divBdr>
                    <w:top w:val="none" w:sz="0" w:space="0" w:color="auto"/>
                    <w:left w:val="none" w:sz="0" w:space="0" w:color="auto"/>
                    <w:bottom w:val="none" w:sz="0" w:space="0" w:color="auto"/>
                    <w:right w:val="none" w:sz="0" w:space="0" w:color="auto"/>
                  </w:divBdr>
                  <w:divsChild>
                    <w:div w:id="1880971941">
                      <w:marLeft w:val="0"/>
                      <w:marRight w:val="0"/>
                      <w:marTop w:val="0"/>
                      <w:marBottom w:val="0"/>
                      <w:divBdr>
                        <w:top w:val="none" w:sz="0" w:space="0" w:color="auto"/>
                        <w:left w:val="none" w:sz="0" w:space="0" w:color="auto"/>
                        <w:bottom w:val="none" w:sz="0" w:space="0" w:color="auto"/>
                        <w:right w:val="none" w:sz="0" w:space="0" w:color="auto"/>
                      </w:divBdr>
                    </w:div>
                  </w:divsChild>
                </w:div>
                <w:div w:id="372653710">
                  <w:marLeft w:val="0"/>
                  <w:marRight w:val="0"/>
                  <w:marTop w:val="0"/>
                  <w:marBottom w:val="0"/>
                  <w:divBdr>
                    <w:top w:val="none" w:sz="0" w:space="0" w:color="auto"/>
                    <w:left w:val="none" w:sz="0" w:space="0" w:color="auto"/>
                    <w:bottom w:val="none" w:sz="0" w:space="0" w:color="auto"/>
                    <w:right w:val="none" w:sz="0" w:space="0" w:color="auto"/>
                  </w:divBdr>
                  <w:divsChild>
                    <w:div w:id="72162630">
                      <w:marLeft w:val="0"/>
                      <w:marRight w:val="0"/>
                      <w:marTop w:val="0"/>
                      <w:marBottom w:val="0"/>
                      <w:divBdr>
                        <w:top w:val="none" w:sz="0" w:space="0" w:color="auto"/>
                        <w:left w:val="none" w:sz="0" w:space="0" w:color="auto"/>
                        <w:bottom w:val="none" w:sz="0" w:space="0" w:color="auto"/>
                        <w:right w:val="none" w:sz="0" w:space="0" w:color="auto"/>
                      </w:divBdr>
                    </w:div>
                  </w:divsChild>
                </w:div>
                <w:div w:id="383219479">
                  <w:marLeft w:val="0"/>
                  <w:marRight w:val="0"/>
                  <w:marTop w:val="0"/>
                  <w:marBottom w:val="0"/>
                  <w:divBdr>
                    <w:top w:val="none" w:sz="0" w:space="0" w:color="auto"/>
                    <w:left w:val="none" w:sz="0" w:space="0" w:color="auto"/>
                    <w:bottom w:val="none" w:sz="0" w:space="0" w:color="auto"/>
                    <w:right w:val="none" w:sz="0" w:space="0" w:color="auto"/>
                  </w:divBdr>
                  <w:divsChild>
                    <w:div w:id="786655804">
                      <w:marLeft w:val="0"/>
                      <w:marRight w:val="0"/>
                      <w:marTop w:val="0"/>
                      <w:marBottom w:val="0"/>
                      <w:divBdr>
                        <w:top w:val="none" w:sz="0" w:space="0" w:color="auto"/>
                        <w:left w:val="none" w:sz="0" w:space="0" w:color="auto"/>
                        <w:bottom w:val="none" w:sz="0" w:space="0" w:color="auto"/>
                        <w:right w:val="none" w:sz="0" w:space="0" w:color="auto"/>
                      </w:divBdr>
                    </w:div>
                  </w:divsChild>
                </w:div>
                <w:div w:id="383452051">
                  <w:marLeft w:val="0"/>
                  <w:marRight w:val="0"/>
                  <w:marTop w:val="0"/>
                  <w:marBottom w:val="0"/>
                  <w:divBdr>
                    <w:top w:val="none" w:sz="0" w:space="0" w:color="auto"/>
                    <w:left w:val="none" w:sz="0" w:space="0" w:color="auto"/>
                    <w:bottom w:val="none" w:sz="0" w:space="0" w:color="auto"/>
                    <w:right w:val="none" w:sz="0" w:space="0" w:color="auto"/>
                  </w:divBdr>
                  <w:divsChild>
                    <w:div w:id="1078133274">
                      <w:marLeft w:val="0"/>
                      <w:marRight w:val="0"/>
                      <w:marTop w:val="0"/>
                      <w:marBottom w:val="0"/>
                      <w:divBdr>
                        <w:top w:val="none" w:sz="0" w:space="0" w:color="auto"/>
                        <w:left w:val="none" w:sz="0" w:space="0" w:color="auto"/>
                        <w:bottom w:val="none" w:sz="0" w:space="0" w:color="auto"/>
                        <w:right w:val="none" w:sz="0" w:space="0" w:color="auto"/>
                      </w:divBdr>
                    </w:div>
                  </w:divsChild>
                </w:div>
                <w:div w:id="432165038">
                  <w:marLeft w:val="0"/>
                  <w:marRight w:val="0"/>
                  <w:marTop w:val="0"/>
                  <w:marBottom w:val="0"/>
                  <w:divBdr>
                    <w:top w:val="none" w:sz="0" w:space="0" w:color="auto"/>
                    <w:left w:val="none" w:sz="0" w:space="0" w:color="auto"/>
                    <w:bottom w:val="none" w:sz="0" w:space="0" w:color="auto"/>
                    <w:right w:val="none" w:sz="0" w:space="0" w:color="auto"/>
                  </w:divBdr>
                  <w:divsChild>
                    <w:div w:id="51123495">
                      <w:marLeft w:val="0"/>
                      <w:marRight w:val="0"/>
                      <w:marTop w:val="0"/>
                      <w:marBottom w:val="0"/>
                      <w:divBdr>
                        <w:top w:val="none" w:sz="0" w:space="0" w:color="auto"/>
                        <w:left w:val="none" w:sz="0" w:space="0" w:color="auto"/>
                        <w:bottom w:val="none" w:sz="0" w:space="0" w:color="auto"/>
                        <w:right w:val="none" w:sz="0" w:space="0" w:color="auto"/>
                      </w:divBdr>
                    </w:div>
                  </w:divsChild>
                </w:div>
                <w:div w:id="433595469">
                  <w:marLeft w:val="0"/>
                  <w:marRight w:val="0"/>
                  <w:marTop w:val="0"/>
                  <w:marBottom w:val="0"/>
                  <w:divBdr>
                    <w:top w:val="none" w:sz="0" w:space="0" w:color="auto"/>
                    <w:left w:val="none" w:sz="0" w:space="0" w:color="auto"/>
                    <w:bottom w:val="none" w:sz="0" w:space="0" w:color="auto"/>
                    <w:right w:val="none" w:sz="0" w:space="0" w:color="auto"/>
                  </w:divBdr>
                  <w:divsChild>
                    <w:div w:id="667832606">
                      <w:marLeft w:val="0"/>
                      <w:marRight w:val="0"/>
                      <w:marTop w:val="0"/>
                      <w:marBottom w:val="0"/>
                      <w:divBdr>
                        <w:top w:val="none" w:sz="0" w:space="0" w:color="auto"/>
                        <w:left w:val="none" w:sz="0" w:space="0" w:color="auto"/>
                        <w:bottom w:val="none" w:sz="0" w:space="0" w:color="auto"/>
                        <w:right w:val="none" w:sz="0" w:space="0" w:color="auto"/>
                      </w:divBdr>
                    </w:div>
                  </w:divsChild>
                </w:div>
                <w:div w:id="537737335">
                  <w:marLeft w:val="0"/>
                  <w:marRight w:val="0"/>
                  <w:marTop w:val="0"/>
                  <w:marBottom w:val="0"/>
                  <w:divBdr>
                    <w:top w:val="none" w:sz="0" w:space="0" w:color="auto"/>
                    <w:left w:val="none" w:sz="0" w:space="0" w:color="auto"/>
                    <w:bottom w:val="none" w:sz="0" w:space="0" w:color="auto"/>
                    <w:right w:val="none" w:sz="0" w:space="0" w:color="auto"/>
                  </w:divBdr>
                  <w:divsChild>
                    <w:div w:id="1462655570">
                      <w:marLeft w:val="0"/>
                      <w:marRight w:val="0"/>
                      <w:marTop w:val="0"/>
                      <w:marBottom w:val="0"/>
                      <w:divBdr>
                        <w:top w:val="none" w:sz="0" w:space="0" w:color="auto"/>
                        <w:left w:val="none" w:sz="0" w:space="0" w:color="auto"/>
                        <w:bottom w:val="none" w:sz="0" w:space="0" w:color="auto"/>
                        <w:right w:val="none" w:sz="0" w:space="0" w:color="auto"/>
                      </w:divBdr>
                    </w:div>
                  </w:divsChild>
                </w:div>
                <w:div w:id="604004187">
                  <w:marLeft w:val="0"/>
                  <w:marRight w:val="0"/>
                  <w:marTop w:val="0"/>
                  <w:marBottom w:val="0"/>
                  <w:divBdr>
                    <w:top w:val="none" w:sz="0" w:space="0" w:color="auto"/>
                    <w:left w:val="none" w:sz="0" w:space="0" w:color="auto"/>
                    <w:bottom w:val="none" w:sz="0" w:space="0" w:color="auto"/>
                    <w:right w:val="none" w:sz="0" w:space="0" w:color="auto"/>
                  </w:divBdr>
                  <w:divsChild>
                    <w:div w:id="961613759">
                      <w:marLeft w:val="0"/>
                      <w:marRight w:val="0"/>
                      <w:marTop w:val="0"/>
                      <w:marBottom w:val="0"/>
                      <w:divBdr>
                        <w:top w:val="none" w:sz="0" w:space="0" w:color="auto"/>
                        <w:left w:val="none" w:sz="0" w:space="0" w:color="auto"/>
                        <w:bottom w:val="none" w:sz="0" w:space="0" w:color="auto"/>
                        <w:right w:val="none" w:sz="0" w:space="0" w:color="auto"/>
                      </w:divBdr>
                    </w:div>
                  </w:divsChild>
                </w:div>
                <w:div w:id="666245651">
                  <w:marLeft w:val="0"/>
                  <w:marRight w:val="0"/>
                  <w:marTop w:val="0"/>
                  <w:marBottom w:val="0"/>
                  <w:divBdr>
                    <w:top w:val="none" w:sz="0" w:space="0" w:color="auto"/>
                    <w:left w:val="none" w:sz="0" w:space="0" w:color="auto"/>
                    <w:bottom w:val="none" w:sz="0" w:space="0" w:color="auto"/>
                    <w:right w:val="none" w:sz="0" w:space="0" w:color="auto"/>
                  </w:divBdr>
                  <w:divsChild>
                    <w:div w:id="824123849">
                      <w:marLeft w:val="0"/>
                      <w:marRight w:val="0"/>
                      <w:marTop w:val="0"/>
                      <w:marBottom w:val="0"/>
                      <w:divBdr>
                        <w:top w:val="none" w:sz="0" w:space="0" w:color="auto"/>
                        <w:left w:val="none" w:sz="0" w:space="0" w:color="auto"/>
                        <w:bottom w:val="none" w:sz="0" w:space="0" w:color="auto"/>
                        <w:right w:val="none" w:sz="0" w:space="0" w:color="auto"/>
                      </w:divBdr>
                    </w:div>
                  </w:divsChild>
                </w:div>
                <w:div w:id="679232877">
                  <w:marLeft w:val="0"/>
                  <w:marRight w:val="0"/>
                  <w:marTop w:val="0"/>
                  <w:marBottom w:val="0"/>
                  <w:divBdr>
                    <w:top w:val="none" w:sz="0" w:space="0" w:color="auto"/>
                    <w:left w:val="none" w:sz="0" w:space="0" w:color="auto"/>
                    <w:bottom w:val="none" w:sz="0" w:space="0" w:color="auto"/>
                    <w:right w:val="none" w:sz="0" w:space="0" w:color="auto"/>
                  </w:divBdr>
                  <w:divsChild>
                    <w:div w:id="1963724108">
                      <w:marLeft w:val="0"/>
                      <w:marRight w:val="0"/>
                      <w:marTop w:val="0"/>
                      <w:marBottom w:val="0"/>
                      <w:divBdr>
                        <w:top w:val="none" w:sz="0" w:space="0" w:color="auto"/>
                        <w:left w:val="none" w:sz="0" w:space="0" w:color="auto"/>
                        <w:bottom w:val="none" w:sz="0" w:space="0" w:color="auto"/>
                        <w:right w:val="none" w:sz="0" w:space="0" w:color="auto"/>
                      </w:divBdr>
                    </w:div>
                  </w:divsChild>
                </w:div>
                <w:div w:id="679507359">
                  <w:marLeft w:val="0"/>
                  <w:marRight w:val="0"/>
                  <w:marTop w:val="0"/>
                  <w:marBottom w:val="0"/>
                  <w:divBdr>
                    <w:top w:val="none" w:sz="0" w:space="0" w:color="auto"/>
                    <w:left w:val="none" w:sz="0" w:space="0" w:color="auto"/>
                    <w:bottom w:val="none" w:sz="0" w:space="0" w:color="auto"/>
                    <w:right w:val="none" w:sz="0" w:space="0" w:color="auto"/>
                  </w:divBdr>
                  <w:divsChild>
                    <w:div w:id="872110514">
                      <w:marLeft w:val="0"/>
                      <w:marRight w:val="0"/>
                      <w:marTop w:val="0"/>
                      <w:marBottom w:val="0"/>
                      <w:divBdr>
                        <w:top w:val="none" w:sz="0" w:space="0" w:color="auto"/>
                        <w:left w:val="none" w:sz="0" w:space="0" w:color="auto"/>
                        <w:bottom w:val="none" w:sz="0" w:space="0" w:color="auto"/>
                        <w:right w:val="none" w:sz="0" w:space="0" w:color="auto"/>
                      </w:divBdr>
                    </w:div>
                  </w:divsChild>
                </w:div>
                <w:div w:id="752359142">
                  <w:marLeft w:val="0"/>
                  <w:marRight w:val="0"/>
                  <w:marTop w:val="0"/>
                  <w:marBottom w:val="0"/>
                  <w:divBdr>
                    <w:top w:val="none" w:sz="0" w:space="0" w:color="auto"/>
                    <w:left w:val="none" w:sz="0" w:space="0" w:color="auto"/>
                    <w:bottom w:val="none" w:sz="0" w:space="0" w:color="auto"/>
                    <w:right w:val="none" w:sz="0" w:space="0" w:color="auto"/>
                  </w:divBdr>
                  <w:divsChild>
                    <w:div w:id="1390810928">
                      <w:marLeft w:val="0"/>
                      <w:marRight w:val="0"/>
                      <w:marTop w:val="0"/>
                      <w:marBottom w:val="0"/>
                      <w:divBdr>
                        <w:top w:val="none" w:sz="0" w:space="0" w:color="auto"/>
                        <w:left w:val="none" w:sz="0" w:space="0" w:color="auto"/>
                        <w:bottom w:val="none" w:sz="0" w:space="0" w:color="auto"/>
                        <w:right w:val="none" w:sz="0" w:space="0" w:color="auto"/>
                      </w:divBdr>
                    </w:div>
                  </w:divsChild>
                </w:div>
                <w:div w:id="948581710">
                  <w:marLeft w:val="0"/>
                  <w:marRight w:val="0"/>
                  <w:marTop w:val="0"/>
                  <w:marBottom w:val="0"/>
                  <w:divBdr>
                    <w:top w:val="none" w:sz="0" w:space="0" w:color="auto"/>
                    <w:left w:val="none" w:sz="0" w:space="0" w:color="auto"/>
                    <w:bottom w:val="none" w:sz="0" w:space="0" w:color="auto"/>
                    <w:right w:val="none" w:sz="0" w:space="0" w:color="auto"/>
                  </w:divBdr>
                  <w:divsChild>
                    <w:div w:id="1313409863">
                      <w:marLeft w:val="0"/>
                      <w:marRight w:val="0"/>
                      <w:marTop w:val="0"/>
                      <w:marBottom w:val="0"/>
                      <w:divBdr>
                        <w:top w:val="none" w:sz="0" w:space="0" w:color="auto"/>
                        <w:left w:val="none" w:sz="0" w:space="0" w:color="auto"/>
                        <w:bottom w:val="none" w:sz="0" w:space="0" w:color="auto"/>
                        <w:right w:val="none" w:sz="0" w:space="0" w:color="auto"/>
                      </w:divBdr>
                    </w:div>
                  </w:divsChild>
                </w:div>
                <w:div w:id="1018776704">
                  <w:marLeft w:val="0"/>
                  <w:marRight w:val="0"/>
                  <w:marTop w:val="0"/>
                  <w:marBottom w:val="0"/>
                  <w:divBdr>
                    <w:top w:val="none" w:sz="0" w:space="0" w:color="auto"/>
                    <w:left w:val="none" w:sz="0" w:space="0" w:color="auto"/>
                    <w:bottom w:val="none" w:sz="0" w:space="0" w:color="auto"/>
                    <w:right w:val="none" w:sz="0" w:space="0" w:color="auto"/>
                  </w:divBdr>
                  <w:divsChild>
                    <w:div w:id="283466263">
                      <w:marLeft w:val="0"/>
                      <w:marRight w:val="0"/>
                      <w:marTop w:val="0"/>
                      <w:marBottom w:val="0"/>
                      <w:divBdr>
                        <w:top w:val="none" w:sz="0" w:space="0" w:color="auto"/>
                        <w:left w:val="none" w:sz="0" w:space="0" w:color="auto"/>
                        <w:bottom w:val="none" w:sz="0" w:space="0" w:color="auto"/>
                        <w:right w:val="none" w:sz="0" w:space="0" w:color="auto"/>
                      </w:divBdr>
                    </w:div>
                  </w:divsChild>
                </w:div>
                <w:div w:id="1023088516">
                  <w:marLeft w:val="0"/>
                  <w:marRight w:val="0"/>
                  <w:marTop w:val="0"/>
                  <w:marBottom w:val="0"/>
                  <w:divBdr>
                    <w:top w:val="none" w:sz="0" w:space="0" w:color="auto"/>
                    <w:left w:val="none" w:sz="0" w:space="0" w:color="auto"/>
                    <w:bottom w:val="none" w:sz="0" w:space="0" w:color="auto"/>
                    <w:right w:val="none" w:sz="0" w:space="0" w:color="auto"/>
                  </w:divBdr>
                  <w:divsChild>
                    <w:div w:id="1538658510">
                      <w:marLeft w:val="0"/>
                      <w:marRight w:val="0"/>
                      <w:marTop w:val="0"/>
                      <w:marBottom w:val="0"/>
                      <w:divBdr>
                        <w:top w:val="none" w:sz="0" w:space="0" w:color="auto"/>
                        <w:left w:val="none" w:sz="0" w:space="0" w:color="auto"/>
                        <w:bottom w:val="none" w:sz="0" w:space="0" w:color="auto"/>
                        <w:right w:val="none" w:sz="0" w:space="0" w:color="auto"/>
                      </w:divBdr>
                    </w:div>
                  </w:divsChild>
                </w:div>
                <w:div w:id="1062144253">
                  <w:marLeft w:val="0"/>
                  <w:marRight w:val="0"/>
                  <w:marTop w:val="0"/>
                  <w:marBottom w:val="0"/>
                  <w:divBdr>
                    <w:top w:val="none" w:sz="0" w:space="0" w:color="auto"/>
                    <w:left w:val="none" w:sz="0" w:space="0" w:color="auto"/>
                    <w:bottom w:val="none" w:sz="0" w:space="0" w:color="auto"/>
                    <w:right w:val="none" w:sz="0" w:space="0" w:color="auto"/>
                  </w:divBdr>
                  <w:divsChild>
                    <w:div w:id="662851845">
                      <w:marLeft w:val="0"/>
                      <w:marRight w:val="0"/>
                      <w:marTop w:val="0"/>
                      <w:marBottom w:val="0"/>
                      <w:divBdr>
                        <w:top w:val="none" w:sz="0" w:space="0" w:color="auto"/>
                        <w:left w:val="none" w:sz="0" w:space="0" w:color="auto"/>
                        <w:bottom w:val="none" w:sz="0" w:space="0" w:color="auto"/>
                        <w:right w:val="none" w:sz="0" w:space="0" w:color="auto"/>
                      </w:divBdr>
                    </w:div>
                  </w:divsChild>
                </w:div>
                <w:div w:id="1086459612">
                  <w:marLeft w:val="0"/>
                  <w:marRight w:val="0"/>
                  <w:marTop w:val="0"/>
                  <w:marBottom w:val="0"/>
                  <w:divBdr>
                    <w:top w:val="none" w:sz="0" w:space="0" w:color="auto"/>
                    <w:left w:val="none" w:sz="0" w:space="0" w:color="auto"/>
                    <w:bottom w:val="none" w:sz="0" w:space="0" w:color="auto"/>
                    <w:right w:val="none" w:sz="0" w:space="0" w:color="auto"/>
                  </w:divBdr>
                  <w:divsChild>
                    <w:div w:id="1082876326">
                      <w:marLeft w:val="0"/>
                      <w:marRight w:val="0"/>
                      <w:marTop w:val="0"/>
                      <w:marBottom w:val="0"/>
                      <w:divBdr>
                        <w:top w:val="none" w:sz="0" w:space="0" w:color="auto"/>
                        <w:left w:val="none" w:sz="0" w:space="0" w:color="auto"/>
                        <w:bottom w:val="none" w:sz="0" w:space="0" w:color="auto"/>
                        <w:right w:val="none" w:sz="0" w:space="0" w:color="auto"/>
                      </w:divBdr>
                    </w:div>
                  </w:divsChild>
                </w:div>
                <w:div w:id="1133255883">
                  <w:marLeft w:val="0"/>
                  <w:marRight w:val="0"/>
                  <w:marTop w:val="0"/>
                  <w:marBottom w:val="0"/>
                  <w:divBdr>
                    <w:top w:val="none" w:sz="0" w:space="0" w:color="auto"/>
                    <w:left w:val="none" w:sz="0" w:space="0" w:color="auto"/>
                    <w:bottom w:val="none" w:sz="0" w:space="0" w:color="auto"/>
                    <w:right w:val="none" w:sz="0" w:space="0" w:color="auto"/>
                  </w:divBdr>
                  <w:divsChild>
                    <w:div w:id="1212230911">
                      <w:marLeft w:val="0"/>
                      <w:marRight w:val="0"/>
                      <w:marTop w:val="0"/>
                      <w:marBottom w:val="0"/>
                      <w:divBdr>
                        <w:top w:val="none" w:sz="0" w:space="0" w:color="auto"/>
                        <w:left w:val="none" w:sz="0" w:space="0" w:color="auto"/>
                        <w:bottom w:val="none" w:sz="0" w:space="0" w:color="auto"/>
                        <w:right w:val="none" w:sz="0" w:space="0" w:color="auto"/>
                      </w:divBdr>
                    </w:div>
                  </w:divsChild>
                </w:div>
                <w:div w:id="1183013320">
                  <w:marLeft w:val="0"/>
                  <w:marRight w:val="0"/>
                  <w:marTop w:val="0"/>
                  <w:marBottom w:val="0"/>
                  <w:divBdr>
                    <w:top w:val="none" w:sz="0" w:space="0" w:color="auto"/>
                    <w:left w:val="none" w:sz="0" w:space="0" w:color="auto"/>
                    <w:bottom w:val="none" w:sz="0" w:space="0" w:color="auto"/>
                    <w:right w:val="none" w:sz="0" w:space="0" w:color="auto"/>
                  </w:divBdr>
                  <w:divsChild>
                    <w:div w:id="2076274357">
                      <w:marLeft w:val="0"/>
                      <w:marRight w:val="0"/>
                      <w:marTop w:val="0"/>
                      <w:marBottom w:val="0"/>
                      <w:divBdr>
                        <w:top w:val="none" w:sz="0" w:space="0" w:color="auto"/>
                        <w:left w:val="none" w:sz="0" w:space="0" w:color="auto"/>
                        <w:bottom w:val="none" w:sz="0" w:space="0" w:color="auto"/>
                        <w:right w:val="none" w:sz="0" w:space="0" w:color="auto"/>
                      </w:divBdr>
                    </w:div>
                  </w:divsChild>
                </w:div>
                <w:div w:id="1220090429">
                  <w:marLeft w:val="0"/>
                  <w:marRight w:val="0"/>
                  <w:marTop w:val="0"/>
                  <w:marBottom w:val="0"/>
                  <w:divBdr>
                    <w:top w:val="none" w:sz="0" w:space="0" w:color="auto"/>
                    <w:left w:val="none" w:sz="0" w:space="0" w:color="auto"/>
                    <w:bottom w:val="none" w:sz="0" w:space="0" w:color="auto"/>
                    <w:right w:val="none" w:sz="0" w:space="0" w:color="auto"/>
                  </w:divBdr>
                  <w:divsChild>
                    <w:div w:id="1584679629">
                      <w:marLeft w:val="0"/>
                      <w:marRight w:val="0"/>
                      <w:marTop w:val="0"/>
                      <w:marBottom w:val="0"/>
                      <w:divBdr>
                        <w:top w:val="none" w:sz="0" w:space="0" w:color="auto"/>
                        <w:left w:val="none" w:sz="0" w:space="0" w:color="auto"/>
                        <w:bottom w:val="none" w:sz="0" w:space="0" w:color="auto"/>
                        <w:right w:val="none" w:sz="0" w:space="0" w:color="auto"/>
                      </w:divBdr>
                    </w:div>
                  </w:divsChild>
                </w:div>
                <w:div w:id="1280532377">
                  <w:marLeft w:val="0"/>
                  <w:marRight w:val="0"/>
                  <w:marTop w:val="0"/>
                  <w:marBottom w:val="0"/>
                  <w:divBdr>
                    <w:top w:val="none" w:sz="0" w:space="0" w:color="auto"/>
                    <w:left w:val="none" w:sz="0" w:space="0" w:color="auto"/>
                    <w:bottom w:val="none" w:sz="0" w:space="0" w:color="auto"/>
                    <w:right w:val="none" w:sz="0" w:space="0" w:color="auto"/>
                  </w:divBdr>
                  <w:divsChild>
                    <w:div w:id="1135105232">
                      <w:marLeft w:val="0"/>
                      <w:marRight w:val="0"/>
                      <w:marTop w:val="0"/>
                      <w:marBottom w:val="0"/>
                      <w:divBdr>
                        <w:top w:val="none" w:sz="0" w:space="0" w:color="auto"/>
                        <w:left w:val="none" w:sz="0" w:space="0" w:color="auto"/>
                        <w:bottom w:val="none" w:sz="0" w:space="0" w:color="auto"/>
                        <w:right w:val="none" w:sz="0" w:space="0" w:color="auto"/>
                      </w:divBdr>
                    </w:div>
                  </w:divsChild>
                </w:div>
                <w:div w:id="1332611094">
                  <w:marLeft w:val="0"/>
                  <w:marRight w:val="0"/>
                  <w:marTop w:val="0"/>
                  <w:marBottom w:val="0"/>
                  <w:divBdr>
                    <w:top w:val="none" w:sz="0" w:space="0" w:color="auto"/>
                    <w:left w:val="none" w:sz="0" w:space="0" w:color="auto"/>
                    <w:bottom w:val="none" w:sz="0" w:space="0" w:color="auto"/>
                    <w:right w:val="none" w:sz="0" w:space="0" w:color="auto"/>
                  </w:divBdr>
                  <w:divsChild>
                    <w:div w:id="117258216">
                      <w:marLeft w:val="0"/>
                      <w:marRight w:val="0"/>
                      <w:marTop w:val="0"/>
                      <w:marBottom w:val="0"/>
                      <w:divBdr>
                        <w:top w:val="none" w:sz="0" w:space="0" w:color="auto"/>
                        <w:left w:val="none" w:sz="0" w:space="0" w:color="auto"/>
                        <w:bottom w:val="none" w:sz="0" w:space="0" w:color="auto"/>
                        <w:right w:val="none" w:sz="0" w:space="0" w:color="auto"/>
                      </w:divBdr>
                    </w:div>
                  </w:divsChild>
                </w:div>
                <w:div w:id="1352339026">
                  <w:marLeft w:val="0"/>
                  <w:marRight w:val="0"/>
                  <w:marTop w:val="0"/>
                  <w:marBottom w:val="0"/>
                  <w:divBdr>
                    <w:top w:val="none" w:sz="0" w:space="0" w:color="auto"/>
                    <w:left w:val="none" w:sz="0" w:space="0" w:color="auto"/>
                    <w:bottom w:val="none" w:sz="0" w:space="0" w:color="auto"/>
                    <w:right w:val="none" w:sz="0" w:space="0" w:color="auto"/>
                  </w:divBdr>
                  <w:divsChild>
                    <w:div w:id="703868907">
                      <w:marLeft w:val="0"/>
                      <w:marRight w:val="0"/>
                      <w:marTop w:val="0"/>
                      <w:marBottom w:val="0"/>
                      <w:divBdr>
                        <w:top w:val="none" w:sz="0" w:space="0" w:color="auto"/>
                        <w:left w:val="none" w:sz="0" w:space="0" w:color="auto"/>
                        <w:bottom w:val="none" w:sz="0" w:space="0" w:color="auto"/>
                        <w:right w:val="none" w:sz="0" w:space="0" w:color="auto"/>
                      </w:divBdr>
                    </w:div>
                  </w:divsChild>
                </w:div>
                <w:div w:id="1362507801">
                  <w:marLeft w:val="0"/>
                  <w:marRight w:val="0"/>
                  <w:marTop w:val="0"/>
                  <w:marBottom w:val="0"/>
                  <w:divBdr>
                    <w:top w:val="none" w:sz="0" w:space="0" w:color="auto"/>
                    <w:left w:val="none" w:sz="0" w:space="0" w:color="auto"/>
                    <w:bottom w:val="none" w:sz="0" w:space="0" w:color="auto"/>
                    <w:right w:val="none" w:sz="0" w:space="0" w:color="auto"/>
                  </w:divBdr>
                  <w:divsChild>
                    <w:div w:id="664014784">
                      <w:marLeft w:val="0"/>
                      <w:marRight w:val="0"/>
                      <w:marTop w:val="0"/>
                      <w:marBottom w:val="0"/>
                      <w:divBdr>
                        <w:top w:val="none" w:sz="0" w:space="0" w:color="auto"/>
                        <w:left w:val="none" w:sz="0" w:space="0" w:color="auto"/>
                        <w:bottom w:val="none" w:sz="0" w:space="0" w:color="auto"/>
                        <w:right w:val="none" w:sz="0" w:space="0" w:color="auto"/>
                      </w:divBdr>
                    </w:div>
                  </w:divsChild>
                </w:div>
                <w:div w:id="1424574532">
                  <w:marLeft w:val="0"/>
                  <w:marRight w:val="0"/>
                  <w:marTop w:val="0"/>
                  <w:marBottom w:val="0"/>
                  <w:divBdr>
                    <w:top w:val="none" w:sz="0" w:space="0" w:color="auto"/>
                    <w:left w:val="none" w:sz="0" w:space="0" w:color="auto"/>
                    <w:bottom w:val="none" w:sz="0" w:space="0" w:color="auto"/>
                    <w:right w:val="none" w:sz="0" w:space="0" w:color="auto"/>
                  </w:divBdr>
                  <w:divsChild>
                    <w:div w:id="1292828944">
                      <w:marLeft w:val="0"/>
                      <w:marRight w:val="0"/>
                      <w:marTop w:val="0"/>
                      <w:marBottom w:val="0"/>
                      <w:divBdr>
                        <w:top w:val="none" w:sz="0" w:space="0" w:color="auto"/>
                        <w:left w:val="none" w:sz="0" w:space="0" w:color="auto"/>
                        <w:bottom w:val="none" w:sz="0" w:space="0" w:color="auto"/>
                        <w:right w:val="none" w:sz="0" w:space="0" w:color="auto"/>
                      </w:divBdr>
                    </w:div>
                  </w:divsChild>
                </w:div>
                <w:div w:id="1527518036">
                  <w:marLeft w:val="0"/>
                  <w:marRight w:val="0"/>
                  <w:marTop w:val="0"/>
                  <w:marBottom w:val="0"/>
                  <w:divBdr>
                    <w:top w:val="none" w:sz="0" w:space="0" w:color="auto"/>
                    <w:left w:val="none" w:sz="0" w:space="0" w:color="auto"/>
                    <w:bottom w:val="none" w:sz="0" w:space="0" w:color="auto"/>
                    <w:right w:val="none" w:sz="0" w:space="0" w:color="auto"/>
                  </w:divBdr>
                  <w:divsChild>
                    <w:div w:id="1802993662">
                      <w:marLeft w:val="0"/>
                      <w:marRight w:val="0"/>
                      <w:marTop w:val="0"/>
                      <w:marBottom w:val="0"/>
                      <w:divBdr>
                        <w:top w:val="none" w:sz="0" w:space="0" w:color="auto"/>
                        <w:left w:val="none" w:sz="0" w:space="0" w:color="auto"/>
                        <w:bottom w:val="none" w:sz="0" w:space="0" w:color="auto"/>
                        <w:right w:val="none" w:sz="0" w:space="0" w:color="auto"/>
                      </w:divBdr>
                    </w:div>
                  </w:divsChild>
                </w:div>
                <w:div w:id="1602107305">
                  <w:marLeft w:val="0"/>
                  <w:marRight w:val="0"/>
                  <w:marTop w:val="0"/>
                  <w:marBottom w:val="0"/>
                  <w:divBdr>
                    <w:top w:val="none" w:sz="0" w:space="0" w:color="auto"/>
                    <w:left w:val="none" w:sz="0" w:space="0" w:color="auto"/>
                    <w:bottom w:val="none" w:sz="0" w:space="0" w:color="auto"/>
                    <w:right w:val="none" w:sz="0" w:space="0" w:color="auto"/>
                  </w:divBdr>
                  <w:divsChild>
                    <w:div w:id="1899779120">
                      <w:marLeft w:val="0"/>
                      <w:marRight w:val="0"/>
                      <w:marTop w:val="0"/>
                      <w:marBottom w:val="0"/>
                      <w:divBdr>
                        <w:top w:val="none" w:sz="0" w:space="0" w:color="auto"/>
                        <w:left w:val="none" w:sz="0" w:space="0" w:color="auto"/>
                        <w:bottom w:val="none" w:sz="0" w:space="0" w:color="auto"/>
                        <w:right w:val="none" w:sz="0" w:space="0" w:color="auto"/>
                      </w:divBdr>
                    </w:div>
                  </w:divsChild>
                </w:div>
                <w:div w:id="1610502462">
                  <w:marLeft w:val="0"/>
                  <w:marRight w:val="0"/>
                  <w:marTop w:val="0"/>
                  <w:marBottom w:val="0"/>
                  <w:divBdr>
                    <w:top w:val="none" w:sz="0" w:space="0" w:color="auto"/>
                    <w:left w:val="none" w:sz="0" w:space="0" w:color="auto"/>
                    <w:bottom w:val="none" w:sz="0" w:space="0" w:color="auto"/>
                    <w:right w:val="none" w:sz="0" w:space="0" w:color="auto"/>
                  </w:divBdr>
                  <w:divsChild>
                    <w:div w:id="30886002">
                      <w:marLeft w:val="0"/>
                      <w:marRight w:val="0"/>
                      <w:marTop w:val="0"/>
                      <w:marBottom w:val="0"/>
                      <w:divBdr>
                        <w:top w:val="none" w:sz="0" w:space="0" w:color="auto"/>
                        <w:left w:val="none" w:sz="0" w:space="0" w:color="auto"/>
                        <w:bottom w:val="none" w:sz="0" w:space="0" w:color="auto"/>
                        <w:right w:val="none" w:sz="0" w:space="0" w:color="auto"/>
                      </w:divBdr>
                    </w:div>
                  </w:divsChild>
                </w:div>
                <w:div w:id="1676961508">
                  <w:marLeft w:val="0"/>
                  <w:marRight w:val="0"/>
                  <w:marTop w:val="0"/>
                  <w:marBottom w:val="0"/>
                  <w:divBdr>
                    <w:top w:val="none" w:sz="0" w:space="0" w:color="auto"/>
                    <w:left w:val="none" w:sz="0" w:space="0" w:color="auto"/>
                    <w:bottom w:val="none" w:sz="0" w:space="0" w:color="auto"/>
                    <w:right w:val="none" w:sz="0" w:space="0" w:color="auto"/>
                  </w:divBdr>
                  <w:divsChild>
                    <w:div w:id="18700387">
                      <w:marLeft w:val="0"/>
                      <w:marRight w:val="0"/>
                      <w:marTop w:val="0"/>
                      <w:marBottom w:val="0"/>
                      <w:divBdr>
                        <w:top w:val="none" w:sz="0" w:space="0" w:color="auto"/>
                        <w:left w:val="none" w:sz="0" w:space="0" w:color="auto"/>
                        <w:bottom w:val="none" w:sz="0" w:space="0" w:color="auto"/>
                        <w:right w:val="none" w:sz="0" w:space="0" w:color="auto"/>
                      </w:divBdr>
                    </w:div>
                  </w:divsChild>
                </w:div>
                <w:div w:id="1743063275">
                  <w:marLeft w:val="0"/>
                  <w:marRight w:val="0"/>
                  <w:marTop w:val="0"/>
                  <w:marBottom w:val="0"/>
                  <w:divBdr>
                    <w:top w:val="none" w:sz="0" w:space="0" w:color="auto"/>
                    <w:left w:val="none" w:sz="0" w:space="0" w:color="auto"/>
                    <w:bottom w:val="none" w:sz="0" w:space="0" w:color="auto"/>
                    <w:right w:val="none" w:sz="0" w:space="0" w:color="auto"/>
                  </w:divBdr>
                  <w:divsChild>
                    <w:div w:id="1474636732">
                      <w:marLeft w:val="0"/>
                      <w:marRight w:val="0"/>
                      <w:marTop w:val="0"/>
                      <w:marBottom w:val="0"/>
                      <w:divBdr>
                        <w:top w:val="none" w:sz="0" w:space="0" w:color="auto"/>
                        <w:left w:val="none" w:sz="0" w:space="0" w:color="auto"/>
                        <w:bottom w:val="none" w:sz="0" w:space="0" w:color="auto"/>
                        <w:right w:val="none" w:sz="0" w:space="0" w:color="auto"/>
                      </w:divBdr>
                    </w:div>
                  </w:divsChild>
                </w:div>
                <w:div w:id="1840777369">
                  <w:marLeft w:val="0"/>
                  <w:marRight w:val="0"/>
                  <w:marTop w:val="0"/>
                  <w:marBottom w:val="0"/>
                  <w:divBdr>
                    <w:top w:val="none" w:sz="0" w:space="0" w:color="auto"/>
                    <w:left w:val="none" w:sz="0" w:space="0" w:color="auto"/>
                    <w:bottom w:val="none" w:sz="0" w:space="0" w:color="auto"/>
                    <w:right w:val="none" w:sz="0" w:space="0" w:color="auto"/>
                  </w:divBdr>
                  <w:divsChild>
                    <w:div w:id="1212158953">
                      <w:marLeft w:val="0"/>
                      <w:marRight w:val="0"/>
                      <w:marTop w:val="0"/>
                      <w:marBottom w:val="0"/>
                      <w:divBdr>
                        <w:top w:val="none" w:sz="0" w:space="0" w:color="auto"/>
                        <w:left w:val="none" w:sz="0" w:space="0" w:color="auto"/>
                        <w:bottom w:val="none" w:sz="0" w:space="0" w:color="auto"/>
                        <w:right w:val="none" w:sz="0" w:space="0" w:color="auto"/>
                      </w:divBdr>
                    </w:div>
                  </w:divsChild>
                </w:div>
                <w:div w:id="1849906025">
                  <w:marLeft w:val="0"/>
                  <w:marRight w:val="0"/>
                  <w:marTop w:val="0"/>
                  <w:marBottom w:val="0"/>
                  <w:divBdr>
                    <w:top w:val="none" w:sz="0" w:space="0" w:color="auto"/>
                    <w:left w:val="none" w:sz="0" w:space="0" w:color="auto"/>
                    <w:bottom w:val="none" w:sz="0" w:space="0" w:color="auto"/>
                    <w:right w:val="none" w:sz="0" w:space="0" w:color="auto"/>
                  </w:divBdr>
                  <w:divsChild>
                    <w:div w:id="655036396">
                      <w:marLeft w:val="0"/>
                      <w:marRight w:val="0"/>
                      <w:marTop w:val="0"/>
                      <w:marBottom w:val="0"/>
                      <w:divBdr>
                        <w:top w:val="none" w:sz="0" w:space="0" w:color="auto"/>
                        <w:left w:val="none" w:sz="0" w:space="0" w:color="auto"/>
                        <w:bottom w:val="none" w:sz="0" w:space="0" w:color="auto"/>
                        <w:right w:val="none" w:sz="0" w:space="0" w:color="auto"/>
                      </w:divBdr>
                    </w:div>
                  </w:divsChild>
                </w:div>
                <w:div w:id="1854227928">
                  <w:marLeft w:val="0"/>
                  <w:marRight w:val="0"/>
                  <w:marTop w:val="0"/>
                  <w:marBottom w:val="0"/>
                  <w:divBdr>
                    <w:top w:val="none" w:sz="0" w:space="0" w:color="auto"/>
                    <w:left w:val="none" w:sz="0" w:space="0" w:color="auto"/>
                    <w:bottom w:val="none" w:sz="0" w:space="0" w:color="auto"/>
                    <w:right w:val="none" w:sz="0" w:space="0" w:color="auto"/>
                  </w:divBdr>
                  <w:divsChild>
                    <w:div w:id="1031488923">
                      <w:marLeft w:val="0"/>
                      <w:marRight w:val="0"/>
                      <w:marTop w:val="0"/>
                      <w:marBottom w:val="0"/>
                      <w:divBdr>
                        <w:top w:val="none" w:sz="0" w:space="0" w:color="auto"/>
                        <w:left w:val="none" w:sz="0" w:space="0" w:color="auto"/>
                        <w:bottom w:val="none" w:sz="0" w:space="0" w:color="auto"/>
                        <w:right w:val="none" w:sz="0" w:space="0" w:color="auto"/>
                      </w:divBdr>
                    </w:div>
                  </w:divsChild>
                </w:div>
                <w:div w:id="1898736689">
                  <w:marLeft w:val="0"/>
                  <w:marRight w:val="0"/>
                  <w:marTop w:val="0"/>
                  <w:marBottom w:val="0"/>
                  <w:divBdr>
                    <w:top w:val="none" w:sz="0" w:space="0" w:color="auto"/>
                    <w:left w:val="none" w:sz="0" w:space="0" w:color="auto"/>
                    <w:bottom w:val="none" w:sz="0" w:space="0" w:color="auto"/>
                    <w:right w:val="none" w:sz="0" w:space="0" w:color="auto"/>
                  </w:divBdr>
                  <w:divsChild>
                    <w:div w:id="1573925818">
                      <w:marLeft w:val="0"/>
                      <w:marRight w:val="0"/>
                      <w:marTop w:val="0"/>
                      <w:marBottom w:val="0"/>
                      <w:divBdr>
                        <w:top w:val="none" w:sz="0" w:space="0" w:color="auto"/>
                        <w:left w:val="none" w:sz="0" w:space="0" w:color="auto"/>
                        <w:bottom w:val="none" w:sz="0" w:space="0" w:color="auto"/>
                        <w:right w:val="none" w:sz="0" w:space="0" w:color="auto"/>
                      </w:divBdr>
                    </w:div>
                  </w:divsChild>
                </w:div>
                <w:div w:id="2018773612">
                  <w:marLeft w:val="0"/>
                  <w:marRight w:val="0"/>
                  <w:marTop w:val="0"/>
                  <w:marBottom w:val="0"/>
                  <w:divBdr>
                    <w:top w:val="none" w:sz="0" w:space="0" w:color="auto"/>
                    <w:left w:val="none" w:sz="0" w:space="0" w:color="auto"/>
                    <w:bottom w:val="none" w:sz="0" w:space="0" w:color="auto"/>
                    <w:right w:val="none" w:sz="0" w:space="0" w:color="auto"/>
                  </w:divBdr>
                  <w:divsChild>
                    <w:div w:id="1546790951">
                      <w:marLeft w:val="0"/>
                      <w:marRight w:val="0"/>
                      <w:marTop w:val="0"/>
                      <w:marBottom w:val="0"/>
                      <w:divBdr>
                        <w:top w:val="none" w:sz="0" w:space="0" w:color="auto"/>
                        <w:left w:val="none" w:sz="0" w:space="0" w:color="auto"/>
                        <w:bottom w:val="none" w:sz="0" w:space="0" w:color="auto"/>
                        <w:right w:val="none" w:sz="0" w:space="0" w:color="auto"/>
                      </w:divBdr>
                    </w:div>
                  </w:divsChild>
                </w:div>
                <w:div w:id="2040084019">
                  <w:marLeft w:val="0"/>
                  <w:marRight w:val="0"/>
                  <w:marTop w:val="0"/>
                  <w:marBottom w:val="0"/>
                  <w:divBdr>
                    <w:top w:val="none" w:sz="0" w:space="0" w:color="auto"/>
                    <w:left w:val="none" w:sz="0" w:space="0" w:color="auto"/>
                    <w:bottom w:val="none" w:sz="0" w:space="0" w:color="auto"/>
                    <w:right w:val="none" w:sz="0" w:space="0" w:color="auto"/>
                  </w:divBdr>
                  <w:divsChild>
                    <w:div w:id="248277469">
                      <w:marLeft w:val="0"/>
                      <w:marRight w:val="0"/>
                      <w:marTop w:val="0"/>
                      <w:marBottom w:val="0"/>
                      <w:divBdr>
                        <w:top w:val="none" w:sz="0" w:space="0" w:color="auto"/>
                        <w:left w:val="none" w:sz="0" w:space="0" w:color="auto"/>
                        <w:bottom w:val="none" w:sz="0" w:space="0" w:color="auto"/>
                        <w:right w:val="none" w:sz="0" w:space="0" w:color="auto"/>
                      </w:divBdr>
                    </w:div>
                  </w:divsChild>
                </w:div>
                <w:div w:id="2061442242">
                  <w:marLeft w:val="0"/>
                  <w:marRight w:val="0"/>
                  <w:marTop w:val="0"/>
                  <w:marBottom w:val="0"/>
                  <w:divBdr>
                    <w:top w:val="none" w:sz="0" w:space="0" w:color="auto"/>
                    <w:left w:val="none" w:sz="0" w:space="0" w:color="auto"/>
                    <w:bottom w:val="none" w:sz="0" w:space="0" w:color="auto"/>
                    <w:right w:val="none" w:sz="0" w:space="0" w:color="auto"/>
                  </w:divBdr>
                  <w:divsChild>
                    <w:div w:id="1692145358">
                      <w:marLeft w:val="0"/>
                      <w:marRight w:val="0"/>
                      <w:marTop w:val="0"/>
                      <w:marBottom w:val="0"/>
                      <w:divBdr>
                        <w:top w:val="none" w:sz="0" w:space="0" w:color="auto"/>
                        <w:left w:val="none" w:sz="0" w:space="0" w:color="auto"/>
                        <w:bottom w:val="none" w:sz="0" w:space="0" w:color="auto"/>
                        <w:right w:val="none" w:sz="0" w:space="0" w:color="auto"/>
                      </w:divBdr>
                    </w:div>
                  </w:divsChild>
                </w:div>
                <w:div w:id="2125495793">
                  <w:marLeft w:val="0"/>
                  <w:marRight w:val="0"/>
                  <w:marTop w:val="0"/>
                  <w:marBottom w:val="0"/>
                  <w:divBdr>
                    <w:top w:val="none" w:sz="0" w:space="0" w:color="auto"/>
                    <w:left w:val="none" w:sz="0" w:space="0" w:color="auto"/>
                    <w:bottom w:val="none" w:sz="0" w:space="0" w:color="auto"/>
                    <w:right w:val="none" w:sz="0" w:space="0" w:color="auto"/>
                  </w:divBdr>
                  <w:divsChild>
                    <w:div w:id="1350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7948">
          <w:marLeft w:val="0"/>
          <w:marRight w:val="0"/>
          <w:marTop w:val="0"/>
          <w:marBottom w:val="0"/>
          <w:divBdr>
            <w:top w:val="none" w:sz="0" w:space="0" w:color="auto"/>
            <w:left w:val="none" w:sz="0" w:space="0" w:color="auto"/>
            <w:bottom w:val="none" w:sz="0" w:space="0" w:color="auto"/>
            <w:right w:val="none" w:sz="0" w:space="0" w:color="auto"/>
          </w:divBdr>
        </w:div>
        <w:div w:id="723989306">
          <w:marLeft w:val="0"/>
          <w:marRight w:val="0"/>
          <w:marTop w:val="0"/>
          <w:marBottom w:val="0"/>
          <w:divBdr>
            <w:top w:val="none" w:sz="0" w:space="0" w:color="auto"/>
            <w:left w:val="none" w:sz="0" w:space="0" w:color="auto"/>
            <w:bottom w:val="none" w:sz="0" w:space="0" w:color="auto"/>
            <w:right w:val="none" w:sz="0" w:space="0" w:color="auto"/>
          </w:divBdr>
        </w:div>
        <w:div w:id="761531766">
          <w:marLeft w:val="0"/>
          <w:marRight w:val="0"/>
          <w:marTop w:val="0"/>
          <w:marBottom w:val="0"/>
          <w:divBdr>
            <w:top w:val="none" w:sz="0" w:space="0" w:color="auto"/>
            <w:left w:val="none" w:sz="0" w:space="0" w:color="auto"/>
            <w:bottom w:val="none" w:sz="0" w:space="0" w:color="auto"/>
            <w:right w:val="none" w:sz="0" w:space="0" w:color="auto"/>
          </w:divBdr>
        </w:div>
        <w:div w:id="990525089">
          <w:marLeft w:val="0"/>
          <w:marRight w:val="0"/>
          <w:marTop w:val="0"/>
          <w:marBottom w:val="0"/>
          <w:divBdr>
            <w:top w:val="none" w:sz="0" w:space="0" w:color="auto"/>
            <w:left w:val="none" w:sz="0" w:space="0" w:color="auto"/>
            <w:bottom w:val="none" w:sz="0" w:space="0" w:color="auto"/>
            <w:right w:val="none" w:sz="0" w:space="0" w:color="auto"/>
          </w:divBdr>
        </w:div>
        <w:div w:id="1044135324">
          <w:marLeft w:val="0"/>
          <w:marRight w:val="0"/>
          <w:marTop w:val="0"/>
          <w:marBottom w:val="0"/>
          <w:divBdr>
            <w:top w:val="none" w:sz="0" w:space="0" w:color="auto"/>
            <w:left w:val="none" w:sz="0" w:space="0" w:color="auto"/>
            <w:bottom w:val="none" w:sz="0" w:space="0" w:color="auto"/>
            <w:right w:val="none" w:sz="0" w:space="0" w:color="auto"/>
          </w:divBdr>
        </w:div>
        <w:div w:id="1082070191">
          <w:marLeft w:val="0"/>
          <w:marRight w:val="0"/>
          <w:marTop w:val="0"/>
          <w:marBottom w:val="0"/>
          <w:divBdr>
            <w:top w:val="none" w:sz="0" w:space="0" w:color="auto"/>
            <w:left w:val="none" w:sz="0" w:space="0" w:color="auto"/>
            <w:bottom w:val="none" w:sz="0" w:space="0" w:color="auto"/>
            <w:right w:val="none" w:sz="0" w:space="0" w:color="auto"/>
          </w:divBdr>
        </w:div>
        <w:div w:id="1137144954">
          <w:marLeft w:val="0"/>
          <w:marRight w:val="0"/>
          <w:marTop w:val="0"/>
          <w:marBottom w:val="0"/>
          <w:divBdr>
            <w:top w:val="none" w:sz="0" w:space="0" w:color="auto"/>
            <w:left w:val="none" w:sz="0" w:space="0" w:color="auto"/>
            <w:bottom w:val="none" w:sz="0" w:space="0" w:color="auto"/>
            <w:right w:val="none" w:sz="0" w:space="0" w:color="auto"/>
          </w:divBdr>
        </w:div>
        <w:div w:id="1169442816">
          <w:marLeft w:val="0"/>
          <w:marRight w:val="0"/>
          <w:marTop w:val="0"/>
          <w:marBottom w:val="0"/>
          <w:divBdr>
            <w:top w:val="none" w:sz="0" w:space="0" w:color="auto"/>
            <w:left w:val="none" w:sz="0" w:space="0" w:color="auto"/>
            <w:bottom w:val="none" w:sz="0" w:space="0" w:color="auto"/>
            <w:right w:val="none" w:sz="0" w:space="0" w:color="auto"/>
          </w:divBdr>
        </w:div>
        <w:div w:id="1217082304">
          <w:marLeft w:val="0"/>
          <w:marRight w:val="0"/>
          <w:marTop w:val="0"/>
          <w:marBottom w:val="0"/>
          <w:divBdr>
            <w:top w:val="none" w:sz="0" w:space="0" w:color="auto"/>
            <w:left w:val="none" w:sz="0" w:space="0" w:color="auto"/>
            <w:bottom w:val="none" w:sz="0" w:space="0" w:color="auto"/>
            <w:right w:val="none" w:sz="0" w:space="0" w:color="auto"/>
          </w:divBdr>
        </w:div>
        <w:div w:id="1400128638">
          <w:marLeft w:val="0"/>
          <w:marRight w:val="0"/>
          <w:marTop w:val="0"/>
          <w:marBottom w:val="0"/>
          <w:divBdr>
            <w:top w:val="none" w:sz="0" w:space="0" w:color="auto"/>
            <w:left w:val="none" w:sz="0" w:space="0" w:color="auto"/>
            <w:bottom w:val="none" w:sz="0" w:space="0" w:color="auto"/>
            <w:right w:val="none" w:sz="0" w:space="0" w:color="auto"/>
          </w:divBdr>
        </w:div>
        <w:div w:id="1406218418">
          <w:marLeft w:val="0"/>
          <w:marRight w:val="0"/>
          <w:marTop w:val="0"/>
          <w:marBottom w:val="0"/>
          <w:divBdr>
            <w:top w:val="none" w:sz="0" w:space="0" w:color="auto"/>
            <w:left w:val="none" w:sz="0" w:space="0" w:color="auto"/>
            <w:bottom w:val="none" w:sz="0" w:space="0" w:color="auto"/>
            <w:right w:val="none" w:sz="0" w:space="0" w:color="auto"/>
          </w:divBdr>
        </w:div>
        <w:div w:id="1596135568">
          <w:marLeft w:val="0"/>
          <w:marRight w:val="0"/>
          <w:marTop w:val="0"/>
          <w:marBottom w:val="0"/>
          <w:divBdr>
            <w:top w:val="none" w:sz="0" w:space="0" w:color="auto"/>
            <w:left w:val="none" w:sz="0" w:space="0" w:color="auto"/>
            <w:bottom w:val="none" w:sz="0" w:space="0" w:color="auto"/>
            <w:right w:val="none" w:sz="0" w:space="0" w:color="auto"/>
          </w:divBdr>
        </w:div>
        <w:div w:id="1659337714">
          <w:marLeft w:val="0"/>
          <w:marRight w:val="0"/>
          <w:marTop w:val="0"/>
          <w:marBottom w:val="0"/>
          <w:divBdr>
            <w:top w:val="none" w:sz="0" w:space="0" w:color="auto"/>
            <w:left w:val="none" w:sz="0" w:space="0" w:color="auto"/>
            <w:bottom w:val="none" w:sz="0" w:space="0" w:color="auto"/>
            <w:right w:val="none" w:sz="0" w:space="0" w:color="auto"/>
          </w:divBdr>
        </w:div>
        <w:div w:id="1735617118">
          <w:marLeft w:val="0"/>
          <w:marRight w:val="0"/>
          <w:marTop w:val="0"/>
          <w:marBottom w:val="0"/>
          <w:divBdr>
            <w:top w:val="none" w:sz="0" w:space="0" w:color="auto"/>
            <w:left w:val="none" w:sz="0" w:space="0" w:color="auto"/>
            <w:bottom w:val="none" w:sz="0" w:space="0" w:color="auto"/>
            <w:right w:val="none" w:sz="0" w:space="0" w:color="auto"/>
          </w:divBdr>
          <w:divsChild>
            <w:div w:id="580213525">
              <w:marLeft w:val="-75"/>
              <w:marRight w:val="0"/>
              <w:marTop w:val="30"/>
              <w:marBottom w:val="30"/>
              <w:divBdr>
                <w:top w:val="none" w:sz="0" w:space="0" w:color="auto"/>
                <w:left w:val="none" w:sz="0" w:space="0" w:color="auto"/>
                <w:bottom w:val="none" w:sz="0" w:space="0" w:color="auto"/>
                <w:right w:val="none" w:sz="0" w:space="0" w:color="auto"/>
              </w:divBdr>
              <w:divsChild>
                <w:div w:id="101539577">
                  <w:marLeft w:val="0"/>
                  <w:marRight w:val="0"/>
                  <w:marTop w:val="0"/>
                  <w:marBottom w:val="0"/>
                  <w:divBdr>
                    <w:top w:val="none" w:sz="0" w:space="0" w:color="auto"/>
                    <w:left w:val="none" w:sz="0" w:space="0" w:color="auto"/>
                    <w:bottom w:val="none" w:sz="0" w:space="0" w:color="auto"/>
                    <w:right w:val="none" w:sz="0" w:space="0" w:color="auto"/>
                  </w:divBdr>
                  <w:divsChild>
                    <w:div w:id="1141196054">
                      <w:marLeft w:val="0"/>
                      <w:marRight w:val="0"/>
                      <w:marTop w:val="0"/>
                      <w:marBottom w:val="0"/>
                      <w:divBdr>
                        <w:top w:val="none" w:sz="0" w:space="0" w:color="auto"/>
                        <w:left w:val="none" w:sz="0" w:space="0" w:color="auto"/>
                        <w:bottom w:val="none" w:sz="0" w:space="0" w:color="auto"/>
                        <w:right w:val="none" w:sz="0" w:space="0" w:color="auto"/>
                      </w:divBdr>
                    </w:div>
                  </w:divsChild>
                </w:div>
                <w:div w:id="199513316">
                  <w:marLeft w:val="0"/>
                  <w:marRight w:val="0"/>
                  <w:marTop w:val="0"/>
                  <w:marBottom w:val="0"/>
                  <w:divBdr>
                    <w:top w:val="none" w:sz="0" w:space="0" w:color="auto"/>
                    <w:left w:val="none" w:sz="0" w:space="0" w:color="auto"/>
                    <w:bottom w:val="none" w:sz="0" w:space="0" w:color="auto"/>
                    <w:right w:val="none" w:sz="0" w:space="0" w:color="auto"/>
                  </w:divBdr>
                  <w:divsChild>
                    <w:div w:id="1400908006">
                      <w:marLeft w:val="0"/>
                      <w:marRight w:val="0"/>
                      <w:marTop w:val="0"/>
                      <w:marBottom w:val="0"/>
                      <w:divBdr>
                        <w:top w:val="none" w:sz="0" w:space="0" w:color="auto"/>
                        <w:left w:val="none" w:sz="0" w:space="0" w:color="auto"/>
                        <w:bottom w:val="none" w:sz="0" w:space="0" w:color="auto"/>
                        <w:right w:val="none" w:sz="0" w:space="0" w:color="auto"/>
                      </w:divBdr>
                    </w:div>
                  </w:divsChild>
                </w:div>
                <w:div w:id="291405661">
                  <w:marLeft w:val="0"/>
                  <w:marRight w:val="0"/>
                  <w:marTop w:val="0"/>
                  <w:marBottom w:val="0"/>
                  <w:divBdr>
                    <w:top w:val="none" w:sz="0" w:space="0" w:color="auto"/>
                    <w:left w:val="none" w:sz="0" w:space="0" w:color="auto"/>
                    <w:bottom w:val="none" w:sz="0" w:space="0" w:color="auto"/>
                    <w:right w:val="none" w:sz="0" w:space="0" w:color="auto"/>
                  </w:divBdr>
                  <w:divsChild>
                    <w:div w:id="948703097">
                      <w:marLeft w:val="0"/>
                      <w:marRight w:val="0"/>
                      <w:marTop w:val="0"/>
                      <w:marBottom w:val="0"/>
                      <w:divBdr>
                        <w:top w:val="none" w:sz="0" w:space="0" w:color="auto"/>
                        <w:left w:val="none" w:sz="0" w:space="0" w:color="auto"/>
                        <w:bottom w:val="none" w:sz="0" w:space="0" w:color="auto"/>
                        <w:right w:val="none" w:sz="0" w:space="0" w:color="auto"/>
                      </w:divBdr>
                    </w:div>
                  </w:divsChild>
                </w:div>
                <w:div w:id="396585856">
                  <w:marLeft w:val="0"/>
                  <w:marRight w:val="0"/>
                  <w:marTop w:val="0"/>
                  <w:marBottom w:val="0"/>
                  <w:divBdr>
                    <w:top w:val="none" w:sz="0" w:space="0" w:color="auto"/>
                    <w:left w:val="none" w:sz="0" w:space="0" w:color="auto"/>
                    <w:bottom w:val="none" w:sz="0" w:space="0" w:color="auto"/>
                    <w:right w:val="none" w:sz="0" w:space="0" w:color="auto"/>
                  </w:divBdr>
                  <w:divsChild>
                    <w:div w:id="102380305">
                      <w:marLeft w:val="0"/>
                      <w:marRight w:val="0"/>
                      <w:marTop w:val="0"/>
                      <w:marBottom w:val="0"/>
                      <w:divBdr>
                        <w:top w:val="none" w:sz="0" w:space="0" w:color="auto"/>
                        <w:left w:val="none" w:sz="0" w:space="0" w:color="auto"/>
                        <w:bottom w:val="none" w:sz="0" w:space="0" w:color="auto"/>
                        <w:right w:val="none" w:sz="0" w:space="0" w:color="auto"/>
                      </w:divBdr>
                    </w:div>
                  </w:divsChild>
                </w:div>
                <w:div w:id="415174745">
                  <w:marLeft w:val="0"/>
                  <w:marRight w:val="0"/>
                  <w:marTop w:val="0"/>
                  <w:marBottom w:val="0"/>
                  <w:divBdr>
                    <w:top w:val="none" w:sz="0" w:space="0" w:color="auto"/>
                    <w:left w:val="none" w:sz="0" w:space="0" w:color="auto"/>
                    <w:bottom w:val="none" w:sz="0" w:space="0" w:color="auto"/>
                    <w:right w:val="none" w:sz="0" w:space="0" w:color="auto"/>
                  </w:divBdr>
                  <w:divsChild>
                    <w:div w:id="890580469">
                      <w:marLeft w:val="0"/>
                      <w:marRight w:val="0"/>
                      <w:marTop w:val="0"/>
                      <w:marBottom w:val="0"/>
                      <w:divBdr>
                        <w:top w:val="none" w:sz="0" w:space="0" w:color="auto"/>
                        <w:left w:val="none" w:sz="0" w:space="0" w:color="auto"/>
                        <w:bottom w:val="none" w:sz="0" w:space="0" w:color="auto"/>
                        <w:right w:val="none" w:sz="0" w:space="0" w:color="auto"/>
                      </w:divBdr>
                    </w:div>
                  </w:divsChild>
                </w:div>
                <w:div w:id="577590825">
                  <w:marLeft w:val="0"/>
                  <w:marRight w:val="0"/>
                  <w:marTop w:val="0"/>
                  <w:marBottom w:val="0"/>
                  <w:divBdr>
                    <w:top w:val="none" w:sz="0" w:space="0" w:color="auto"/>
                    <w:left w:val="none" w:sz="0" w:space="0" w:color="auto"/>
                    <w:bottom w:val="none" w:sz="0" w:space="0" w:color="auto"/>
                    <w:right w:val="none" w:sz="0" w:space="0" w:color="auto"/>
                  </w:divBdr>
                  <w:divsChild>
                    <w:div w:id="538511878">
                      <w:marLeft w:val="0"/>
                      <w:marRight w:val="0"/>
                      <w:marTop w:val="0"/>
                      <w:marBottom w:val="0"/>
                      <w:divBdr>
                        <w:top w:val="none" w:sz="0" w:space="0" w:color="auto"/>
                        <w:left w:val="none" w:sz="0" w:space="0" w:color="auto"/>
                        <w:bottom w:val="none" w:sz="0" w:space="0" w:color="auto"/>
                        <w:right w:val="none" w:sz="0" w:space="0" w:color="auto"/>
                      </w:divBdr>
                    </w:div>
                  </w:divsChild>
                </w:div>
                <w:div w:id="672412943">
                  <w:marLeft w:val="0"/>
                  <w:marRight w:val="0"/>
                  <w:marTop w:val="0"/>
                  <w:marBottom w:val="0"/>
                  <w:divBdr>
                    <w:top w:val="none" w:sz="0" w:space="0" w:color="auto"/>
                    <w:left w:val="none" w:sz="0" w:space="0" w:color="auto"/>
                    <w:bottom w:val="none" w:sz="0" w:space="0" w:color="auto"/>
                    <w:right w:val="none" w:sz="0" w:space="0" w:color="auto"/>
                  </w:divBdr>
                  <w:divsChild>
                    <w:div w:id="1140926184">
                      <w:marLeft w:val="0"/>
                      <w:marRight w:val="0"/>
                      <w:marTop w:val="0"/>
                      <w:marBottom w:val="0"/>
                      <w:divBdr>
                        <w:top w:val="none" w:sz="0" w:space="0" w:color="auto"/>
                        <w:left w:val="none" w:sz="0" w:space="0" w:color="auto"/>
                        <w:bottom w:val="none" w:sz="0" w:space="0" w:color="auto"/>
                        <w:right w:val="none" w:sz="0" w:space="0" w:color="auto"/>
                      </w:divBdr>
                    </w:div>
                  </w:divsChild>
                </w:div>
                <w:div w:id="847790147">
                  <w:marLeft w:val="0"/>
                  <w:marRight w:val="0"/>
                  <w:marTop w:val="0"/>
                  <w:marBottom w:val="0"/>
                  <w:divBdr>
                    <w:top w:val="none" w:sz="0" w:space="0" w:color="auto"/>
                    <w:left w:val="none" w:sz="0" w:space="0" w:color="auto"/>
                    <w:bottom w:val="none" w:sz="0" w:space="0" w:color="auto"/>
                    <w:right w:val="none" w:sz="0" w:space="0" w:color="auto"/>
                  </w:divBdr>
                  <w:divsChild>
                    <w:div w:id="1756199108">
                      <w:marLeft w:val="0"/>
                      <w:marRight w:val="0"/>
                      <w:marTop w:val="0"/>
                      <w:marBottom w:val="0"/>
                      <w:divBdr>
                        <w:top w:val="none" w:sz="0" w:space="0" w:color="auto"/>
                        <w:left w:val="none" w:sz="0" w:space="0" w:color="auto"/>
                        <w:bottom w:val="none" w:sz="0" w:space="0" w:color="auto"/>
                        <w:right w:val="none" w:sz="0" w:space="0" w:color="auto"/>
                      </w:divBdr>
                    </w:div>
                  </w:divsChild>
                </w:div>
                <w:div w:id="850948199">
                  <w:marLeft w:val="0"/>
                  <w:marRight w:val="0"/>
                  <w:marTop w:val="0"/>
                  <w:marBottom w:val="0"/>
                  <w:divBdr>
                    <w:top w:val="none" w:sz="0" w:space="0" w:color="auto"/>
                    <w:left w:val="none" w:sz="0" w:space="0" w:color="auto"/>
                    <w:bottom w:val="none" w:sz="0" w:space="0" w:color="auto"/>
                    <w:right w:val="none" w:sz="0" w:space="0" w:color="auto"/>
                  </w:divBdr>
                  <w:divsChild>
                    <w:div w:id="683170647">
                      <w:marLeft w:val="0"/>
                      <w:marRight w:val="0"/>
                      <w:marTop w:val="0"/>
                      <w:marBottom w:val="0"/>
                      <w:divBdr>
                        <w:top w:val="none" w:sz="0" w:space="0" w:color="auto"/>
                        <w:left w:val="none" w:sz="0" w:space="0" w:color="auto"/>
                        <w:bottom w:val="none" w:sz="0" w:space="0" w:color="auto"/>
                        <w:right w:val="none" w:sz="0" w:space="0" w:color="auto"/>
                      </w:divBdr>
                    </w:div>
                  </w:divsChild>
                </w:div>
                <w:div w:id="855459841">
                  <w:marLeft w:val="0"/>
                  <w:marRight w:val="0"/>
                  <w:marTop w:val="0"/>
                  <w:marBottom w:val="0"/>
                  <w:divBdr>
                    <w:top w:val="none" w:sz="0" w:space="0" w:color="auto"/>
                    <w:left w:val="none" w:sz="0" w:space="0" w:color="auto"/>
                    <w:bottom w:val="none" w:sz="0" w:space="0" w:color="auto"/>
                    <w:right w:val="none" w:sz="0" w:space="0" w:color="auto"/>
                  </w:divBdr>
                  <w:divsChild>
                    <w:div w:id="1539855777">
                      <w:marLeft w:val="0"/>
                      <w:marRight w:val="0"/>
                      <w:marTop w:val="0"/>
                      <w:marBottom w:val="0"/>
                      <w:divBdr>
                        <w:top w:val="none" w:sz="0" w:space="0" w:color="auto"/>
                        <w:left w:val="none" w:sz="0" w:space="0" w:color="auto"/>
                        <w:bottom w:val="none" w:sz="0" w:space="0" w:color="auto"/>
                        <w:right w:val="none" w:sz="0" w:space="0" w:color="auto"/>
                      </w:divBdr>
                    </w:div>
                  </w:divsChild>
                </w:div>
                <w:div w:id="957226114">
                  <w:marLeft w:val="0"/>
                  <w:marRight w:val="0"/>
                  <w:marTop w:val="0"/>
                  <w:marBottom w:val="0"/>
                  <w:divBdr>
                    <w:top w:val="none" w:sz="0" w:space="0" w:color="auto"/>
                    <w:left w:val="none" w:sz="0" w:space="0" w:color="auto"/>
                    <w:bottom w:val="none" w:sz="0" w:space="0" w:color="auto"/>
                    <w:right w:val="none" w:sz="0" w:space="0" w:color="auto"/>
                  </w:divBdr>
                  <w:divsChild>
                    <w:div w:id="1897545457">
                      <w:marLeft w:val="0"/>
                      <w:marRight w:val="0"/>
                      <w:marTop w:val="0"/>
                      <w:marBottom w:val="0"/>
                      <w:divBdr>
                        <w:top w:val="none" w:sz="0" w:space="0" w:color="auto"/>
                        <w:left w:val="none" w:sz="0" w:space="0" w:color="auto"/>
                        <w:bottom w:val="none" w:sz="0" w:space="0" w:color="auto"/>
                        <w:right w:val="none" w:sz="0" w:space="0" w:color="auto"/>
                      </w:divBdr>
                    </w:div>
                  </w:divsChild>
                </w:div>
                <w:div w:id="966280343">
                  <w:marLeft w:val="0"/>
                  <w:marRight w:val="0"/>
                  <w:marTop w:val="0"/>
                  <w:marBottom w:val="0"/>
                  <w:divBdr>
                    <w:top w:val="none" w:sz="0" w:space="0" w:color="auto"/>
                    <w:left w:val="none" w:sz="0" w:space="0" w:color="auto"/>
                    <w:bottom w:val="none" w:sz="0" w:space="0" w:color="auto"/>
                    <w:right w:val="none" w:sz="0" w:space="0" w:color="auto"/>
                  </w:divBdr>
                  <w:divsChild>
                    <w:div w:id="739451307">
                      <w:marLeft w:val="0"/>
                      <w:marRight w:val="0"/>
                      <w:marTop w:val="0"/>
                      <w:marBottom w:val="0"/>
                      <w:divBdr>
                        <w:top w:val="none" w:sz="0" w:space="0" w:color="auto"/>
                        <w:left w:val="none" w:sz="0" w:space="0" w:color="auto"/>
                        <w:bottom w:val="none" w:sz="0" w:space="0" w:color="auto"/>
                        <w:right w:val="none" w:sz="0" w:space="0" w:color="auto"/>
                      </w:divBdr>
                    </w:div>
                  </w:divsChild>
                </w:div>
                <w:div w:id="1060641081">
                  <w:marLeft w:val="0"/>
                  <w:marRight w:val="0"/>
                  <w:marTop w:val="0"/>
                  <w:marBottom w:val="0"/>
                  <w:divBdr>
                    <w:top w:val="none" w:sz="0" w:space="0" w:color="auto"/>
                    <w:left w:val="none" w:sz="0" w:space="0" w:color="auto"/>
                    <w:bottom w:val="none" w:sz="0" w:space="0" w:color="auto"/>
                    <w:right w:val="none" w:sz="0" w:space="0" w:color="auto"/>
                  </w:divBdr>
                  <w:divsChild>
                    <w:div w:id="2052339751">
                      <w:marLeft w:val="0"/>
                      <w:marRight w:val="0"/>
                      <w:marTop w:val="0"/>
                      <w:marBottom w:val="0"/>
                      <w:divBdr>
                        <w:top w:val="none" w:sz="0" w:space="0" w:color="auto"/>
                        <w:left w:val="none" w:sz="0" w:space="0" w:color="auto"/>
                        <w:bottom w:val="none" w:sz="0" w:space="0" w:color="auto"/>
                        <w:right w:val="none" w:sz="0" w:space="0" w:color="auto"/>
                      </w:divBdr>
                    </w:div>
                  </w:divsChild>
                </w:div>
                <w:div w:id="1095244597">
                  <w:marLeft w:val="0"/>
                  <w:marRight w:val="0"/>
                  <w:marTop w:val="0"/>
                  <w:marBottom w:val="0"/>
                  <w:divBdr>
                    <w:top w:val="none" w:sz="0" w:space="0" w:color="auto"/>
                    <w:left w:val="none" w:sz="0" w:space="0" w:color="auto"/>
                    <w:bottom w:val="none" w:sz="0" w:space="0" w:color="auto"/>
                    <w:right w:val="none" w:sz="0" w:space="0" w:color="auto"/>
                  </w:divBdr>
                  <w:divsChild>
                    <w:div w:id="304354430">
                      <w:marLeft w:val="0"/>
                      <w:marRight w:val="0"/>
                      <w:marTop w:val="0"/>
                      <w:marBottom w:val="0"/>
                      <w:divBdr>
                        <w:top w:val="none" w:sz="0" w:space="0" w:color="auto"/>
                        <w:left w:val="none" w:sz="0" w:space="0" w:color="auto"/>
                        <w:bottom w:val="none" w:sz="0" w:space="0" w:color="auto"/>
                        <w:right w:val="none" w:sz="0" w:space="0" w:color="auto"/>
                      </w:divBdr>
                    </w:div>
                  </w:divsChild>
                </w:div>
                <w:div w:id="1141383488">
                  <w:marLeft w:val="0"/>
                  <w:marRight w:val="0"/>
                  <w:marTop w:val="0"/>
                  <w:marBottom w:val="0"/>
                  <w:divBdr>
                    <w:top w:val="none" w:sz="0" w:space="0" w:color="auto"/>
                    <w:left w:val="none" w:sz="0" w:space="0" w:color="auto"/>
                    <w:bottom w:val="none" w:sz="0" w:space="0" w:color="auto"/>
                    <w:right w:val="none" w:sz="0" w:space="0" w:color="auto"/>
                  </w:divBdr>
                  <w:divsChild>
                    <w:div w:id="564147599">
                      <w:marLeft w:val="0"/>
                      <w:marRight w:val="0"/>
                      <w:marTop w:val="0"/>
                      <w:marBottom w:val="0"/>
                      <w:divBdr>
                        <w:top w:val="none" w:sz="0" w:space="0" w:color="auto"/>
                        <w:left w:val="none" w:sz="0" w:space="0" w:color="auto"/>
                        <w:bottom w:val="none" w:sz="0" w:space="0" w:color="auto"/>
                        <w:right w:val="none" w:sz="0" w:space="0" w:color="auto"/>
                      </w:divBdr>
                    </w:div>
                  </w:divsChild>
                </w:div>
                <w:div w:id="1673605471">
                  <w:marLeft w:val="0"/>
                  <w:marRight w:val="0"/>
                  <w:marTop w:val="0"/>
                  <w:marBottom w:val="0"/>
                  <w:divBdr>
                    <w:top w:val="none" w:sz="0" w:space="0" w:color="auto"/>
                    <w:left w:val="none" w:sz="0" w:space="0" w:color="auto"/>
                    <w:bottom w:val="none" w:sz="0" w:space="0" w:color="auto"/>
                    <w:right w:val="none" w:sz="0" w:space="0" w:color="auto"/>
                  </w:divBdr>
                  <w:divsChild>
                    <w:div w:id="872301462">
                      <w:marLeft w:val="0"/>
                      <w:marRight w:val="0"/>
                      <w:marTop w:val="0"/>
                      <w:marBottom w:val="0"/>
                      <w:divBdr>
                        <w:top w:val="none" w:sz="0" w:space="0" w:color="auto"/>
                        <w:left w:val="none" w:sz="0" w:space="0" w:color="auto"/>
                        <w:bottom w:val="none" w:sz="0" w:space="0" w:color="auto"/>
                        <w:right w:val="none" w:sz="0" w:space="0" w:color="auto"/>
                      </w:divBdr>
                    </w:div>
                  </w:divsChild>
                </w:div>
                <w:div w:id="1710297083">
                  <w:marLeft w:val="0"/>
                  <w:marRight w:val="0"/>
                  <w:marTop w:val="0"/>
                  <w:marBottom w:val="0"/>
                  <w:divBdr>
                    <w:top w:val="none" w:sz="0" w:space="0" w:color="auto"/>
                    <w:left w:val="none" w:sz="0" w:space="0" w:color="auto"/>
                    <w:bottom w:val="none" w:sz="0" w:space="0" w:color="auto"/>
                    <w:right w:val="none" w:sz="0" w:space="0" w:color="auto"/>
                  </w:divBdr>
                  <w:divsChild>
                    <w:div w:id="1198935275">
                      <w:marLeft w:val="0"/>
                      <w:marRight w:val="0"/>
                      <w:marTop w:val="0"/>
                      <w:marBottom w:val="0"/>
                      <w:divBdr>
                        <w:top w:val="none" w:sz="0" w:space="0" w:color="auto"/>
                        <w:left w:val="none" w:sz="0" w:space="0" w:color="auto"/>
                        <w:bottom w:val="none" w:sz="0" w:space="0" w:color="auto"/>
                        <w:right w:val="none" w:sz="0" w:space="0" w:color="auto"/>
                      </w:divBdr>
                    </w:div>
                  </w:divsChild>
                </w:div>
                <w:div w:id="1796559489">
                  <w:marLeft w:val="0"/>
                  <w:marRight w:val="0"/>
                  <w:marTop w:val="0"/>
                  <w:marBottom w:val="0"/>
                  <w:divBdr>
                    <w:top w:val="none" w:sz="0" w:space="0" w:color="auto"/>
                    <w:left w:val="none" w:sz="0" w:space="0" w:color="auto"/>
                    <w:bottom w:val="none" w:sz="0" w:space="0" w:color="auto"/>
                    <w:right w:val="none" w:sz="0" w:space="0" w:color="auto"/>
                  </w:divBdr>
                  <w:divsChild>
                    <w:div w:id="1250237782">
                      <w:marLeft w:val="0"/>
                      <w:marRight w:val="0"/>
                      <w:marTop w:val="0"/>
                      <w:marBottom w:val="0"/>
                      <w:divBdr>
                        <w:top w:val="none" w:sz="0" w:space="0" w:color="auto"/>
                        <w:left w:val="none" w:sz="0" w:space="0" w:color="auto"/>
                        <w:bottom w:val="none" w:sz="0" w:space="0" w:color="auto"/>
                        <w:right w:val="none" w:sz="0" w:space="0" w:color="auto"/>
                      </w:divBdr>
                    </w:div>
                  </w:divsChild>
                </w:div>
                <w:div w:id="1915359237">
                  <w:marLeft w:val="0"/>
                  <w:marRight w:val="0"/>
                  <w:marTop w:val="0"/>
                  <w:marBottom w:val="0"/>
                  <w:divBdr>
                    <w:top w:val="none" w:sz="0" w:space="0" w:color="auto"/>
                    <w:left w:val="none" w:sz="0" w:space="0" w:color="auto"/>
                    <w:bottom w:val="none" w:sz="0" w:space="0" w:color="auto"/>
                    <w:right w:val="none" w:sz="0" w:space="0" w:color="auto"/>
                  </w:divBdr>
                  <w:divsChild>
                    <w:div w:id="370225161">
                      <w:marLeft w:val="0"/>
                      <w:marRight w:val="0"/>
                      <w:marTop w:val="0"/>
                      <w:marBottom w:val="0"/>
                      <w:divBdr>
                        <w:top w:val="none" w:sz="0" w:space="0" w:color="auto"/>
                        <w:left w:val="none" w:sz="0" w:space="0" w:color="auto"/>
                        <w:bottom w:val="none" w:sz="0" w:space="0" w:color="auto"/>
                        <w:right w:val="none" w:sz="0" w:space="0" w:color="auto"/>
                      </w:divBdr>
                    </w:div>
                  </w:divsChild>
                </w:div>
                <w:div w:id="1937010235">
                  <w:marLeft w:val="0"/>
                  <w:marRight w:val="0"/>
                  <w:marTop w:val="0"/>
                  <w:marBottom w:val="0"/>
                  <w:divBdr>
                    <w:top w:val="none" w:sz="0" w:space="0" w:color="auto"/>
                    <w:left w:val="none" w:sz="0" w:space="0" w:color="auto"/>
                    <w:bottom w:val="none" w:sz="0" w:space="0" w:color="auto"/>
                    <w:right w:val="none" w:sz="0" w:space="0" w:color="auto"/>
                  </w:divBdr>
                  <w:divsChild>
                    <w:div w:id="284115802">
                      <w:marLeft w:val="0"/>
                      <w:marRight w:val="0"/>
                      <w:marTop w:val="0"/>
                      <w:marBottom w:val="0"/>
                      <w:divBdr>
                        <w:top w:val="none" w:sz="0" w:space="0" w:color="auto"/>
                        <w:left w:val="none" w:sz="0" w:space="0" w:color="auto"/>
                        <w:bottom w:val="none" w:sz="0" w:space="0" w:color="auto"/>
                        <w:right w:val="none" w:sz="0" w:space="0" w:color="auto"/>
                      </w:divBdr>
                    </w:div>
                  </w:divsChild>
                </w:div>
                <w:div w:id="1955794647">
                  <w:marLeft w:val="0"/>
                  <w:marRight w:val="0"/>
                  <w:marTop w:val="0"/>
                  <w:marBottom w:val="0"/>
                  <w:divBdr>
                    <w:top w:val="none" w:sz="0" w:space="0" w:color="auto"/>
                    <w:left w:val="none" w:sz="0" w:space="0" w:color="auto"/>
                    <w:bottom w:val="none" w:sz="0" w:space="0" w:color="auto"/>
                    <w:right w:val="none" w:sz="0" w:space="0" w:color="auto"/>
                  </w:divBdr>
                  <w:divsChild>
                    <w:div w:id="449591600">
                      <w:marLeft w:val="0"/>
                      <w:marRight w:val="0"/>
                      <w:marTop w:val="0"/>
                      <w:marBottom w:val="0"/>
                      <w:divBdr>
                        <w:top w:val="none" w:sz="0" w:space="0" w:color="auto"/>
                        <w:left w:val="none" w:sz="0" w:space="0" w:color="auto"/>
                        <w:bottom w:val="none" w:sz="0" w:space="0" w:color="auto"/>
                        <w:right w:val="none" w:sz="0" w:space="0" w:color="auto"/>
                      </w:divBdr>
                    </w:div>
                  </w:divsChild>
                </w:div>
                <w:div w:id="1998879503">
                  <w:marLeft w:val="0"/>
                  <w:marRight w:val="0"/>
                  <w:marTop w:val="0"/>
                  <w:marBottom w:val="0"/>
                  <w:divBdr>
                    <w:top w:val="none" w:sz="0" w:space="0" w:color="auto"/>
                    <w:left w:val="none" w:sz="0" w:space="0" w:color="auto"/>
                    <w:bottom w:val="none" w:sz="0" w:space="0" w:color="auto"/>
                    <w:right w:val="none" w:sz="0" w:space="0" w:color="auto"/>
                  </w:divBdr>
                  <w:divsChild>
                    <w:div w:id="923802585">
                      <w:marLeft w:val="0"/>
                      <w:marRight w:val="0"/>
                      <w:marTop w:val="0"/>
                      <w:marBottom w:val="0"/>
                      <w:divBdr>
                        <w:top w:val="none" w:sz="0" w:space="0" w:color="auto"/>
                        <w:left w:val="none" w:sz="0" w:space="0" w:color="auto"/>
                        <w:bottom w:val="none" w:sz="0" w:space="0" w:color="auto"/>
                        <w:right w:val="none" w:sz="0" w:space="0" w:color="auto"/>
                      </w:divBdr>
                    </w:div>
                  </w:divsChild>
                </w:div>
                <w:div w:id="2042051641">
                  <w:marLeft w:val="0"/>
                  <w:marRight w:val="0"/>
                  <w:marTop w:val="0"/>
                  <w:marBottom w:val="0"/>
                  <w:divBdr>
                    <w:top w:val="none" w:sz="0" w:space="0" w:color="auto"/>
                    <w:left w:val="none" w:sz="0" w:space="0" w:color="auto"/>
                    <w:bottom w:val="none" w:sz="0" w:space="0" w:color="auto"/>
                    <w:right w:val="none" w:sz="0" w:space="0" w:color="auto"/>
                  </w:divBdr>
                  <w:divsChild>
                    <w:div w:id="1413310468">
                      <w:marLeft w:val="0"/>
                      <w:marRight w:val="0"/>
                      <w:marTop w:val="0"/>
                      <w:marBottom w:val="0"/>
                      <w:divBdr>
                        <w:top w:val="none" w:sz="0" w:space="0" w:color="auto"/>
                        <w:left w:val="none" w:sz="0" w:space="0" w:color="auto"/>
                        <w:bottom w:val="none" w:sz="0" w:space="0" w:color="auto"/>
                        <w:right w:val="none" w:sz="0" w:space="0" w:color="auto"/>
                      </w:divBdr>
                    </w:div>
                  </w:divsChild>
                </w:div>
                <w:div w:id="2103336013">
                  <w:marLeft w:val="0"/>
                  <w:marRight w:val="0"/>
                  <w:marTop w:val="0"/>
                  <w:marBottom w:val="0"/>
                  <w:divBdr>
                    <w:top w:val="none" w:sz="0" w:space="0" w:color="auto"/>
                    <w:left w:val="none" w:sz="0" w:space="0" w:color="auto"/>
                    <w:bottom w:val="none" w:sz="0" w:space="0" w:color="auto"/>
                    <w:right w:val="none" w:sz="0" w:space="0" w:color="auto"/>
                  </w:divBdr>
                  <w:divsChild>
                    <w:div w:id="1425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7071">
          <w:marLeft w:val="0"/>
          <w:marRight w:val="0"/>
          <w:marTop w:val="0"/>
          <w:marBottom w:val="0"/>
          <w:divBdr>
            <w:top w:val="none" w:sz="0" w:space="0" w:color="auto"/>
            <w:left w:val="none" w:sz="0" w:space="0" w:color="auto"/>
            <w:bottom w:val="none" w:sz="0" w:space="0" w:color="auto"/>
            <w:right w:val="none" w:sz="0" w:space="0" w:color="auto"/>
          </w:divBdr>
        </w:div>
        <w:div w:id="1904947377">
          <w:marLeft w:val="0"/>
          <w:marRight w:val="0"/>
          <w:marTop w:val="0"/>
          <w:marBottom w:val="0"/>
          <w:divBdr>
            <w:top w:val="none" w:sz="0" w:space="0" w:color="auto"/>
            <w:left w:val="none" w:sz="0" w:space="0" w:color="auto"/>
            <w:bottom w:val="none" w:sz="0" w:space="0" w:color="auto"/>
            <w:right w:val="none" w:sz="0" w:space="0" w:color="auto"/>
          </w:divBdr>
        </w:div>
      </w:divsChild>
    </w:div>
    <w:div w:id="1593394368">
      <w:bodyDiv w:val="1"/>
      <w:marLeft w:val="0"/>
      <w:marRight w:val="0"/>
      <w:marTop w:val="0"/>
      <w:marBottom w:val="0"/>
      <w:divBdr>
        <w:top w:val="none" w:sz="0" w:space="0" w:color="auto"/>
        <w:left w:val="none" w:sz="0" w:space="0" w:color="auto"/>
        <w:bottom w:val="none" w:sz="0" w:space="0" w:color="auto"/>
        <w:right w:val="none" w:sz="0" w:space="0" w:color="auto"/>
      </w:divBdr>
    </w:div>
    <w:div w:id="1728070908">
      <w:bodyDiv w:val="1"/>
      <w:marLeft w:val="0"/>
      <w:marRight w:val="0"/>
      <w:marTop w:val="0"/>
      <w:marBottom w:val="0"/>
      <w:divBdr>
        <w:top w:val="none" w:sz="0" w:space="0" w:color="auto"/>
        <w:left w:val="none" w:sz="0" w:space="0" w:color="auto"/>
        <w:bottom w:val="none" w:sz="0" w:space="0" w:color="auto"/>
        <w:right w:val="none" w:sz="0" w:space="0" w:color="auto"/>
      </w:divBdr>
    </w:div>
    <w:div w:id="1750074914">
      <w:bodyDiv w:val="1"/>
      <w:marLeft w:val="0"/>
      <w:marRight w:val="0"/>
      <w:marTop w:val="0"/>
      <w:marBottom w:val="0"/>
      <w:divBdr>
        <w:top w:val="none" w:sz="0" w:space="0" w:color="auto"/>
        <w:left w:val="none" w:sz="0" w:space="0" w:color="auto"/>
        <w:bottom w:val="none" w:sz="0" w:space="0" w:color="auto"/>
        <w:right w:val="none" w:sz="0" w:space="0" w:color="auto"/>
      </w:divBdr>
    </w:div>
    <w:div w:id="1758751131">
      <w:bodyDiv w:val="1"/>
      <w:marLeft w:val="0"/>
      <w:marRight w:val="0"/>
      <w:marTop w:val="0"/>
      <w:marBottom w:val="0"/>
      <w:divBdr>
        <w:top w:val="none" w:sz="0" w:space="0" w:color="auto"/>
        <w:left w:val="none" w:sz="0" w:space="0" w:color="auto"/>
        <w:bottom w:val="none" w:sz="0" w:space="0" w:color="auto"/>
        <w:right w:val="none" w:sz="0" w:space="0" w:color="auto"/>
      </w:divBdr>
    </w:div>
    <w:div w:id="1764446552">
      <w:bodyDiv w:val="1"/>
      <w:marLeft w:val="0"/>
      <w:marRight w:val="0"/>
      <w:marTop w:val="0"/>
      <w:marBottom w:val="0"/>
      <w:divBdr>
        <w:top w:val="none" w:sz="0" w:space="0" w:color="auto"/>
        <w:left w:val="none" w:sz="0" w:space="0" w:color="auto"/>
        <w:bottom w:val="none" w:sz="0" w:space="0" w:color="auto"/>
        <w:right w:val="none" w:sz="0" w:space="0" w:color="auto"/>
      </w:divBdr>
    </w:div>
    <w:div w:id="1794132173">
      <w:bodyDiv w:val="1"/>
      <w:marLeft w:val="0"/>
      <w:marRight w:val="0"/>
      <w:marTop w:val="0"/>
      <w:marBottom w:val="0"/>
      <w:divBdr>
        <w:top w:val="none" w:sz="0" w:space="0" w:color="auto"/>
        <w:left w:val="none" w:sz="0" w:space="0" w:color="auto"/>
        <w:bottom w:val="none" w:sz="0" w:space="0" w:color="auto"/>
        <w:right w:val="none" w:sz="0" w:space="0" w:color="auto"/>
      </w:divBdr>
      <w:divsChild>
        <w:div w:id="1219123739">
          <w:marLeft w:val="446"/>
          <w:marRight w:val="0"/>
          <w:marTop w:val="0"/>
          <w:marBottom w:val="0"/>
          <w:divBdr>
            <w:top w:val="none" w:sz="0" w:space="0" w:color="auto"/>
            <w:left w:val="none" w:sz="0" w:space="0" w:color="auto"/>
            <w:bottom w:val="none" w:sz="0" w:space="0" w:color="auto"/>
            <w:right w:val="none" w:sz="0" w:space="0" w:color="auto"/>
          </w:divBdr>
        </w:div>
        <w:div w:id="1225987183">
          <w:marLeft w:val="446"/>
          <w:marRight w:val="0"/>
          <w:marTop w:val="0"/>
          <w:marBottom w:val="0"/>
          <w:divBdr>
            <w:top w:val="none" w:sz="0" w:space="0" w:color="auto"/>
            <w:left w:val="none" w:sz="0" w:space="0" w:color="auto"/>
            <w:bottom w:val="none" w:sz="0" w:space="0" w:color="auto"/>
            <w:right w:val="none" w:sz="0" w:space="0" w:color="auto"/>
          </w:divBdr>
        </w:div>
        <w:div w:id="1714692743">
          <w:marLeft w:val="446"/>
          <w:marRight w:val="0"/>
          <w:marTop w:val="0"/>
          <w:marBottom w:val="0"/>
          <w:divBdr>
            <w:top w:val="none" w:sz="0" w:space="0" w:color="auto"/>
            <w:left w:val="none" w:sz="0" w:space="0" w:color="auto"/>
            <w:bottom w:val="none" w:sz="0" w:space="0" w:color="auto"/>
            <w:right w:val="none" w:sz="0" w:space="0" w:color="auto"/>
          </w:divBdr>
        </w:div>
      </w:divsChild>
    </w:div>
    <w:div w:id="1814760387">
      <w:bodyDiv w:val="1"/>
      <w:marLeft w:val="0"/>
      <w:marRight w:val="0"/>
      <w:marTop w:val="0"/>
      <w:marBottom w:val="0"/>
      <w:divBdr>
        <w:top w:val="none" w:sz="0" w:space="0" w:color="auto"/>
        <w:left w:val="none" w:sz="0" w:space="0" w:color="auto"/>
        <w:bottom w:val="none" w:sz="0" w:space="0" w:color="auto"/>
        <w:right w:val="none" w:sz="0" w:space="0" w:color="auto"/>
      </w:divBdr>
    </w:div>
    <w:div w:id="1850367112">
      <w:bodyDiv w:val="1"/>
      <w:marLeft w:val="0"/>
      <w:marRight w:val="0"/>
      <w:marTop w:val="0"/>
      <w:marBottom w:val="0"/>
      <w:divBdr>
        <w:top w:val="none" w:sz="0" w:space="0" w:color="auto"/>
        <w:left w:val="none" w:sz="0" w:space="0" w:color="auto"/>
        <w:bottom w:val="none" w:sz="0" w:space="0" w:color="auto"/>
        <w:right w:val="none" w:sz="0" w:space="0" w:color="auto"/>
      </w:divBdr>
    </w:div>
    <w:div w:id="1864397664">
      <w:bodyDiv w:val="1"/>
      <w:marLeft w:val="0"/>
      <w:marRight w:val="0"/>
      <w:marTop w:val="0"/>
      <w:marBottom w:val="0"/>
      <w:divBdr>
        <w:top w:val="none" w:sz="0" w:space="0" w:color="auto"/>
        <w:left w:val="none" w:sz="0" w:space="0" w:color="auto"/>
        <w:bottom w:val="none" w:sz="0" w:space="0" w:color="auto"/>
        <w:right w:val="none" w:sz="0" w:space="0" w:color="auto"/>
      </w:divBdr>
      <w:divsChild>
        <w:div w:id="740448885">
          <w:marLeft w:val="1166"/>
          <w:marRight w:val="0"/>
          <w:marTop w:val="0"/>
          <w:marBottom w:val="0"/>
          <w:divBdr>
            <w:top w:val="none" w:sz="0" w:space="0" w:color="auto"/>
            <w:left w:val="none" w:sz="0" w:space="0" w:color="auto"/>
            <w:bottom w:val="none" w:sz="0" w:space="0" w:color="auto"/>
            <w:right w:val="none" w:sz="0" w:space="0" w:color="auto"/>
          </w:divBdr>
        </w:div>
        <w:div w:id="1864978193">
          <w:marLeft w:val="1166"/>
          <w:marRight w:val="0"/>
          <w:marTop w:val="0"/>
          <w:marBottom w:val="0"/>
          <w:divBdr>
            <w:top w:val="none" w:sz="0" w:space="0" w:color="auto"/>
            <w:left w:val="none" w:sz="0" w:space="0" w:color="auto"/>
            <w:bottom w:val="none" w:sz="0" w:space="0" w:color="auto"/>
            <w:right w:val="none" w:sz="0" w:space="0" w:color="auto"/>
          </w:divBdr>
        </w:div>
      </w:divsChild>
    </w:div>
    <w:div w:id="1868448351">
      <w:bodyDiv w:val="1"/>
      <w:marLeft w:val="0"/>
      <w:marRight w:val="0"/>
      <w:marTop w:val="0"/>
      <w:marBottom w:val="0"/>
      <w:divBdr>
        <w:top w:val="none" w:sz="0" w:space="0" w:color="auto"/>
        <w:left w:val="none" w:sz="0" w:space="0" w:color="auto"/>
        <w:bottom w:val="none" w:sz="0" w:space="0" w:color="auto"/>
        <w:right w:val="none" w:sz="0" w:space="0" w:color="auto"/>
      </w:divBdr>
    </w:div>
    <w:div w:id="1887794192">
      <w:bodyDiv w:val="1"/>
      <w:marLeft w:val="0"/>
      <w:marRight w:val="0"/>
      <w:marTop w:val="0"/>
      <w:marBottom w:val="0"/>
      <w:divBdr>
        <w:top w:val="none" w:sz="0" w:space="0" w:color="auto"/>
        <w:left w:val="none" w:sz="0" w:space="0" w:color="auto"/>
        <w:bottom w:val="none" w:sz="0" w:space="0" w:color="auto"/>
        <w:right w:val="none" w:sz="0" w:space="0" w:color="auto"/>
      </w:divBdr>
    </w:div>
    <w:div w:id="1935934699">
      <w:bodyDiv w:val="1"/>
      <w:marLeft w:val="0"/>
      <w:marRight w:val="0"/>
      <w:marTop w:val="0"/>
      <w:marBottom w:val="0"/>
      <w:divBdr>
        <w:top w:val="none" w:sz="0" w:space="0" w:color="auto"/>
        <w:left w:val="none" w:sz="0" w:space="0" w:color="auto"/>
        <w:bottom w:val="none" w:sz="0" w:space="0" w:color="auto"/>
        <w:right w:val="none" w:sz="0" w:space="0" w:color="auto"/>
      </w:divBdr>
      <w:divsChild>
        <w:div w:id="479461835">
          <w:marLeft w:val="446"/>
          <w:marRight w:val="0"/>
          <w:marTop w:val="0"/>
          <w:marBottom w:val="0"/>
          <w:divBdr>
            <w:top w:val="none" w:sz="0" w:space="0" w:color="auto"/>
            <w:left w:val="none" w:sz="0" w:space="0" w:color="auto"/>
            <w:bottom w:val="none" w:sz="0" w:space="0" w:color="auto"/>
            <w:right w:val="none" w:sz="0" w:space="0" w:color="auto"/>
          </w:divBdr>
        </w:div>
        <w:div w:id="915936398">
          <w:marLeft w:val="446"/>
          <w:marRight w:val="0"/>
          <w:marTop w:val="0"/>
          <w:marBottom w:val="0"/>
          <w:divBdr>
            <w:top w:val="none" w:sz="0" w:space="0" w:color="auto"/>
            <w:left w:val="none" w:sz="0" w:space="0" w:color="auto"/>
            <w:bottom w:val="none" w:sz="0" w:space="0" w:color="auto"/>
            <w:right w:val="none" w:sz="0" w:space="0" w:color="auto"/>
          </w:divBdr>
        </w:div>
        <w:div w:id="1043361649">
          <w:marLeft w:val="446"/>
          <w:marRight w:val="0"/>
          <w:marTop w:val="0"/>
          <w:marBottom w:val="0"/>
          <w:divBdr>
            <w:top w:val="none" w:sz="0" w:space="0" w:color="auto"/>
            <w:left w:val="none" w:sz="0" w:space="0" w:color="auto"/>
            <w:bottom w:val="none" w:sz="0" w:space="0" w:color="auto"/>
            <w:right w:val="none" w:sz="0" w:space="0" w:color="auto"/>
          </w:divBdr>
        </w:div>
        <w:div w:id="1514684172">
          <w:marLeft w:val="446"/>
          <w:marRight w:val="0"/>
          <w:marTop w:val="0"/>
          <w:marBottom w:val="0"/>
          <w:divBdr>
            <w:top w:val="none" w:sz="0" w:space="0" w:color="auto"/>
            <w:left w:val="none" w:sz="0" w:space="0" w:color="auto"/>
            <w:bottom w:val="none" w:sz="0" w:space="0" w:color="auto"/>
            <w:right w:val="none" w:sz="0" w:space="0" w:color="auto"/>
          </w:divBdr>
        </w:div>
        <w:div w:id="1674146553">
          <w:marLeft w:val="446"/>
          <w:marRight w:val="0"/>
          <w:marTop w:val="0"/>
          <w:marBottom w:val="0"/>
          <w:divBdr>
            <w:top w:val="none" w:sz="0" w:space="0" w:color="auto"/>
            <w:left w:val="none" w:sz="0" w:space="0" w:color="auto"/>
            <w:bottom w:val="none" w:sz="0" w:space="0" w:color="auto"/>
            <w:right w:val="none" w:sz="0" w:space="0" w:color="auto"/>
          </w:divBdr>
        </w:div>
        <w:div w:id="1764257973">
          <w:marLeft w:val="446"/>
          <w:marRight w:val="0"/>
          <w:marTop w:val="0"/>
          <w:marBottom w:val="0"/>
          <w:divBdr>
            <w:top w:val="none" w:sz="0" w:space="0" w:color="auto"/>
            <w:left w:val="none" w:sz="0" w:space="0" w:color="auto"/>
            <w:bottom w:val="none" w:sz="0" w:space="0" w:color="auto"/>
            <w:right w:val="none" w:sz="0" w:space="0" w:color="auto"/>
          </w:divBdr>
        </w:div>
        <w:div w:id="1812476549">
          <w:marLeft w:val="446"/>
          <w:marRight w:val="0"/>
          <w:marTop w:val="0"/>
          <w:marBottom w:val="0"/>
          <w:divBdr>
            <w:top w:val="none" w:sz="0" w:space="0" w:color="auto"/>
            <w:left w:val="none" w:sz="0" w:space="0" w:color="auto"/>
            <w:bottom w:val="none" w:sz="0" w:space="0" w:color="auto"/>
            <w:right w:val="none" w:sz="0" w:space="0" w:color="auto"/>
          </w:divBdr>
        </w:div>
        <w:div w:id="1835680986">
          <w:marLeft w:val="446"/>
          <w:marRight w:val="0"/>
          <w:marTop w:val="0"/>
          <w:marBottom w:val="0"/>
          <w:divBdr>
            <w:top w:val="none" w:sz="0" w:space="0" w:color="auto"/>
            <w:left w:val="none" w:sz="0" w:space="0" w:color="auto"/>
            <w:bottom w:val="none" w:sz="0" w:space="0" w:color="auto"/>
            <w:right w:val="none" w:sz="0" w:space="0" w:color="auto"/>
          </w:divBdr>
        </w:div>
      </w:divsChild>
    </w:div>
    <w:div w:id="1938444555">
      <w:bodyDiv w:val="1"/>
      <w:marLeft w:val="0"/>
      <w:marRight w:val="0"/>
      <w:marTop w:val="0"/>
      <w:marBottom w:val="0"/>
      <w:divBdr>
        <w:top w:val="none" w:sz="0" w:space="0" w:color="auto"/>
        <w:left w:val="none" w:sz="0" w:space="0" w:color="auto"/>
        <w:bottom w:val="none" w:sz="0" w:space="0" w:color="auto"/>
        <w:right w:val="none" w:sz="0" w:space="0" w:color="auto"/>
      </w:divBdr>
      <w:divsChild>
        <w:div w:id="77337928">
          <w:marLeft w:val="547"/>
          <w:marRight w:val="0"/>
          <w:marTop w:val="0"/>
          <w:marBottom w:val="0"/>
          <w:divBdr>
            <w:top w:val="none" w:sz="0" w:space="0" w:color="auto"/>
            <w:left w:val="none" w:sz="0" w:space="0" w:color="auto"/>
            <w:bottom w:val="none" w:sz="0" w:space="0" w:color="auto"/>
            <w:right w:val="none" w:sz="0" w:space="0" w:color="auto"/>
          </w:divBdr>
        </w:div>
        <w:div w:id="101194324">
          <w:marLeft w:val="547"/>
          <w:marRight w:val="0"/>
          <w:marTop w:val="0"/>
          <w:marBottom w:val="0"/>
          <w:divBdr>
            <w:top w:val="none" w:sz="0" w:space="0" w:color="auto"/>
            <w:left w:val="none" w:sz="0" w:space="0" w:color="auto"/>
            <w:bottom w:val="none" w:sz="0" w:space="0" w:color="auto"/>
            <w:right w:val="none" w:sz="0" w:space="0" w:color="auto"/>
          </w:divBdr>
        </w:div>
        <w:div w:id="144705730">
          <w:marLeft w:val="547"/>
          <w:marRight w:val="0"/>
          <w:marTop w:val="0"/>
          <w:marBottom w:val="0"/>
          <w:divBdr>
            <w:top w:val="none" w:sz="0" w:space="0" w:color="auto"/>
            <w:left w:val="none" w:sz="0" w:space="0" w:color="auto"/>
            <w:bottom w:val="none" w:sz="0" w:space="0" w:color="auto"/>
            <w:right w:val="none" w:sz="0" w:space="0" w:color="auto"/>
          </w:divBdr>
        </w:div>
        <w:div w:id="482695126">
          <w:marLeft w:val="547"/>
          <w:marRight w:val="0"/>
          <w:marTop w:val="0"/>
          <w:marBottom w:val="0"/>
          <w:divBdr>
            <w:top w:val="none" w:sz="0" w:space="0" w:color="auto"/>
            <w:left w:val="none" w:sz="0" w:space="0" w:color="auto"/>
            <w:bottom w:val="none" w:sz="0" w:space="0" w:color="auto"/>
            <w:right w:val="none" w:sz="0" w:space="0" w:color="auto"/>
          </w:divBdr>
        </w:div>
        <w:div w:id="706636173">
          <w:marLeft w:val="547"/>
          <w:marRight w:val="0"/>
          <w:marTop w:val="0"/>
          <w:marBottom w:val="0"/>
          <w:divBdr>
            <w:top w:val="none" w:sz="0" w:space="0" w:color="auto"/>
            <w:left w:val="none" w:sz="0" w:space="0" w:color="auto"/>
            <w:bottom w:val="none" w:sz="0" w:space="0" w:color="auto"/>
            <w:right w:val="none" w:sz="0" w:space="0" w:color="auto"/>
          </w:divBdr>
        </w:div>
        <w:div w:id="1041906192">
          <w:marLeft w:val="547"/>
          <w:marRight w:val="0"/>
          <w:marTop w:val="0"/>
          <w:marBottom w:val="0"/>
          <w:divBdr>
            <w:top w:val="none" w:sz="0" w:space="0" w:color="auto"/>
            <w:left w:val="none" w:sz="0" w:space="0" w:color="auto"/>
            <w:bottom w:val="none" w:sz="0" w:space="0" w:color="auto"/>
            <w:right w:val="none" w:sz="0" w:space="0" w:color="auto"/>
          </w:divBdr>
        </w:div>
        <w:div w:id="1293900719">
          <w:marLeft w:val="547"/>
          <w:marRight w:val="0"/>
          <w:marTop w:val="0"/>
          <w:marBottom w:val="0"/>
          <w:divBdr>
            <w:top w:val="none" w:sz="0" w:space="0" w:color="auto"/>
            <w:left w:val="none" w:sz="0" w:space="0" w:color="auto"/>
            <w:bottom w:val="none" w:sz="0" w:space="0" w:color="auto"/>
            <w:right w:val="none" w:sz="0" w:space="0" w:color="auto"/>
          </w:divBdr>
        </w:div>
        <w:div w:id="1368797738">
          <w:marLeft w:val="547"/>
          <w:marRight w:val="0"/>
          <w:marTop w:val="0"/>
          <w:marBottom w:val="0"/>
          <w:divBdr>
            <w:top w:val="none" w:sz="0" w:space="0" w:color="auto"/>
            <w:left w:val="none" w:sz="0" w:space="0" w:color="auto"/>
            <w:bottom w:val="none" w:sz="0" w:space="0" w:color="auto"/>
            <w:right w:val="none" w:sz="0" w:space="0" w:color="auto"/>
          </w:divBdr>
        </w:div>
        <w:div w:id="1790511656">
          <w:marLeft w:val="547"/>
          <w:marRight w:val="0"/>
          <w:marTop w:val="0"/>
          <w:marBottom w:val="0"/>
          <w:divBdr>
            <w:top w:val="none" w:sz="0" w:space="0" w:color="auto"/>
            <w:left w:val="none" w:sz="0" w:space="0" w:color="auto"/>
            <w:bottom w:val="none" w:sz="0" w:space="0" w:color="auto"/>
            <w:right w:val="none" w:sz="0" w:space="0" w:color="auto"/>
          </w:divBdr>
        </w:div>
        <w:div w:id="1811245390">
          <w:marLeft w:val="547"/>
          <w:marRight w:val="0"/>
          <w:marTop w:val="0"/>
          <w:marBottom w:val="0"/>
          <w:divBdr>
            <w:top w:val="none" w:sz="0" w:space="0" w:color="auto"/>
            <w:left w:val="none" w:sz="0" w:space="0" w:color="auto"/>
            <w:bottom w:val="none" w:sz="0" w:space="0" w:color="auto"/>
            <w:right w:val="none" w:sz="0" w:space="0" w:color="auto"/>
          </w:divBdr>
        </w:div>
        <w:div w:id="1883782178">
          <w:marLeft w:val="547"/>
          <w:marRight w:val="0"/>
          <w:marTop w:val="0"/>
          <w:marBottom w:val="0"/>
          <w:divBdr>
            <w:top w:val="none" w:sz="0" w:space="0" w:color="auto"/>
            <w:left w:val="none" w:sz="0" w:space="0" w:color="auto"/>
            <w:bottom w:val="none" w:sz="0" w:space="0" w:color="auto"/>
            <w:right w:val="none" w:sz="0" w:space="0" w:color="auto"/>
          </w:divBdr>
        </w:div>
        <w:div w:id="1884630762">
          <w:marLeft w:val="547"/>
          <w:marRight w:val="0"/>
          <w:marTop w:val="0"/>
          <w:marBottom w:val="0"/>
          <w:divBdr>
            <w:top w:val="none" w:sz="0" w:space="0" w:color="auto"/>
            <w:left w:val="none" w:sz="0" w:space="0" w:color="auto"/>
            <w:bottom w:val="none" w:sz="0" w:space="0" w:color="auto"/>
            <w:right w:val="none" w:sz="0" w:space="0" w:color="auto"/>
          </w:divBdr>
        </w:div>
      </w:divsChild>
    </w:div>
    <w:div w:id="1944992165">
      <w:bodyDiv w:val="1"/>
      <w:marLeft w:val="0"/>
      <w:marRight w:val="0"/>
      <w:marTop w:val="0"/>
      <w:marBottom w:val="0"/>
      <w:divBdr>
        <w:top w:val="none" w:sz="0" w:space="0" w:color="auto"/>
        <w:left w:val="none" w:sz="0" w:space="0" w:color="auto"/>
        <w:bottom w:val="none" w:sz="0" w:space="0" w:color="auto"/>
        <w:right w:val="none" w:sz="0" w:space="0" w:color="auto"/>
      </w:divBdr>
    </w:div>
    <w:div w:id="1966228365">
      <w:bodyDiv w:val="1"/>
      <w:marLeft w:val="0"/>
      <w:marRight w:val="0"/>
      <w:marTop w:val="0"/>
      <w:marBottom w:val="0"/>
      <w:divBdr>
        <w:top w:val="none" w:sz="0" w:space="0" w:color="auto"/>
        <w:left w:val="none" w:sz="0" w:space="0" w:color="auto"/>
        <w:bottom w:val="none" w:sz="0" w:space="0" w:color="auto"/>
        <w:right w:val="none" w:sz="0" w:space="0" w:color="auto"/>
      </w:divBdr>
    </w:div>
    <w:div w:id="1966350169">
      <w:bodyDiv w:val="1"/>
      <w:marLeft w:val="0"/>
      <w:marRight w:val="0"/>
      <w:marTop w:val="0"/>
      <w:marBottom w:val="0"/>
      <w:divBdr>
        <w:top w:val="none" w:sz="0" w:space="0" w:color="auto"/>
        <w:left w:val="none" w:sz="0" w:space="0" w:color="auto"/>
        <w:bottom w:val="none" w:sz="0" w:space="0" w:color="auto"/>
        <w:right w:val="none" w:sz="0" w:space="0" w:color="auto"/>
      </w:divBdr>
      <w:divsChild>
        <w:div w:id="193232800">
          <w:marLeft w:val="547"/>
          <w:marRight w:val="0"/>
          <w:marTop w:val="0"/>
          <w:marBottom w:val="0"/>
          <w:divBdr>
            <w:top w:val="none" w:sz="0" w:space="0" w:color="auto"/>
            <w:left w:val="none" w:sz="0" w:space="0" w:color="auto"/>
            <w:bottom w:val="none" w:sz="0" w:space="0" w:color="auto"/>
            <w:right w:val="none" w:sz="0" w:space="0" w:color="auto"/>
          </w:divBdr>
        </w:div>
        <w:div w:id="253705463">
          <w:marLeft w:val="547"/>
          <w:marRight w:val="0"/>
          <w:marTop w:val="0"/>
          <w:marBottom w:val="0"/>
          <w:divBdr>
            <w:top w:val="none" w:sz="0" w:space="0" w:color="auto"/>
            <w:left w:val="none" w:sz="0" w:space="0" w:color="auto"/>
            <w:bottom w:val="none" w:sz="0" w:space="0" w:color="auto"/>
            <w:right w:val="none" w:sz="0" w:space="0" w:color="auto"/>
          </w:divBdr>
        </w:div>
        <w:div w:id="353266418">
          <w:marLeft w:val="547"/>
          <w:marRight w:val="0"/>
          <w:marTop w:val="0"/>
          <w:marBottom w:val="0"/>
          <w:divBdr>
            <w:top w:val="none" w:sz="0" w:space="0" w:color="auto"/>
            <w:left w:val="none" w:sz="0" w:space="0" w:color="auto"/>
            <w:bottom w:val="none" w:sz="0" w:space="0" w:color="auto"/>
            <w:right w:val="none" w:sz="0" w:space="0" w:color="auto"/>
          </w:divBdr>
        </w:div>
        <w:div w:id="441195970">
          <w:marLeft w:val="547"/>
          <w:marRight w:val="0"/>
          <w:marTop w:val="0"/>
          <w:marBottom w:val="0"/>
          <w:divBdr>
            <w:top w:val="none" w:sz="0" w:space="0" w:color="auto"/>
            <w:left w:val="none" w:sz="0" w:space="0" w:color="auto"/>
            <w:bottom w:val="none" w:sz="0" w:space="0" w:color="auto"/>
            <w:right w:val="none" w:sz="0" w:space="0" w:color="auto"/>
          </w:divBdr>
        </w:div>
        <w:div w:id="463886854">
          <w:marLeft w:val="547"/>
          <w:marRight w:val="0"/>
          <w:marTop w:val="0"/>
          <w:marBottom w:val="0"/>
          <w:divBdr>
            <w:top w:val="none" w:sz="0" w:space="0" w:color="auto"/>
            <w:left w:val="none" w:sz="0" w:space="0" w:color="auto"/>
            <w:bottom w:val="none" w:sz="0" w:space="0" w:color="auto"/>
            <w:right w:val="none" w:sz="0" w:space="0" w:color="auto"/>
          </w:divBdr>
        </w:div>
        <w:div w:id="835997208">
          <w:marLeft w:val="547"/>
          <w:marRight w:val="0"/>
          <w:marTop w:val="0"/>
          <w:marBottom w:val="0"/>
          <w:divBdr>
            <w:top w:val="none" w:sz="0" w:space="0" w:color="auto"/>
            <w:left w:val="none" w:sz="0" w:space="0" w:color="auto"/>
            <w:bottom w:val="none" w:sz="0" w:space="0" w:color="auto"/>
            <w:right w:val="none" w:sz="0" w:space="0" w:color="auto"/>
          </w:divBdr>
        </w:div>
        <w:div w:id="926959013">
          <w:marLeft w:val="547"/>
          <w:marRight w:val="0"/>
          <w:marTop w:val="0"/>
          <w:marBottom w:val="0"/>
          <w:divBdr>
            <w:top w:val="none" w:sz="0" w:space="0" w:color="auto"/>
            <w:left w:val="none" w:sz="0" w:space="0" w:color="auto"/>
            <w:bottom w:val="none" w:sz="0" w:space="0" w:color="auto"/>
            <w:right w:val="none" w:sz="0" w:space="0" w:color="auto"/>
          </w:divBdr>
        </w:div>
        <w:div w:id="1536192899">
          <w:marLeft w:val="547"/>
          <w:marRight w:val="0"/>
          <w:marTop w:val="0"/>
          <w:marBottom w:val="0"/>
          <w:divBdr>
            <w:top w:val="none" w:sz="0" w:space="0" w:color="auto"/>
            <w:left w:val="none" w:sz="0" w:space="0" w:color="auto"/>
            <w:bottom w:val="none" w:sz="0" w:space="0" w:color="auto"/>
            <w:right w:val="none" w:sz="0" w:space="0" w:color="auto"/>
          </w:divBdr>
        </w:div>
        <w:div w:id="1925647588">
          <w:marLeft w:val="547"/>
          <w:marRight w:val="0"/>
          <w:marTop w:val="0"/>
          <w:marBottom w:val="0"/>
          <w:divBdr>
            <w:top w:val="none" w:sz="0" w:space="0" w:color="auto"/>
            <w:left w:val="none" w:sz="0" w:space="0" w:color="auto"/>
            <w:bottom w:val="none" w:sz="0" w:space="0" w:color="auto"/>
            <w:right w:val="none" w:sz="0" w:space="0" w:color="auto"/>
          </w:divBdr>
        </w:div>
      </w:divsChild>
    </w:div>
    <w:div w:id="1967617129">
      <w:bodyDiv w:val="1"/>
      <w:marLeft w:val="0"/>
      <w:marRight w:val="0"/>
      <w:marTop w:val="0"/>
      <w:marBottom w:val="0"/>
      <w:divBdr>
        <w:top w:val="none" w:sz="0" w:space="0" w:color="auto"/>
        <w:left w:val="none" w:sz="0" w:space="0" w:color="auto"/>
        <w:bottom w:val="none" w:sz="0" w:space="0" w:color="auto"/>
        <w:right w:val="none" w:sz="0" w:space="0" w:color="auto"/>
      </w:divBdr>
    </w:div>
    <w:div w:id="1990746172">
      <w:bodyDiv w:val="1"/>
      <w:marLeft w:val="0"/>
      <w:marRight w:val="0"/>
      <w:marTop w:val="0"/>
      <w:marBottom w:val="0"/>
      <w:divBdr>
        <w:top w:val="none" w:sz="0" w:space="0" w:color="auto"/>
        <w:left w:val="none" w:sz="0" w:space="0" w:color="auto"/>
        <w:bottom w:val="none" w:sz="0" w:space="0" w:color="auto"/>
        <w:right w:val="none" w:sz="0" w:space="0" w:color="auto"/>
      </w:divBdr>
      <w:divsChild>
        <w:div w:id="988024436">
          <w:marLeft w:val="547"/>
          <w:marRight w:val="0"/>
          <w:marTop w:val="0"/>
          <w:marBottom w:val="0"/>
          <w:divBdr>
            <w:top w:val="none" w:sz="0" w:space="0" w:color="auto"/>
            <w:left w:val="none" w:sz="0" w:space="0" w:color="auto"/>
            <w:bottom w:val="none" w:sz="0" w:space="0" w:color="auto"/>
            <w:right w:val="none" w:sz="0" w:space="0" w:color="auto"/>
          </w:divBdr>
        </w:div>
      </w:divsChild>
    </w:div>
    <w:div w:id="1991641176">
      <w:bodyDiv w:val="1"/>
      <w:marLeft w:val="0"/>
      <w:marRight w:val="0"/>
      <w:marTop w:val="0"/>
      <w:marBottom w:val="0"/>
      <w:divBdr>
        <w:top w:val="none" w:sz="0" w:space="0" w:color="auto"/>
        <w:left w:val="none" w:sz="0" w:space="0" w:color="auto"/>
        <w:bottom w:val="none" w:sz="0" w:space="0" w:color="auto"/>
        <w:right w:val="none" w:sz="0" w:space="0" w:color="auto"/>
      </w:divBdr>
    </w:div>
    <w:div w:id="2013101236">
      <w:bodyDiv w:val="1"/>
      <w:marLeft w:val="0"/>
      <w:marRight w:val="0"/>
      <w:marTop w:val="0"/>
      <w:marBottom w:val="0"/>
      <w:divBdr>
        <w:top w:val="none" w:sz="0" w:space="0" w:color="auto"/>
        <w:left w:val="none" w:sz="0" w:space="0" w:color="auto"/>
        <w:bottom w:val="none" w:sz="0" w:space="0" w:color="auto"/>
        <w:right w:val="none" w:sz="0" w:space="0" w:color="auto"/>
      </w:divBdr>
      <w:divsChild>
        <w:div w:id="657155785">
          <w:marLeft w:val="1094"/>
          <w:marRight w:val="0"/>
          <w:marTop w:val="0"/>
          <w:marBottom w:val="0"/>
          <w:divBdr>
            <w:top w:val="none" w:sz="0" w:space="0" w:color="auto"/>
            <w:left w:val="none" w:sz="0" w:space="0" w:color="auto"/>
            <w:bottom w:val="none" w:sz="0" w:space="0" w:color="auto"/>
            <w:right w:val="none" w:sz="0" w:space="0" w:color="auto"/>
          </w:divBdr>
        </w:div>
        <w:div w:id="842628481">
          <w:marLeft w:val="1094"/>
          <w:marRight w:val="0"/>
          <w:marTop w:val="0"/>
          <w:marBottom w:val="0"/>
          <w:divBdr>
            <w:top w:val="none" w:sz="0" w:space="0" w:color="auto"/>
            <w:left w:val="none" w:sz="0" w:space="0" w:color="auto"/>
            <w:bottom w:val="none" w:sz="0" w:space="0" w:color="auto"/>
            <w:right w:val="none" w:sz="0" w:space="0" w:color="auto"/>
          </w:divBdr>
        </w:div>
        <w:div w:id="1850749133">
          <w:marLeft w:val="547"/>
          <w:marRight w:val="0"/>
          <w:marTop w:val="0"/>
          <w:marBottom w:val="0"/>
          <w:divBdr>
            <w:top w:val="none" w:sz="0" w:space="0" w:color="auto"/>
            <w:left w:val="none" w:sz="0" w:space="0" w:color="auto"/>
            <w:bottom w:val="none" w:sz="0" w:space="0" w:color="auto"/>
            <w:right w:val="none" w:sz="0" w:space="0" w:color="auto"/>
          </w:divBdr>
        </w:div>
        <w:div w:id="2035767244">
          <w:marLeft w:val="1094"/>
          <w:marRight w:val="0"/>
          <w:marTop w:val="0"/>
          <w:marBottom w:val="0"/>
          <w:divBdr>
            <w:top w:val="none" w:sz="0" w:space="0" w:color="auto"/>
            <w:left w:val="none" w:sz="0" w:space="0" w:color="auto"/>
            <w:bottom w:val="none" w:sz="0" w:space="0" w:color="auto"/>
            <w:right w:val="none" w:sz="0" w:space="0" w:color="auto"/>
          </w:divBdr>
        </w:div>
        <w:div w:id="2107537365">
          <w:marLeft w:val="547"/>
          <w:marRight w:val="0"/>
          <w:marTop w:val="0"/>
          <w:marBottom w:val="0"/>
          <w:divBdr>
            <w:top w:val="none" w:sz="0" w:space="0" w:color="auto"/>
            <w:left w:val="none" w:sz="0" w:space="0" w:color="auto"/>
            <w:bottom w:val="none" w:sz="0" w:space="0" w:color="auto"/>
            <w:right w:val="none" w:sz="0" w:space="0" w:color="auto"/>
          </w:divBdr>
        </w:div>
        <w:div w:id="2146198239">
          <w:marLeft w:val="446"/>
          <w:marRight w:val="0"/>
          <w:marTop w:val="0"/>
          <w:marBottom w:val="0"/>
          <w:divBdr>
            <w:top w:val="none" w:sz="0" w:space="0" w:color="auto"/>
            <w:left w:val="none" w:sz="0" w:space="0" w:color="auto"/>
            <w:bottom w:val="none" w:sz="0" w:space="0" w:color="auto"/>
            <w:right w:val="none" w:sz="0" w:space="0" w:color="auto"/>
          </w:divBdr>
        </w:div>
      </w:divsChild>
    </w:div>
    <w:div w:id="2041663057">
      <w:bodyDiv w:val="1"/>
      <w:marLeft w:val="0"/>
      <w:marRight w:val="0"/>
      <w:marTop w:val="0"/>
      <w:marBottom w:val="0"/>
      <w:divBdr>
        <w:top w:val="none" w:sz="0" w:space="0" w:color="auto"/>
        <w:left w:val="none" w:sz="0" w:space="0" w:color="auto"/>
        <w:bottom w:val="none" w:sz="0" w:space="0" w:color="auto"/>
        <w:right w:val="none" w:sz="0" w:space="0" w:color="auto"/>
      </w:divBdr>
      <w:divsChild>
        <w:div w:id="345444243">
          <w:marLeft w:val="1800"/>
          <w:marRight w:val="0"/>
          <w:marTop w:val="100"/>
          <w:marBottom w:val="100"/>
          <w:divBdr>
            <w:top w:val="none" w:sz="0" w:space="0" w:color="auto"/>
            <w:left w:val="none" w:sz="0" w:space="0" w:color="auto"/>
            <w:bottom w:val="none" w:sz="0" w:space="0" w:color="auto"/>
            <w:right w:val="none" w:sz="0" w:space="0" w:color="auto"/>
          </w:divBdr>
        </w:div>
        <w:div w:id="465316699">
          <w:marLeft w:val="1800"/>
          <w:marRight w:val="0"/>
          <w:marTop w:val="100"/>
          <w:marBottom w:val="100"/>
          <w:divBdr>
            <w:top w:val="none" w:sz="0" w:space="0" w:color="auto"/>
            <w:left w:val="none" w:sz="0" w:space="0" w:color="auto"/>
            <w:bottom w:val="none" w:sz="0" w:space="0" w:color="auto"/>
            <w:right w:val="none" w:sz="0" w:space="0" w:color="auto"/>
          </w:divBdr>
        </w:div>
        <w:div w:id="523593223">
          <w:marLeft w:val="1800"/>
          <w:marRight w:val="0"/>
          <w:marTop w:val="100"/>
          <w:marBottom w:val="100"/>
          <w:divBdr>
            <w:top w:val="none" w:sz="0" w:space="0" w:color="auto"/>
            <w:left w:val="none" w:sz="0" w:space="0" w:color="auto"/>
            <w:bottom w:val="none" w:sz="0" w:space="0" w:color="auto"/>
            <w:right w:val="none" w:sz="0" w:space="0" w:color="auto"/>
          </w:divBdr>
        </w:div>
        <w:div w:id="1926916807">
          <w:marLeft w:val="1800"/>
          <w:marRight w:val="0"/>
          <w:marTop w:val="100"/>
          <w:marBottom w:val="100"/>
          <w:divBdr>
            <w:top w:val="none" w:sz="0" w:space="0" w:color="auto"/>
            <w:left w:val="none" w:sz="0" w:space="0" w:color="auto"/>
            <w:bottom w:val="none" w:sz="0" w:space="0" w:color="auto"/>
            <w:right w:val="none" w:sz="0" w:space="0" w:color="auto"/>
          </w:divBdr>
        </w:div>
        <w:div w:id="2036538315">
          <w:marLeft w:val="1800"/>
          <w:marRight w:val="0"/>
          <w:marTop w:val="100"/>
          <w:marBottom w:val="100"/>
          <w:divBdr>
            <w:top w:val="none" w:sz="0" w:space="0" w:color="auto"/>
            <w:left w:val="none" w:sz="0" w:space="0" w:color="auto"/>
            <w:bottom w:val="none" w:sz="0" w:space="0" w:color="auto"/>
            <w:right w:val="none" w:sz="0" w:space="0" w:color="auto"/>
          </w:divBdr>
        </w:div>
      </w:divsChild>
    </w:div>
    <w:div w:id="2057468843">
      <w:bodyDiv w:val="1"/>
      <w:marLeft w:val="0"/>
      <w:marRight w:val="0"/>
      <w:marTop w:val="0"/>
      <w:marBottom w:val="0"/>
      <w:divBdr>
        <w:top w:val="none" w:sz="0" w:space="0" w:color="auto"/>
        <w:left w:val="none" w:sz="0" w:space="0" w:color="auto"/>
        <w:bottom w:val="none" w:sz="0" w:space="0" w:color="auto"/>
        <w:right w:val="none" w:sz="0" w:space="0" w:color="auto"/>
      </w:divBdr>
    </w:div>
    <w:div w:id="2115440906">
      <w:bodyDiv w:val="1"/>
      <w:marLeft w:val="0"/>
      <w:marRight w:val="0"/>
      <w:marTop w:val="0"/>
      <w:marBottom w:val="0"/>
      <w:divBdr>
        <w:top w:val="none" w:sz="0" w:space="0" w:color="auto"/>
        <w:left w:val="none" w:sz="0" w:space="0" w:color="auto"/>
        <w:bottom w:val="none" w:sz="0" w:space="0" w:color="auto"/>
        <w:right w:val="none" w:sz="0" w:space="0" w:color="auto"/>
      </w:divBdr>
    </w:div>
    <w:div w:id="2131704209">
      <w:bodyDiv w:val="1"/>
      <w:marLeft w:val="0"/>
      <w:marRight w:val="0"/>
      <w:marTop w:val="0"/>
      <w:marBottom w:val="0"/>
      <w:divBdr>
        <w:top w:val="none" w:sz="0" w:space="0" w:color="auto"/>
        <w:left w:val="none" w:sz="0" w:space="0" w:color="auto"/>
        <w:bottom w:val="none" w:sz="0" w:space="0" w:color="auto"/>
        <w:right w:val="none" w:sz="0" w:space="0" w:color="auto"/>
      </w:divBdr>
    </w:div>
    <w:div w:id="2142066368">
      <w:bodyDiv w:val="1"/>
      <w:marLeft w:val="0"/>
      <w:marRight w:val="0"/>
      <w:marTop w:val="0"/>
      <w:marBottom w:val="0"/>
      <w:divBdr>
        <w:top w:val="none" w:sz="0" w:space="0" w:color="auto"/>
        <w:left w:val="none" w:sz="0" w:space="0" w:color="auto"/>
        <w:bottom w:val="none" w:sz="0" w:space="0" w:color="auto"/>
        <w:right w:val="none" w:sz="0" w:space="0" w:color="auto"/>
      </w:divBdr>
    </w:div>
    <w:div w:id="21425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nhgis.org/documentation/time-series/1990-blocks-to-2010-geog" TargetMode="External"/><Relationship Id="rId25" Type="http://schemas.openxmlformats.org/officeDocument/2006/relationships/image" Target="media/image11.emf"/><Relationship Id="rId33" Type="http://schemas.openxmlformats.org/officeDocument/2006/relationships/hyperlink" Target="http://dx.doi.org/10.1111/j.1538-4632.2007.00706.x" TargetMode="External"/><Relationship Id="rId2" Type="http://schemas.openxmlformats.org/officeDocument/2006/relationships/customXml" Target="../customXml/item2.xml"/><Relationship Id="rId16" Type="http://schemas.openxmlformats.org/officeDocument/2006/relationships/hyperlink" Target="https://www.nhgis.org/documentation/time-series/2000-blocks-to-2010-geog" TargetMode="External"/><Relationship Id="rId20" Type="http://schemas.openxmlformats.org/officeDocument/2006/relationships/footer" Target="footer3.xml"/><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5" Type="http://schemas.openxmlformats.org/officeDocument/2006/relationships/numbering" Target="numbering.xml"/><Relationship Id="rId15" Type="http://schemas.openxmlformats.org/officeDocument/2006/relationships/hyperlink" Target="https://www.nhgis.org/geographic-crosswalks" TargetMode="Externa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glossaryDocument" Target="glossary/document.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notes.xml.rels><?xml version="1.0" encoding="UTF-8" standalone="yes"?>
<Relationships xmlns="http://schemas.openxmlformats.org/package/2006/relationships"><Relationship Id="rId3" Type="http://schemas.openxmlformats.org/officeDocument/2006/relationships/hyperlink" Target="https://www.nhgis.org/geographic-crosswalks" TargetMode="External"/><Relationship Id="rId2" Type="http://schemas.openxmlformats.org/officeDocument/2006/relationships/hyperlink" Target="http://doi.org/10.18128/D050.V18.0" TargetMode="External"/><Relationship Id="rId1" Type="http://schemas.openxmlformats.org/officeDocument/2006/relationships/hyperlink" Target="https://donahue.umass.edu/our-publications/donahue-data-dash-the-effects-of-differential-privacy-on-massachusetts-pl-94-census-data" TargetMode="External"/><Relationship Id="rId6" Type="http://schemas.openxmlformats.org/officeDocument/2006/relationships/hyperlink" Target="https://www.nhgis.org/geographic-crosswalks" TargetMode="External"/><Relationship Id="rId5" Type="http://schemas.openxmlformats.org/officeDocument/2006/relationships/hyperlink" Target="https://www.census.gov/popest/research/modified/STCO-MR2010_AL_MO.csv" TargetMode="External"/><Relationship Id="rId4" Type="http://schemas.openxmlformats.org/officeDocument/2006/relationships/hyperlink" Target="https://www.nhgis.org/geographic-crosswalk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FE410A0B90642D39FB7612850054D8E"/>
        <w:category>
          <w:name w:val="General"/>
          <w:gallery w:val="placeholder"/>
        </w:category>
        <w:types>
          <w:type w:val="bbPlcHdr"/>
        </w:types>
        <w:behaviors>
          <w:behavior w:val="content"/>
        </w:behaviors>
        <w:guid w:val="{91B7343D-F036-4708-A548-3E782EBB9601}"/>
      </w:docPartPr>
      <w:docPartBody>
        <w:p w:rsidR="00765214" w:rsidRDefault="00C9601E">
          <w:pPr>
            <w:pStyle w:val="2FE410A0B90642D39FB7612850054D8E"/>
          </w:pPr>
          <w:r>
            <w:rPr>
              <w:rStyle w:val="PlaceholderText"/>
            </w:rPr>
            <w:t>Report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dvPTimes">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Narrow">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B"/>
    <w:rsid w:val="0003415B"/>
    <w:rsid w:val="00034334"/>
    <w:rsid w:val="000F2D38"/>
    <w:rsid w:val="00103751"/>
    <w:rsid w:val="00123F21"/>
    <w:rsid w:val="00143536"/>
    <w:rsid w:val="001520AD"/>
    <w:rsid w:val="0016122E"/>
    <w:rsid w:val="00162829"/>
    <w:rsid w:val="001B553F"/>
    <w:rsid w:val="001D2A19"/>
    <w:rsid w:val="001F550C"/>
    <w:rsid w:val="00231C2A"/>
    <w:rsid w:val="00363101"/>
    <w:rsid w:val="003A6F53"/>
    <w:rsid w:val="003F71F1"/>
    <w:rsid w:val="00431EE8"/>
    <w:rsid w:val="004616D1"/>
    <w:rsid w:val="00485BC8"/>
    <w:rsid w:val="00496AEF"/>
    <w:rsid w:val="005273EB"/>
    <w:rsid w:val="00570EB3"/>
    <w:rsid w:val="00571480"/>
    <w:rsid w:val="00592D76"/>
    <w:rsid w:val="005F1BB0"/>
    <w:rsid w:val="00624872"/>
    <w:rsid w:val="00651E53"/>
    <w:rsid w:val="00687438"/>
    <w:rsid w:val="006B57A8"/>
    <w:rsid w:val="0071493A"/>
    <w:rsid w:val="0071704A"/>
    <w:rsid w:val="00753DA1"/>
    <w:rsid w:val="00765214"/>
    <w:rsid w:val="007E75BE"/>
    <w:rsid w:val="008053D4"/>
    <w:rsid w:val="008F7A1D"/>
    <w:rsid w:val="00983C44"/>
    <w:rsid w:val="009C171B"/>
    <w:rsid w:val="009F2BC5"/>
    <w:rsid w:val="00A46635"/>
    <w:rsid w:val="00A85744"/>
    <w:rsid w:val="00B16CBF"/>
    <w:rsid w:val="00B332DB"/>
    <w:rsid w:val="00B37E4A"/>
    <w:rsid w:val="00B77DBB"/>
    <w:rsid w:val="00B84EBB"/>
    <w:rsid w:val="00C13249"/>
    <w:rsid w:val="00C665F9"/>
    <w:rsid w:val="00C9601E"/>
    <w:rsid w:val="00CD3A45"/>
    <w:rsid w:val="00D10B9F"/>
    <w:rsid w:val="00D16DCB"/>
    <w:rsid w:val="00D25055"/>
    <w:rsid w:val="00DA67F8"/>
    <w:rsid w:val="00E051F4"/>
    <w:rsid w:val="00E33C07"/>
    <w:rsid w:val="00E649FF"/>
    <w:rsid w:val="00E935FD"/>
    <w:rsid w:val="00E96823"/>
    <w:rsid w:val="00EA41FF"/>
    <w:rsid w:val="00EF7E33"/>
    <w:rsid w:val="00F02FBB"/>
    <w:rsid w:val="00FA0F39"/>
    <w:rsid w:val="00FC56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EBB"/>
    <w:rPr>
      <w:color w:val="808080"/>
    </w:rPr>
  </w:style>
  <w:style w:type="paragraph" w:customStyle="1" w:styleId="2FE410A0B90642D39FB7612850054D8E">
    <w:name w:val="2FE410A0B90642D39FB7612850054D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1">
  <a:themeElements>
    <a:clrScheme name="UMDI Colors">
      <a:dk1>
        <a:srgbClr val="000000"/>
      </a:dk1>
      <a:lt1>
        <a:srgbClr val="FFFFFF"/>
      </a:lt1>
      <a:dk2>
        <a:srgbClr val="800014"/>
      </a:dk2>
      <a:lt2>
        <a:srgbClr val="ACAEB1"/>
      </a:lt2>
      <a:accent1>
        <a:srgbClr val="862633"/>
      </a:accent1>
      <a:accent2>
        <a:srgbClr val="E8A518"/>
      </a:accent2>
      <a:accent3>
        <a:srgbClr val="488C0C"/>
      </a:accent3>
      <a:accent4>
        <a:srgbClr val="E07B3E"/>
      </a:accent4>
      <a:accent5>
        <a:srgbClr val="337BAD"/>
      </a:accent5>
      <a:accent6>
        <a:srgbClr val="002554"/>
      </a:accent6>
      <a:hlink>
        <a:srgbClr val="0563C1"/>
      </a:hlink>
      <a:folHlink>
        <a:srgbClr val="954F72"/>
      </a:folHlink>
    </a:clrScheme>
    <a:fontScheme name="UMDI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8A3837AA-5F1E-4A77-91D8-211FA7B47544}" vid="{712A4B3F-6BFC-4492-9514-A504653C63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C76D1ECFDA824DBD82448BA032721D" ma:contentTypeVersion="14" ma:contentTypeDescription="Create a new document." ma:contentTypeScope="" ma:versionID="9cca0b65a450e9e2bd9f1c09776c0ddb">
  <xsd:schema xmlns:xsd="http://www.w3.org/2001/XMLSchema" xmlns:xs="http://www.w3.org/2001/XMLSchema" xmlns:p="http://schemas.microsoft.com/office/2006/metadata/properties" xmlns:ns2="ce669105-a2b9-495c-85f2-7251ba45fac7" xmlns:ns3="6bc2862f-d068-4d48-bb7e-8ce1b2527085" targetNamespace="http://schemas.microsoft.com/office/2006/metadata/properties" ma:root="true" ma:fieldsID="32934ef8776f9b3de295e485276d5643" ns2:_="" ns3:_="">
    <xsd:import namespace="ce669105-a2b9-495c-85f2-7251ba45fac7"/>
    <xsd:import namespace="6bc2862f-d068-4d48-bb7e-8ce1b25270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69105-a2b9-495c-85f2-7251ba45fa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c2862f-d068-4d48-bb7e-8ce1b25270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7e818b9-477e-4320-8914-6c3483be4f6a}" ma:internalName="TaxCatchAll" ma:showField="CatchAllData" ma:web="6bc2862f-d068-4d48-bb7e-8ce1b25270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e669105-a2b9-495c-85f2-7251ba45fac7">
      <Terms xmlns="http://schemas.microsoft.com/office/infopath/2007/PartnerControls"/>
    </lcf76f155ced4ddcb4097134ff3c332f>
    <TaxCatchAll xmlns="6bc2862f-d068-4d48-bb7e-8ce1b25270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6035E-2D0D-4407-9C8D-9F2CF8CBB6E5}"/>
</file>

<file path=customXml/itemProps2.xml><?xml version="1.0" encoding="utf-8"?>
<ds:datastoreItem xmlns:ds="http://schemas.openxmlformats.org/officeDocument/2006/customXml" ds:itemID="{17E6FDF6-2FE4-420E-9375-B72F72B26A4B}">
  <ds:schemaRefs>
    <ds:schemaRef ds:uri="http://schemas.microsoft.com/sharepoint/v3/contenttype/forms"/>
  </ds:schemaRefs>
</ds:datastoreItem>
</file>

<file path=customXml/itemProps3.xml><?xml version="1.0" encoding="utf-8"?>
<ds:datastoreItem xmlns:ds="http://schemas.openxmlformats.org/officeDocument/2006/customXml" ds:itemID="{F2699FDD-44C5-4C43-B02E-449B55F20270}">
  <ds:schemaRef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dcmitype/"/>
    <ds:schemaRef ds:uri="http://purl.org/dc/terms/"/>
    <ds:schemaRef ds:uri="http://schemas.microsoft.com/office/infopath/2007/PartnerControls"/>
    <ds:schemaRef ds:uri="bd7265a5-e1a2-410c-992d-375febc5ecd6"/>
    <ds:schemaRef ds:uri="8b1b5d81-5cdc-4da4-8418-417a00cf8e42"/>
    <ds:schemaRef ds:uri="http://www.w3.org/XML/1998/namespace"/>
  </ds:schemaRefs>
</ds:datastoreItem>
</file>

<file path=customXml/itemProps4.xml><?xml version="1.0" encoding="utf-8"?>
<ds:datastoreItem xmlns:ds="http://schemas.openxmlformats.org/officeDocument/2006/customXml" ds:itemID="{86EC1B38-0D0C-4C3A-94EE-55862A94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51</Pages>
  <Words>15390</Words>
  <Characters>87725</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UMDI Report</vt:lpstr>
    </vt:vector>
  </TitlesOfParts>
  <Company>UMass Donahue Institute</Company>
  <LinksUpToDate>false</LinksUpToDate>
  <CharactersWithSpaces>102910</CharactersWithSpaces>
  <SharedDoc>false</SharedDoc>
  <HLinks>
    <vt:vector size="360" baseType="variant">
      <vt:variant>
        <vt:i4>2490408</vt:i4>
      </vt:variant>
      <vt:variant>
        <vt:i4>378</vt:i4>
      </vt:variant>
      <vt:variant>
        <vt:i4>0</vt:i4>
      </vt:variant>
      <vt:variant>
        <vt:i4>5</vt:i4>
      </vt:variant>
      <vt:variant>
        <vt:lpwstr>http://dx.doi.org/10.1111/j.1538-4632.2007.00706.x</vt:lpwstr>
      </vt:variant>
      <vt:variant>
        <vt:lpwstr/>
      </vt:variant>
      <vt:variant>
        <vt:i4>4390931</vt:i4>
      </vt:variant>
      <vt:variant>
        <vt:i4>315</vt:i4>
      </vt:variant>
      <vt:variant>
        <vt:i4>0</vt:i4>
      </vt:variant>
      <vt:variant>
        <vt:i4>5</vt:i4>
      </vt:variant>
      <vt:variant>
        <vt:lpwstr>https://www.nhgis.org/documentation/time-series/1990-blocks-to-2010-geog</vt:lpwstr>
      </vt:variant>
      <vt:variant>
        <vt:lpwstr/>
      </vt:variant>
      <vt:variant>
        <vt:i4>4849689</vt:i4>
      </vt:variant>
      <vt:variant>
        <vt:i4>312</vt:i4>
      </vt:variant>
      <vt:variant>
        <vt:i4>0</vt:i4>
      </vt:variant>
      <vt:variant>
        <vt:i4>5</vt:i4>
      </vt:variant>
      <vt:variant>
        <vt:lpwstr>https://www.nhgis.org/documentation/time-series/2000-blocks-to-2010-geog</vt:lpwstr>
      </vt:variant>
      <vt:variant>
        <vt:lpwstr/>
      </vt:variant>
      <vt:variant>
        <vt:i4>5373963</vt:i4>
      </vt:variant>
      <vt:variant>
        <vt:i4>309</vt:i4>
      </vt:variant>
      <vt:variant>
        <vt:i4>0</vt:i4>
      </vt:variant>
      <vt:variant>
        <vt:i4>5</vt:i4>
      </vt:variant>
      <vt:variant>
        <vt:lpwstr>https://www.nhgis.org/geographic-crosswalks</vt:lpwstr>
      </vt:variant>
      <vt:variant>
        <vt:lpwstr>references</vt:lpwstr>
      </vt:variant>
      <vt:variant>
        <vt:i4>1900593</vt:i4>
      </vt:variant>
      <vt:variant>
        <vt:i4>302</vt:i4>
      </vt:variant>
      <vt:variant>
        <vt:i4>0</vt:i4>
      </vt:variant>
      <vt:variant>
        <vt:i4>5</vt:i4>
      </vt:variant>
      <vt:variant>
        <vt:lpwstr/>
      </vt:variant>
      <vt:variant>
        <vt:lpwstr>_Toc197520566</vt:lpwstr>
      </vt:variant>
      <vt:variant>
        <vt:i4>1900593</vt:i4>
      </vt:variant>
      <vt:variant>
        <vt:i4>296</vt:i4>
      </vt:variant>
      <vt:variant>
        <vt:i4>0</vt:i4>
      </vt:variant>
      <vt:variant>
        <vt:i4>5</vt:i4>
      </vt:variant>
      <vt:variant>
        <vt:lpwstr/>
      </vt:variant>
      <vt:variant>
        <vt:lpwstr>_Toc197520565</vt:lpwstr>
      </vt:variant>
      <vt:variant>
        <vt:i4>1900593</vt:i4>
      </vt:variant>
      <vt:variant>
        <vt:i4>287</vt:i4>
      </vt:variant>
      <vt:variant>
        <vt:i4>0</vt:i4>
      </vt:variant>
      <vt:variant>
        <vt:i4>5</vt:i4>
      </vt:variant>
      <vt:variant>
        <vt:lpwstr/>
      </vt:variant>
      <vt:variant>
        <vt:lpwstr>_Toc197520564</vt:lpwstr>
      </vt:variant>
      <vt:variant>
        <vt:i4>1900593</vt:i4>
      </vt:variant>
      <vt:variant>
        <vt:i4>281</vt:i4>
      </vt:variant>
      <vt:variant>
        <vt:i4>0</vt:i4>
      </vt:variant>
      <vt:variant>
        <vt:i4>5</vt:i4>
      </vt:variant>
      <vt:variant>
        <vt:lpwstr/>
      </vt:variant>
      <vt:variant>
        <vt:lpwstr>_Toc197520563</vt:lpwstr>
      </vt:variant>
      <vt:variant>
        <vt:i4>1900593</vt:i4>
      </vt:variant>
      <vt:variant>
        <vt:i4>275</vt:i4>
      </vt:variant>
      <vt:variant>
        <vt:i4>0</vt:i4>
      </vt:variant>
      <vt:variant>
        <vt:i4>5</vt:i4>
      </vt:variant>
      <vt:variant>
        <vt:lpwstr/>
      </vt:variant>
      <vt:variant>
        <vt:lpwstr>_Toc197520562</vt:lpwstr>
      </vt:variant>
      <vt:variant>
        <vt:i4>1900593</vt:i4>
      </vt:variant>
      <vt:variant>
        <vt:i4>269</vt:i4>
      </vt:variant>
      <vt:variant>
        <vt:i4>0</vt:i4>
      </vt:variant>
      <vt:variant>
        <vt:i4>5</vt:i4>
      </vt:variant>
      <vt:variant>
        <vt:lpwstr/>
      </vt:variant>
      <vt:variant>
        <vt:lpwstr>_Toc197520561</vt:lpwstr>
      </vt:variant>
      <vt:variant>
        <vt:i4>1900593</vt:i4>
      </vt:variant>
      <vt:variant>
        <vt:i4>263</vt:i4>
      </vt:variant>
      <vt:variant>
        <vt:i4>0</vt:i4>
      </vt:variant>
      <vt:variant>
        <vt:i4>5</vt:i4>
      </vt:variant>
      <vt:variant>
        <vt:lpwstr/>
      </vt:variant>
      <vt:variant>
        <vt:lpwstr>_Toc197520560</vt:lpwstr>
      </vt:variant>
      <vt:variant>
        <vt:i4>1966129</vt:i4>
      </vt:variant>
      <vt:variant>
        <vt:i4>257</vt:i4>
      </vt:variant>
      <vt:variant>
        <vt:i4>0</vt:i4>
      </vt:variant>
      <vt:variant>
        <vt:i4>5</vt:i4>
      </vt:variant>
      <vt:variant>
        <vt:lpwstr/>
      </vt:variant>
      <vt:variant>
        <vt:lpwstr>_Toc197520559</vt:lpwstr>
      </vt:variant>
      <vt:variant>
        <vt:i4>1966129</vt:i4>
      </vt:variant>
      <vt:variant>
        <vt:i4>251</vt:i4>
      </vt:variant>
      <vt:variant>
        <vt:i4>0</vt:i4>
      </vt:variant>
      <vt:variant>
        <vt:i4>5</vt:i4>
      </vt:variant>
      <vt:variant>
        <vt:lpwstr/>
      </vt:variant>
      <vt:variant>
        <vt:lpwstr>_Toc197520558</vt:lpwstr>
      </vt:variant>
      <vt:variant>
        <vt:i4>1966129</vt:i4>
      </vt:variant>
      <vt:variant>
        <vt:i4>245</vt:i4>
      </vt:variant>
      <vt:variant>
        <vt:i4>0</vt:i4>
      </vt:variant>
      <vt:variant>
        <vt:i4>5</vt:i4>
      </vt:variant>
      <vt:variant>
        <vt:lpwstr/>
      </vt:variant>
      <vt:variant>
        <vt:lpwstr>_Toc197520557</vt:lpwstr>
      </vt:variant>
      <vt:variant>
        <vt:i4>1966129</vt:i4>
      </vt:variant>
      <vt:variant>
        <vt:i4>239</vt:i4>
      </vt:variant>
      <vt:variant>
        <vt:i4>0</vt:i4>
      </vt:variant>
      <vt:variant>
        <vt:i4>5</vt:i4>
      </vt:variant>
      <vt:variant>
        <vt:lpwstr/>
      </vt:variant>
      <vt:variant>
        <vt:lpwstr>_Toc197520556</vt:lpwstr>
      </vt:variant>
      <vt:variant>
        <vt:i4>1966129</vt:i4>
      </vt:variant>
      <vt:variant>
        <vt:i4>233</vt:i4>
      </vt:variant>
      <vt:variant>
        <vt:i4>0</vt:i4>
      </vt:variant>
      <vt:variant>
        <vt:i4>5</vt:i4>
      </vt:variant>
      <vt:variant>
        <vt:lpwstr/>
      </vt:variant>
      <vt:variant>
        <vt:lpwstr>_Toc197520555</vt:lpwstr>
      </vt:variant>
      <vt:variant>
        <vt:i4>1966129</vt:i4>
      </vt:variant>
      <vt:variant>
        <vt:i4>227</vt:i4>
      </vt:variant>
      <vt:variant>
        <vt:i4>0</vt:i4>
      </vt:variant>
      <vt:variant>
        <vt:i4>5</vt:i4>
      </vt:variant>
      <vt:variant>
        <vt:lpwstr/>
      </vt:variant>
      <vt:variant>
        <vt:lpwstr>_Toc197520554</vt:lpwstr>
      </vt:variant>
      <vt:variant>
        <vt:i4>1966129</vt:i4>
      </vt:variant>
      <vt:variant>
        <vt:i4>221</vt:i4>
      </vt:variant>
      <vt:variant>
        <vt:i4>0</vt:i4>
      </vt:variant>
      <vt:variant>
        <vt:i4>5</vt:i4>
      </vt:variant>
      <vt:variant>
        <vt:lpwstr/>
      </vt:variant>
      <vt:variant>
        <vt:lpwstr>_Toc197520553</vt:lpwstr>
      </vt:variant>
      <vt:variant>
        <vt:i4>1966129</vt:i4>
      </vt:variant>
      <vt:variant>
        <vt:i4>215</vt:i4>
      </vt:variant>
      <vt:variant>
        <vt:i4>0</vt:i4>
      </vt:variant>
      <vt:variant>
        <vt:i4>5</vt:i4>
      </vt:variant>
      <vt:variant>
        <vt:lpwstr/>
      </vt:variant>
      <vt:variant>
        <vt:lpwstr>_Toc197520552</vt:lpwstr>
      </vt:variant>
      <vt:variant>
        <vt:i4>1966129</vt:i4>
      </vt:variant>
      <vt:variant>
        <vt:i4>209</vt:i4>
      </vt:variant>
      <vt:variant>
        <vt:i4>0</vt:i4>
      </vt:variant>
      <vt:variant>
        <vt:i4>5</vt:i4>
      </vt:variant>
      <vt:variant>
        <vt:lpwstr/>
      </vt:variant>
      <vt:variant>
        <vt:lpwstr>_Toc197520551</vt:lpwstr>
      </vt:variant>
      <vt:variant>
        <vt:i4>1966129</vt:i4>
      </vt:variant>
      <vt:variant>
        <vt:i4>203</vt:i4>
      </vt:variant>
      <vt:variant>
        <vt:i4>0</vt:i4>
      </vt:variant>
      <vt:variant>
        <vt:i4>5</vt:i4>
      </vt:variant>
      <vt:variant>
        <vt:lpwstr/>
      </vt:variant>
      <vt:variant>
        <vt:lpwstr>_Toc197520550</vt:lpwstr>
      </vt:variant>
      <vt:variant>
        <vt:i4>2031665</vt:i4>
      </vt:variant>
      <vt:variant>
        <vt:i4>197</vt:i4>
      </vt:variant>
      <vt:variant>
        <vt:i4>0</vt:i4>
      </vt:variant>
      <vt:variant>
        <vt:i4>5</vt:i4>
      </vt:variant>
      <vt:variant>
        <vt:lpwstr/>
      </vt:variant>
      <vt:variant>
        <vt:lpwstr>_Toc197520549</vt:lpwstr>
      </vt:variant>
      <vt:variant>
        <vt:i4>2031665</vt:i4>
      </vt:variant>
      <vt:variant>
        <vt:i4>191</vt:i4>
      </vt:variant>
      <vt:variant>
        <vt:i4>0</vt:i4>
      </vt:variant>
      <vt:variant>
        <vt:i4>5</vt:i4>
      </vt:variant>
      <vt:variant>
        <vt:lpwstr/>
      </vt:variant>
      <vt:variant>
        <vt:lpwstr>_Toc197520548</vt:lpwstr>
      </vt:variant>
      <vt:variant>
        <vt:i4>2031665</vt:i4>
      </vt:variant>
      <vt:variant>
        <vt:i4>185</vt:i4>
      </vt:variant>
      <vt:variant>
        <vt:i4>0</vt:i4>
      </vt:variant>
      <vt:variant>
        <vt:i4>5</vt:i4>
      </vt:variant>
      <vt:variant>
        <vt:lpwstr/>
      </vt:variant>
      <vt:variant>
        <vt:lpwstr>_Toc197520547</vt:lpwstr>
      </vt:variant>
      <vt:variant>
        <vt:i4>2031665</vt:i4>
      </vt:variant>
      <vt:variant>
        <vt:i4>176</vt:i4>
      </vt:variant>
      <vt:variant>
        <vt:i4>0</vt:i4>
      </vt:variant>
      <vt:variant>
        <vt:i4>5</vt:i4>
      </vt:variant>
      <vt:variant>
        <vt:lpwstr/>
      </vt:variant>
      <vt:variant>
        <vt:lpwstr>_Toc197520546</vt:lpwstr>
      </vt:variant>
      <vt:variant>
        <vt:i4>2031665</vt:i4>
      </vt:variant>
      <vt:variant>
        <vt:i4>170</vt:i4>
      </vt:variant>
      <vt:variant>
        <vt:i4>0</vt:i4>
      </vt:variant>
      <vt:variant>
        <vt:i4>5</vt:i4>
      </vt:variant>
      <vt:variant>
        <vt:lpwstr/>
      </vt:variant>
      <vt:variant>
        <vt:lpwstr>_Toc197520545</vt:lpwstr>
      </vt:variant>
      <vt:variant>
        <vt:i4>2031665</vt:i4>
      </vt:variant>
      <vt:variant>
        <vt:i4>164</vt:i4>
      </vt:variant>
      <vt:variant>
        <vt:i4>0</vt:i4>
      </vt:variant>
      <vt:variant>
        <vt:i4>5</vt:i4>
      </vt:variant>
      <vt:variant>
        <vt:lpwstr/>
      </vt:variant>
      <vt:variant>
        <vt:lpwstr>_Toc197520544</vt:lpwstr>
      </vt:variant>
      <vt:variant>
        <vt:i4>2031665</vt:i4>
      </vt:variant>
      <vt:variant>
        <vt:i4>158</vt:i4>
      </vt:variant>
      <vt:variant>
        <vt:i4>0</vt:i4>
      </vt:variant>
      <vt:variant>
        <vt:i4>5</vt:i4>
      </vt:variant>
      <vt:variant>
        <vt:lpwstr/>
      </vt:variant>
      <vt:variant>
        <vt:lpwstr>_Toc197520543</vt:lpwstr>
      </vt:variant>
      <vt:variant>
        <vt:i4>2031665</vt:i4>
      </vt:variant>
      <vt:variant>
        <vt:i4>152</vt:i4>
      </vt:variant>
      <vt:variant>
        <vt:i4>0</vt:i4>
      </vt:variant>
      <vt:variant>
        <vt:i4>5</vt:i4>
      </vt:variant>
      <vt:variant>
        <vt:lpwstr/>
      </vt:variant>
      <vt:variant>
        <vt:lpwstr>_Toc197520542</vt:lpwstr>
      </vt:variant>
      <vt:variant>
        <vt:i4>2031665</vt:i4>
      </vt:variant>
      <vt:variant>
        <vt:i4>146</vt:i4>
      </vt:variant>
      <vt:variant>
        <vt:i4>0</vt:i4>
      </vt:variant>
      <vt:variant>
        <vt:i4>5</vt:i4>
      </vt:variant>
      <vt:variant>
        <vt:lpwstr/>
      </vt:variant>
      <vt:variant>
        <vt:lpwstr>_Toc197520541</vt:lpwstr>
      </vt:variant>
      <vt:variant>
        <vt:i4>2031665</vt:i4>
      </vt:variant>
      <vt:variant>
        <vt:i4>140</vt:i4>
      </vt:variant>
      <vt:variant>
        <vt:i4>0</vt:i4>
      </vt:variant>
      <vt:variant>
        <vt:i4>5</vt:i4>
      </vt:variant>
      <vt:variant>
        <vt:lpwstr/>
      </vt:variant>
      <vt:variant>
        <vt:lpwstr>_Toc197520540</vt:lpwstr>
      </vt:variant>
      <vt:variant>
        <vt:i4>1572913</vt:i4>
      </vt:variant>
      <vt:variant>
        <vt:i4>134</vt:i4>
      </vt:variant>
      <vt:variant>
        <vt:i4>0</vt:i4>
      </vt:variant>
      <vt:variant>
        <vt:i4>5</vt:i4>
      </vt:variant>
      <vt:variant>
        <vt:lpwstr/>
      </vt:variant>
      <vt:variant>
        <vt:lpwstr>_Toc197520539</vt:lpwstr>
      </vt:variant>
      <vt:variant>
        <vt:i4>1572913</vt:i4>
      </vt:variant>
      <vt:variant>
        <vt:i4>128</vt:i4>
      </vt:variant>
      <vt:variant>
        <vt:i4>0</vt:i4>
      </vt:variant>
      <vt:variant>
        <vt:i4>5</vt:i4>
      </vt:variant>
      <vt:variant>
        <vt:lpwstr/>
      </vt:variant>
      <vt:variant>
        <vt:lpwstr>_Toc197520538</vt:lpwstr>
      </vt:variant>
      <vt:variant>
        <vt:i4>1572913</vt:i4>
      </vt:variant>
      <vt:variant>
        <vt:i4>122</vt:i4>
      </vt:variant>
      <vt:variant>
        <vt:i4>0</vt:i4>
      </vt:variant>
      <vt:variant>
        <vt:i4>5</vt:i4>
      </vt:variant>
      <vt:variant>
        <vt:lpwstr/>
      </vt:variant>
      <vt:variant>
        <vt:lpwstr>_Toc197520537</vt:lpwstr>
      </vt:variant>
      <vt:variant>
        <vt:i4>1572913</vt:i4>
      </vt:variant>
      <vt:variant>
        <vt:i4>116</vt:i4>
      </vt:variant>
      <vt:variant>
        <vt:i4>0</vt:i4>
      </vt:variant>
      <vt:variant>
        <vt:i4>5</vt:i4>
      </vt:variant>
      <vt:variant>
        <vt:lpwstr/>
      </vt:variant>
      <vt:variant>
        <vt:lpwstr>_Toc197520536</vt:lpwstr>
      </vt:variant>
      <vt:variant>
        <vt:i4>1572913</vt:i4>
      </vt:variant>
      <vt:variant>
        <vt:i4>110</vt:i4>
      </vt:variant>
      <vt:variant>
        <vt:i4>0</vt:i4>
      </vt:variant>
      <vt:variant>
        <vt:i4>5</vt:i4>
      </vt:variant>
      <vt:variant>
        <vt:lpwstr/>
      </vt:variant>
      <vt:variant>
        <vt:lpwstr>_Toc197520535</vt:lpwstr>
      </vt:variant>
      <vt:variant>
        <vt:i4>1572913</vt:i4>
      </vt:variant>
      <vt:variant>
        <vt:i4>104</vt:i4>
      </vt:variant>
      <vt:variant>
        <vt:i4>0</vt:i4>
      </vt:variant>
      <vt:variant>
        <vt:i4>5</vt:i4>
      </vt:variant>
      <vt:variant>
        <vt:lpwstr/>
      </vt:variant>
      <vt:variant>
        <vt:lpwstr>_Toc197520534</vt:lpwstr>
      </vt:variant>
      <vt:variant>
        <vt:i4>1572913</vt:i4>
      </vt:variant>
      <vt:variant>
        <vt:i4>98</vt:i4>
      </vt:variant>
      <vt:variant>
        <vt:i4>0</vt:i4>
      </vt:variant>
      <vt:variant>
        <vt:i4>5</vt:i4>
      </vt:variant>
      <vt:variant>
        <vt:lpwstr/>
      </vt:variant>
      <vt:variant>
        <vt:lpwstr>_Toc197520533</vt:lpwstr>
      </vt:variant>
      <vt:variant>
        <vt:i4>1572913</vt:i4>
      </vt:variant>
      <vt:variant>
        <vt:i4>92</vt:i4>
      </vt:variant>
      <vt:variant>
        <vt:i4>0</vt:i4>
      </vt:variant>
      <vt:variant>
        <vt:i4>5</vt:i4>
      </vt:variant>
      <vt:variant>
        <vt:lpwstr/>
      </vt:variant>
      <vt:variant>
        <vt:lpwstr>_Toc197520532</vt:lpwstr>
      </vt:variant>
      <vt:variant>
        <vt:i4>1572913</vt:i4>
      </vt:variant>
      <vt:variant>
        <vt:i4>86</vt:i4>
      </vt:variant>
      <vt:variant>
        <vt:i4>0</vt:i4>
      </vt:variant>
      <vt:variant>
        <vt:i4>5</vt:i4>
      </vt:variant>
      <vt:variant>
        <vt:lpwstr/>
      </vt:variant>
      <vt:variant>
        <vt:lpwstr>_Toc197520531</vt:lpwstr>
      </vt:variant>
      <vt:variant>
        <vt:i4>1572913</vt:i4>
      </vt:variant>
      <vt:variant>
        <vt:i4>80</vt:i4>
      </vt:variant>
      <vt:variant>
        <vt:i4>0</vt:i4>
      </vt:variant>
      <vt:variant>
        <vt:i4>5</vt:i4>
      </vt:variant>
      <vt:variant>
        <vt:lpwstr/>
      </vt:variant>
      <vt:variant>
        <vt:lpwstr>_Toc197520530</vt:lpwstr>
      </vt:variant>
      <vt:variant>
        <vt:i4>1638449</vt:i4>
      </vt:variant>
      <vt:variant>
        <vt:i4>74</vt:i4>
      </vt:variant>
      <vt:variant>
        <vt:i4>0</vt:i4>
      </vt:variant>
      <vt:variant>
        <vt:i4>5</vt:i4>
      </vt:variant>
      <vt:variant>
        <vt:lpwstr/>
      </vt:variant>
      <vt:variant>
        <vt:lpwstr>_Toc197520529</vt:lpwstr>
      </vt:variant>
      <vt:variant>
        <vt:i4>1638449</vt:i4>
      </vt:variant>
      <vt:variant>
        <vt:i4>68</vt:i4>
      </vt:variant>
      <vt:variant>
        <vt:i4>0</vt:i4>
      </vt:variant>
      <vt:variant>
        <vt:i4>5</vt:i4>
      </vt:variant>
      <vt:variant>
        <vt:lpwstr/>
      </vt:variant>
      <vt:variant>
        <vt:lpwstr>_Toc197520528</vt:lpwstr>
      </vt:variant>
      <vt:variant>
        <vt:i4>1638449</vt:i4>
      </vt:variant>
      <vt:variant>
        <vt:i4>62</vt:i4>
      </vt:variant>
      <vt:variant>
        <vt:i4>0</vt:i4>
      </vt:variant>
      <vt:variant>
        <vt:i4>5</vt:i4>
      </vt:variant>
      <vt:variant>
        <vt:lpwstr/>
      </vt:variant>
      <vt:variant>
        <vt:lpwstr>_Toc197520527</vt:lpwstr>
      </vt:variant>
      <vt:variant>
        <vt:i4>1638449</vt:i4>
      </vt:variant>
      <vt:variant>
        <vt:i4>56</vt:i4>
      </vt:variant>
      <vt:variant>
        <vt:i4>0</vt:i4>
      </vt:variant>
      <vt:variant>
        <vt:i4>5</vt:i4>
      </vt:variant>
      <vt:variant>
        <vt:lpwstr/>
      </vt:variant>
      <vt:variant>
        <vt:lpwstr>_Toc197520526</vt:lpwstr>
      </vt:variant>
      <vt:variant>
        <vt:i4>1638449</vt:i4>
      </vt:variant>
      <vt:variant>
        <vt:i4>50</vt:i4>
      </vt:variant>
      <vt:variant>
        <vt:i4>0</vt:i4>
      </vt:variant>
      <vt:variant>
        <vt:i4>5</vt:i4>
      </vt:variant>
      <vt:variant>
        <vt:lpwstr/>
      </vt:variant>
      <vt:variant>
        <vt:lpwstr>_Toc197520525</vt:lpwstr>
      </vt:variant>
      <vt:variant>
        <vt:i4>1638449</vt:i4>
      </vt:variant>
      <vt:variant>
        <vt:i4>44</vt:i4>
      </vt:variant>
      <vt:variant>
        <vt:i4>0</vt:i4>
      </vt:variant>
      <vt:variant>
        <vt:i4>5</vt:i4>
      </vt:variant>
      <vt:variant>
        <vt:lpwstr/>
      </vt:variant>
      <vt:variant>
        <vt:lpwstr>_Toc197520524</vt:lpwstr>
      </vt:variant>
      <vt:variant>
        <vt:i4>1638449</vt:i4>
      </vt:variant>
      <vt:variant>
        <vt:i4>38</vt:i4>
      </vt:variant>
      <vt:variant>
        <vt:i4>0</vt:i4>
      </vt:variant>
      <vt:variant>
        <vt:i4>5</vt:i4>
      </vt:variant>
      <vt:variant>
        <vt:lpwstr/>
      </vt:variant>
      <vt:variant>
        <vt:lpwstr>_Toc197520523</vt:lpwstr>
      </vt:variant>
      <vt:variant>
        <vt:i4>1638449</vt:i4>
      </vt:variant>
      <vt:variant>
        <vt:i4>32</vt:i4>
      </vt:variant>
      <vt:variant>
        <vt:i4>0</vt:i4>
      </vt:variant>
      <vt:variant>
        <vt:i4>5</vt:i4>
      </vt:variant>
      <vt:variant>
        <vt:lpwstr/>
      </vt:variant>
      <vt:variant>
        <vt:lpwstr>_Toc197520522</vt:lpwstr>
      </vt:variant>
      <vt:variant>
        <vt:i4>1638449</vt:i4>
      </vt:variant>
      <vt:variant>
        <vt:i4>26</vt:i4>
      </vt:variant>
      <vt:variant>
        <vt:i4>0</vt:i4>
      </vt:variant>
      <vt:variant>
        <vt:i4>5</vt:i4>
      </vt:variant>
      <vt:variant>
        <vt:lpwstr/>
      </vt:variant>
      <vt:variant>
        <vt:lpwstr>_Toc197520521</vt:lpwstr>
      </vt:variant>
      <vt:variant>
        <vt:i4>1638449</vt:i4>
      </vt:variant>
      <vt:variant>
        <vt:i4>20</vt:i4>
      </vt:variant>
      <vt:variant>
        <vt:i4>0</vt:i4>
      </vt:variant>
      <vt:variant>
        <vt:i4>5</vt:i4>
      </vt:variant>
      <vt:variant>
        <vt:lpwstr/>
      </vt:variant>
      <vt:variant>
        <vt:lpwstr>_Toc197520520</vt:lpwstr>
      </vt:variant>
      <vt:variant>
        <vt:i4>1703985</vt:i4>
      </vt:variant>
      <vt:variant>
        <vt:i4>14</vt:i4>
      </vt:variant>
      <vt:variant>
        <vt:i4>0</vt:i4>
      </vt:variant>
      <vt:variant>
        <vt:i4>5</vt:i4>
      </vt:variant>
      <vt:variant>
        <vt:lpwstr/>
      </vt:variant>
      <vt:variant>
        <vt:lpwstr>_Toc197520519</vt:lpwstr>
      </vt:variant>
      <vt:variant>
        <vt:i4>1703985</vt:i4>
      </vt:variant>
      <vt:variant>
        <vt:i4>8</vt:i4>
      </vt:variant>
      <vt:variant>
        <vt:i4>0</vt:i4>
      </vt:variant>
      <vt:variant>
        <vt:i4>5</vt:i4>
      </vt:variant>
      <vt:variant>
        <vt:lpwstr/>
      </vt:variant>
      <vt:variant>
        <vt:lpwstr>_Toc197520518</vt:lpwstr>
      </vt:variant>
      <vt:variant>
        <vt:i4>1703985</vt:i4>
      </vt:variant>
      <vt:variant>
        <vt:i4>2</vt:i4>
      </vt:variant>
      <vt:variant>
        <vt:i4>0</vt:i4>
      </vt:variant>
      <vt:variant>
        <vt:i4>5</vt:i4>
      </vt:variant>
      <vt:variant>
        <vt:lpwstr/>
      </vt:variant>
      <vt:variant>
        <vt:lpwstr>_Toc197520517</vt:lpwstr>
      </vt:variant>
      <vt:variant>
        <vt:i4>2949240</vt:i4>
      </vt:variant>
      <vt:variant>
        <vt:i4>15</vt:i4>
      </vt:variant>
      <vt:variant>
        <vt:i4>0</vt:i4>
      </vt:variant>
      <vt:variant>
        <vt:i4>5</vt:i4>
      </vt:variant>
      <vt:variant>
        <vt:lpwstr>https://www.nhgis.org/geographic-crosswalks</vt:lpwstr>
      </vt:variant>
      <vt:variant>
        <vt:lpwstr>download</vt:lpwstr>
      </vt:variant>
      <vt:variant>
        <vt:i4>2687090</vt:i4>
      </vt:variant>
      <vt:variant>
        <vt:i4>12</vt:i4>
      </vt:variant>
      <vt:variant>
        <vt:i4>0</vt:i4>
      </vt:variant>
      <vt:variant>
        <vt:i4>5</vt:i4>
      </vt:variant>
      <vt:variant>
        <vt:lpwstr>https://www.census.gov/popest/research/modified/STCO-MR2010_AL_MO.csv</vt:lpwstr>
      </vt:variant>
      <vt:variant>
        <vt:lpwstr/>
      </vt:variant>
      <vt:variant>
        <vt:i4>2949240</vt:i4>
      </vt:variant>
      <vt:variant>
        <vt:i4>9</vt:i4>
      </vt:variant>
      <vt:variant>
        <vt:i4>0</vt:i4>
      </vt:variant>
      <vt:variant>
        <vt:i4>5</vt:i4>
      </vt:variant>
      <vt:variant>
        <vt:lpwstr>https://www.nhgis.org/geographic-crosswalks</vt:lpwstr>
      </vt:variant>
      <vt:variant>
        <vt:lpwstr>download</vt:lpwstr>
      </vt:variant>
      <vt:variant>
        <vt:i4>6029332</vt:i4>
      </vt:variant>
      <vt:variant>
        <vt:i4>6</vt:i4>
      </vt:variant>
      <vt:variant>
        <vt:i4>0</vt:i4>
      </vt:variant>
      <vt:variant>
        <vt:i4>5</vt:i4>
      </vt:variant>
      <vt:variant>
        <vt:lpwstr>https://www.nhgis.org/geographic-crosswalks</vt:lpwstr>
      </vt:variant>
      <vt:variant>
        <vt:lpwstr>basics</vt:lpwstr>
      </vt:variant>
      <vt:variant>
        <vt:i4>6946941</vt:i4>
      </vt:variant>
      <vt:variant>
        <vt:i4>3</vt:i4>
      </vt:variant>
      <vt:variant>
        <vt:i4>0</vt:i4>
      </vt:variant>
      <vt:variant>
        <vt:i4>5</vt:i4>
      </vt:variant>
      <vt:variant>
        <vt:lpwstr>http://doi.org/10.18128/D050.V18.0</vt:lpwstr>
      </vt:variant>
      <vt:variant>
        <vt:lpwstr/>
      </vt:variant>
      <vt:variant>
        <vt:i4>6684714</vt:i4>
      </vt:variant>
      <vt:variant>
        <vt:i4>0</vt:i4>
      </vt:variant>
      <vt:variant>
        <vt:i4>0</vt:i4>
      </vt:variant>
      <vt:variant>
        <vt:i4>5</vt:i4>
      </vt:variant>
      <vt:variant>
        <vt:lpwstr>https://donahue.umass.edu/our-publications/donahue-data-dash-the-effects-of-differential-privacy-on-massachusetts-pl-94-census-data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UMDI Report</dc:title>
  <dc:subject/>
  <dc:creator>Denis McAuliffe</dc:creator>
  <cp:keywords/>
  <dc:description/>
  <cp:lastModifiedBy>Susan Strate</cp:lastModifiedBy>
  <cp:revision>2</cp:revision>
  <cp:lastPrinted>2024-07-11T03:14:00Z</cp:lastPrinted>
  <dcterms:created xsi:type="dcterms:W3CDTF">2025-05-08T12:33:00Z</dcterms:created>
  <dcterms:modified xsi:type="dcterms:W3CDTF">2025-05-08T12:33:00Z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08.31.2018</vt:lpwstr>
  </property>
  <property fmtid="{D5CDD505-2E9C-101B-9397-08002B2CF9AE}" pid="3" name="CCNameID">
    <vt:lpwstr>929172788</vt:lpwstr>
  </property>
  <property fmtid="{D5CDD505-2E9C-101B-9397-08002B2CF9AE}" pid="4" name="CoverType">
    <vt:lpwstr>4</vt:lpwstr>
  </property>
  <property fmtid="{D5CDD505-2E9C-101B-9397-08002B2CF9AE}" pid="5" name="BusUnit">
    <vt:lpwstr>EPPR</vt:lpwstr>
  </property>
  <property fmtid="{D5CDD505-2E9C-101B-9397-08002B2CF9AE}" pid="6" name="ContentTypeId">
    <vt:lpwstr>0x010100C9C76D1ECFDA824DBD82448BA032721D</vt:lpwstr>
  </property>
</Properties>
</file>