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10" w:type="dxa"/>
          <w:right w:w="10" w:type="dxa"/>
        </w:tblCellMar>
        <w:tblLook w:val="04A0" w:firstRow="1" w:lastRow="0" w:firstColumn="1" w:lastColumn="0" w:noHBand="0" w:noVBand="1"/>
      </w:tblPr>
      <w:tblGrid>
        <w:gridCol w:w="3010"/>
        <w:gridCol w:w="2990"/>
        <w:gridCol w:w="3016"/>
      </w:tblGrid>
      <w:tr w:rsidR="00A8463B" w14:paraId="3F3AD27E" w14:textId="77777777">
        <w:trPr>
          <w:trHeight w:val="1"/>
        </w:trPr>
        <w:tc>
          <w:tcPr>
            <w:tcW w:w="301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278" w14:textId="77777777" w:rsidR="00A8463B" w:rsidRDefault="00823A95">
            <w:pPr>
              <w:suppressAutoHyphens/>
              <w:spacing w:after="0" w:line="240" w:lineRule="auto"/>
              <w:rPr>
                <w:rFonts w:ascii="Calibri" w:eastAsia="Calibri" w:hAnsi="Calibri" w:cs="Calibri"/>
                <w:b/>
              </w:rPr>
            </w:pPr>
            <w:r>
              <w:rPr>
                <w:rFonts w:ascii="Calibri" w:eastAsia="Calibri" w:hAnsi="Calibri" w:cs="Calibri"/>
                <w:b/>
              </w:rPr>
              <w:t xml:space="preserve">Auditors Name:       </w:t>
            </w:r>
          </w:p>
          <w:p w14:paraId="3F3AD279" w14:textId="77777777" w:rsidR="00A8463B" w:rsidRDefault="00823A95">
            <w:pPr>
              <w:suppressAutoHyphens/>
              <w:spacing w:after="0" w:line="240" w:lineRule="auto"/>
              <w:rPr>
                <w:rFonts w:ascii="Calibri" w:eastAsia="Calibri" w:hAnsi="Calibri" w:cs="Calibri"/>
              </w:rPr>
            </w:pPr>
            <w:r>
              <w:rPr>
                <w:rFonts w:ascii="Calibri" w:eastAsia="Calibri" w:hAnsi="Calibri" w:cs="Calibri"/>
              </w:rPr>
              <w:t>Zoe Quick</w:t>
            </w:r>
          </w:p>
        </w:tc>
        <w:tc>
          <w:tcPr>
            <w:tcW w:w="29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27A" w14:textId="77777777" w:rsidR="00A8463B" w:rsidRDefault="00823A95">
            <w:pPr>
              <w:suppressAutoHyphens/>
              <w:spacing w:after="0" w:line="240" w:lineRule="auto"/>
              <w:rPr>
                <w:rFonts w:ascii="Calibri" w:eastAsia="Calibri" w:hAnsi="Calibri" w:cs="Calibri"/>
                <w:b/>
              </w:rPr>
            </w:pPr>
            <w:r>
              <w:rPr>
                <w:rFonts w:ascii="Calibri" w:eastAsia="Calibri" w:hAnsi="Calibri" w:cs="Calibri"/>
                <w:b/>
              </w:rPr>
              <w:t xml:space="preserve">Check Ref: </w:t>
            </w:r>
          </w:p>
          <w:p w14:paraId="3F3AD27B" w14:textId="71585CB5" w:rsidR="00A16290" w:rsidRDefault="00FD6CA3">
            <w:pPr>
              <w:suppressAutoHyphens/>
              <w:spacing w:after="0" w:line="240" w:lineRule="auto"/>
              <w:rPr>
                <w:rFonts w:ascii="Calibri" w:eastAsia="Calibri" w:hAnsi="Calibri" w:cs="Calibri"/>
              </w:rPr>
            </w:pPr>
            <w:r>
              <w:rPr>
                <w:rFonts w:ascii="Calibri" w:eastAsia="Calibri" w:hAnsi="Calibri" w:cs="Calibri"/>
              </w:rPr>
              <w:t>5</w:t>
            </w:r>
            <w:r w:rsidR="00A16290">
              <w:rPr>
                <w:rFonts w:ascii="Calibri" w:eastAsia="Calibri" w:hAnsi="Calibri" w:cs="Calibri"/>
              </w:rPr>
              <w:t>1</w:t>
            </w:r>
          </w:p>
        </w:tc>
        <w:tc>
          <w:tcPr>
            <w:tcW w:w="301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27C" w14:textId="77777777" w:rsidR="00A8463B" w:rsidRDefault="00823A95">
            <w:pPr>
              <w:suppressAutoHyphens/>
              <w:spacing w:after="0" w:line="240" w:lineRule="auto"/>
              <w:rPr>
                <w:rFonts w:ascii="Calibri" w:eastAsia="Calibri" w:hAnsi="Calibri" w:cs="Calibri"/>
                <w:b/>
              </w:rPr>
            </w:pPr>
            <w:r>
              <w:rPr>
                <w:rFonts w:ascii="Calibri" w:eastAsia="Calibri" w:hAnsi="Calibri" w:cs="Calibri"/>
                <w:b/>
              </w:rPr>
              <w:t>Date:</w:t>
            </w:r>
          </w:p>
          <w:p w14:paraId="3F3AD27D" w14:textId="3D71501F" w:rsidR="00A8463B" w:rsidRDefault="006364AF">
            <w:pPr>
              <w:suppressAutoHyphens/>
              <w:spacing w:after="0" w:line="240" w:lineRule="auto"/>
              <w:rPr>
                <w:rFonts w:ascii="Calibri" w:eastAsia="Calibri" w:hAnsi="Calibri" w:cs="Calibri"/>
              </w:rPr>
            </w:pPr>
            <w:r>
              <w:rPr>
                <w:rFonts w:ascii="Calibri" w:eastAsia="Calibri" w:hAnsi="Calibri" w:cs="Calibri"/>
              </w:rPr>
              <w:t>September</w:t>
            </w:r>
            <w:r w:rsidR="005D3707">
              <w:rPr>
                <w:rFonts w:ascii="Calibri" w:eastAsia="Calibri" w:hAnsi="Calibri" w:cs="Calibri"/>
              </w:rPr>
              <w:t xml:space="preserve"> 2025</w:t>
            </w:r>
          </w:p>
        </w:tc>
      </w:tr>
      <w:tr w:rsidR="00A8463B" w14:paraId="3F3AD280"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EAAAA"/>
            <w:tcMar>
              <w:left w:w="108" w:type="dxa"/>
              <w:right w:w="108" w:type="dxa"/>
            </w:tcMar>
          </w:tcPr>
          <w:p w14:paraId="3F3AD27F" w14:textId="77777777" w:rsidR="00A8463B" w:rsidRDefault="00A8463B">
            <w:pPr>
              <w:suppressAutoHyphens/>
              <w:spacing w:after="0" w:line="240" w:lineRule="auto"/>
              <w:rPr>
                <w:rFonts w:ascii="Calibri" w:eastAsia="Calibri" w:hAnsi="Calibri" w:cs="Calibri"/>
                <w:sz w:val="22"/>
              </w:rPr>
            </w:pPr>
          </w:p>
        </w:tc>
      </w:tr>
      <w:tr w:rsidR="00A8463B" w14:paraId="3F3AD287"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14:paraId="3F3AD281" w14:textId="77777777" w:rsidR="00A8463B" w:rsidRDefault="00823A95">
            <w:pPr>
              <w:suppressAutoHyphens/>
              <w:spacing w:after="0" w:line="240" w:lineRule="auto"/>
              <w:rPr>
                <w:rFonts w:ascii="Calibri" w:eastAsia="Calibri" w:hAnsi="Calibri" w:cs="Calibri"/>
                <w:b/>
              </w:rPr>
            </w:pPr>
            <w:r>
              <w:rPr>
                <w:rFonts w:ascii="Calibri" w:eastAsia="Calibri" w:hAnsi="Calibri" w:cs="Calibri"/>
                <w:b/>
              </w:rPr>
              <w:t>Activity/Employee Being Audited:</w:t>
            </w:r>
          </w:p>
          <w:p w14:paraId="4CEDAC2F" w14:textId="77777777" w:rsidR="00407B58" w:rsidRDefault="00407B58">
            <w:pPr>
              <w:suppressAutoHyphens/>
              <w:spacing w:after="0" w:line="240" w:lineRule="auto"/>
              <w:rPr>
                <w:rFonts w:ascii="Calibri" w:eastAsia="Calibri" w:hAnsi="Calibri" w:cs="Calibri"/>
                <w:b/>
              </w:rPr>
            </w:pPr>
          </w:p>
          <w:p w14:paraId="1AD66048" w14:textId="1CAFCA0C" w:rsidR="00A8463B" w:rsidRPr="00407B58" w:rsidRDefault="00407B58">
            <w:pPr>
              <w:suppressAutoHyphens/>
              <w:spacing w:after="0" w:line="240" w:lineRule="auto"/>
              <w:rPr>
                <w:rFonts w:ascii="Calibri" w:hAnsi="Calibri" w:cs="Calibri"/>
                <w:color w:val="000000"/>
              </w:rPr>
            </w:pPr>
            <w:r w:rsidRPr="00407B58">
              <w:rPr>
                <w:rFonts w:ascii="Calibri" w:hAnsi="Calibri" w:cs="Calibri"/>
                <w:color w:val="000000"/>
              </w:rPr>
              <w:t xml:space="preserve">Review customer vulnerability </w:t>
            </w:r>
            <w:r w:rsidR="00A93479" w:rsidRPr="00407B58">
              <w:rPr>
                <w:rFonts w:ascii="Calibri" w:hAnsi="Calibri" w:cs="Calibri"/>
                <w:color w:val="000000"/>
              </w:rPr>
              <w:t>indicators.</w:t>
            </w:r>
          </w:p>
          <w:p w14:paraId="3F3AD286" w14:textId="267A43C9" w:rsidR="00407B58" w:rsidRDefault="00407B58">
            <w:pPr>
              <w:suppressAutoHyphens/>
              <w:spacing w:after="0" w:line="240" w:lineRule="auto"/>
              <w:rPr>
                <w:rFonts w:ascii="Calibri" w:eastAsia="Calibri" w:hAnsi="Calibri" w:cs="Calibri"/>
              </w:rPr>
            </w:pPr>
          </w:p>
        </w:tc>
      </w:tr>
      <w:tr w:rsidR="00FF65D8" w14:paraId="3F3AD348"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14:paraId="1EDCF4F2" w14:textId="77777777" w:rsidR="00FF65D8" w:rsidRDefault="00FF65D8" w:rsidP="00FF65D8">
            <w:pPr>
              <w:suppressAutoHyphens/>
              <w:spacing w:after="0" w:line="240" w:lineRule="auto"/>
              <w:rPr>
                <w:rFonts w:ascii="Calibri" w:eastAsia="Calibri" w:hAnsi="Calibri" w:cs="Calibri"/>
                <w:b/>
              </w:rPr>
            </w:pPr>
            <w:r>
              <w:rPr>
                <w:rFonts w:ascii="Calibri" w:eastAsia="Calibri" w:hAnsi="Calibri" w:cs="Calibri"/>
                <w:b/>
              </w:rPr>
              <w:t>Variations from Procedural Document or Regulations:</w:t>
            </w:r>
          </w:p>
          <w:p w14:paraId="3F3AD347" w14:textId="704DA3FA" w:rsidR="009A3182" w:rsidRDefault="009A3182" w:rsidP="00BA124B">
            <w:pPr>
              <w:suppressAutoHyphens/>
              <w:spacing w:after="0" w:line="240" w:lineRule="auto"/>
              <w:rPr>
                <w:rFonts w:ascii="Calibri" w:eastAsia="Calibri" w:hAnsi="Calibri" w:cs="Calibri"/>
              </w:rPr>
            </w:pPr>
          </w:p>
        </w:tc>
      </w:tr>
      <w:tr w:rsidR="00FF65D8" w14:paraId="3F3AD3D7"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14:paraId="1D70D8A2" w14:textId="77777777" w:rsidR="009C508D" w:rsidRPr="00460AC2" w:rsidRDefault="009C508D" w:rsidP="009C508D">
            <w:pPr>
              <w:suppressAutoHyphens/>
              <w:spacing w:after="0" w:line="240" w:lineRule="auto"/>
              <w:rPr>
                <w:rFonts w:ascii="Aptos" w:hAnsi="Aptos" w:cstheme="minorHAnsi"/>
                <w:color w:val="000000" w:themeColor="text1"/>
              </w:rPr>
            </w:pPr>
            <w:r w:rsidRPr="00460AC2">
              <w:rPr>
                <w:rFonts w:ascii="Aptos" w:hAnsi="Aptos" w:cstheme="minorHAnsi"/>
                <w:color w:val="000000" w:themeColor="text1"/>
              </w:rPr>
              <w:t>Causes for Variation: (if applicable)</w:t>
            </w:r>
          </w:p>
          <w:p w14:paraId="2C94BC7D" w14:textId="77777777" w:rsidR="008A6201" w:rsidRPr="00460AC2" w:rsidRDefault="008A6201" w:rsidP="00370F78">
            <w:pPr>
              <w:suppressAutoHyphens/>
              <w:spacing w:after="0" w:line="240" w:lineRule="auto"/>
              <w:rPr>
                <w:rFonts w:ascii="Aptos" w:hAnsi="Aptos" w:cstheme="minorHAnsi"/>
                <w:color w:val="000000" w:themeColor="text1"/>
              </w:rPr>
            </w:pPr>
          </w:p>
          <w:p w14:paraId="21D06252" w14:textId="77777777" w:rsidR="00644F7E" w:rsidRDefault="00644F7E" w:rsidP="0076644D">
            <w:pPr>
              <w:suppressAutoHyphens/>
              <w:spacing w:after="0" w:line="240" w:lineRule="auto"/>
              <w:rPr>
                <w:rFonts w:ascii="Aptos" w:hAnsi="Aptos" w:cstheme="minorHAnsi"/>
              </w:rPr>
            </w:pPr>
          </w:p>
          <w:p w14:paraId="2D0BADBA" w14:textId="789D2D95" w:rsidR="00644F7E" w:rsidRDefault="002A11DC" w:rsidP="0076644D">
            <w:pPr>
              <w:suppressAutoHyphens/>
              <w:spacing w:after="0" w:line="240" w:lineRule="auto"/>
              <w:rPr>
                <w:rFonts w:ascii="Aptos" w:hAnsi="Aptos" w:cstheme="minorHAnsi"/>
              </w:rPr>
            </w:pPr>
            <w:r>
              <w:rPr>
                <w:rFonts w:ascii="Aptos" w:hAnsi="Aptos" w:cstheme="minorHAnsi"/>
              </w:rPr>
              <w:t xml:space="preserve">Ref: </w:t>
            </w:r>
            <w:r w:rsidR="00E23225" w:rsidRPr="00E23225">
              <w:rPr>
                <w:rFonts w:ascii="Aptos" w:hAnsi="Aptos" w:cstheme="minorHAnsi"/>
              </w:rPr>
              <w:t>852094 </w:t>
            </w:r>
          </w:p>
          <w:p w14:paraId="5C26E6FE" w14:textId="0B6FC2DE" w:rsidR="00E25216" w:rsidRDefault="00E25216" w:rsidP="0074007A">
            <w:pPr>
              <w:suppressAutoHyphens/>
              <w:spacing w:after="0" w:line="240" w:lineRule="auto"/>
              <w:rPr>
                <w:rFonts w:ascii="Aptos" w:hAnsi="Aptos" w:cstheme="minorHAnsi"/>
              </w:rPr>
            </w:pPr>
            <w:r>
              <w:rPr>
                <w:rFonts w:ascii="Aptos" w:hAnsi="Aptos" w:cstheme="minorHAnsi"/>
              </w:rPr>
              <w:t>Policy not followed.</w:t>
            </w:r>
          </w:p>
          <w:p w14:paraId="319FEB43" w14:textId="77777777" w:rsidR="00904909" w:rsidRPr="00904909" w:rsidRDefault="00904909" w:rsidP="00904909">
            <w:pPr>
              <w:suppressAutoHyphens/>
              <w:spacing w:after="0" w:line="240" w:lineRule="auto"/>
              <w:rPr>
                <w:rFonts w:ascii="Aptos" w:hAnsi="Aptos" w:cstheme="minorHAnsi"/>
              </w:rPr>
            </w:pPr>
            <w:r w:rsidRPr="00904909">
              <w:rPr>
                <w:rFonts w:ascii="Aptos" w:hAnsi="Aptos" w:cstheme="minorHAnsi"/>
              </w:rPr>
              <w:t>The customer is currently reliant on family support to clear arrears. Despite this, an arrangement has been set over 9 payments without a confirmed offer or agreement from the customer. There is no evidence of a sustainability assessment being completed from the customer’s perspective.</w:t>
            </w:r>
          </w:p>
          <w:p w14:paraId="5F112894" w14:textId="77777777" w:rsidR="00904909" w:rsidRPr="00904909" w:rsidRDefault="00904909" w:rsidP="00904909">
            <w:pPr>
              <w:suppressAutoHyphens/>
              <w:spacing w:after="0" w:line="240" w:lineRule="auto"/>
              <w:rPr>
                <w:rFonts w:ascii="Aptos" w:hAnsi="Aptos" w:cstheme="minorHAnsi"/>
              </w:rPr>
            </w:pPr>
            <w:r w:rsidRPr="00904909">
              <w:rPr>
                <w:rFonts w:ascii="Aptos" w:hAnsi="Aptos" w:cstheme="minorHAnsi"/>
              </w:rPr>
              <w:t>Subsequently, the customer proposed an alternative payment of £20.00 per month; however, the previous arrangement was left active, and the customer was instead asked to provide an Income &amp; Expenditure breakdown.</w:t>
            </w:r>
          </w:p>
          <w:p w14:paraId="22164385" w14:textId="58D3A157" w:rsidR="00904909" w:rsidRPr="00904909" w:rsidRDefault="00904909" w:rsidP="00904909">
            <w:pPr>
              <w:suppressAutoHyphens/>
              <w:spacing w:after="0" w:line="240" w:lineRule="auto"/>
              <w:rPr>
                <w:rFonts w:ascii="Aptos" w:hAnsi="Aptos" w:cstheme="minorHAnsi"/>
              </w:rPr>
            </w:pPr>
            <w:r w:rsidRPr="00904909">
              <w:rPr>
                <w:rFonts w:ascii="Aptos" w:hAnsi="Aptos" w:cstheme="minorHAnsi"/>
                <w:b/>
                <w:bCs/>
              </w:rPr>
              <w:t>Compliance Considerations:</w:t>
            </w:r>
            <w:r>
              <w:rPr>
                <w:rFonts w:ascii="Aptos" w:hAnsi="Aptos" w:cstheme="minorHAnsi"/>
                <w:b/>
                <w:bCs/>
              </w:rPr>
              <w:t xml:space="preserve"> </w:t>
            </w:r>
            <w:r w:rsidRPr="00904909">
              <w:rPr>
                <w:rFonts w:ascii="Aptos" w:hAnsi="Aptos" w:cstheme="minorHAnsi"/>
              </w:rPr>
              <w:t>Repayment arrangements must be established in line with the customer’s affordability and proposals, not imposed figures.</w:t>
            </w:r>
            <w:r>
              <w:rPr>
                <w:rFonts w:ascii="Aptos" w:hAnsi="Aptos" w:cstheme="minorHAnsi"/>
              </w:rPr>
              <w:t xml:space="preserve"> </w:t>
            </w:r>
            <w:r w:rsidRPr="00904909">
              <w:rPr>
                <w:rFonts w:ascii="Aptos" w:hAnsi="Aptos" w:cstheme="minorHAnsi"/>
              </w:rPr>
              <w:t>Setting arrangements on an arbitrary basis risks further financial detriment to the customer.</w:t>
            </w:r>
          </w:p>
          <w:p w14:paraId="4B290142" w14:textId="77777777" w:rsidR="00904909" w:rsidRDefault="00904909" w:rsidP="00657AF5">
            <w:pPr>
              <w:suppressAutoHyphens/>
              <w:spacing w:after="0" w:line="240" w:lineRule="auto"/>
              <w:rPr>
                <w:rFonts w:ascii="Aptos" w:hAnsi="Aptos" w:cstheme="minorHAnsi"/>
              </w:rPr>
            </w:pPr>
            <w:r w:rsidRPr="00904909">
              <w:rPr>
                <w:rFonts w:ascii="Aptos" w:hAnsi="Aptos" w:cstheme="minorHAnsi"/>
              </w:rPr>
              <w:t>Where a customer declares that the current arrangement is unaffordable, any active arrangement should be cancelled to prevent inappropriate collections activity.</w:t>
            </w:r>
          </w:p>
          <w:p w14:paraId="1C7502A0" w14:textId="77777777" w:rsidR="004233D6" w:rsidRDefault="004233D6" w:rsidP="00657AF5">
            <w:pPr>
              <w:suppressAutoHyphens/>
              <w:spacing w:after="0" w:line="240" w:lineRule="auto"/>
              <w:rPr>
                <w:rFonts w:ascii="Aptos" w:hAnsi="Aptos" w:cstheme="minorHAnsi"/>
              </w:rPr>
            </w:pPr>
          </w:p>
          <w:p w14:paraId="04AD632B" w14:textId="46F2FAC9" w:rsidR="004233D6" w:rsidRDefault="004233D6" w:rsidP="004233D6">
            <w:pPr>
              <w:suppressAutoHyphens/>
              <w:spacing w:after="0" w:line="240" w:lineRule="auto"/>
              <w:rPr>
                <w:rFonts w:ascii="Aptos" w:hAnsi="Aptos" w:cstheme="minorHAnsi"/>
              </w:rPr>
            </w:pPr>
            <w:r>
              <w:rPr>
                <w:rFonts w:ascii="Aptos" w:hAnsi="Aptos" w:cstheme="minorHAnsi"/>
              </w:rPr>
              <w:t xml:space="preserve">Ref: </w:t>
            </w:r>
            <w:r w:rsidR="000B23A5" w:rsidRPr="00BB029F">
              <w:rPr>
                <w:rFonts w:ascii="Aptos" w:hAnsi="Aptos" w:cstheme="minorHAnsi"/>
              </w:rPr>
              <w:t>876489</w:t>
            </w:r>
          </w:p>
          <w:p w14:paraId="41659F1B" w14:textId="7823C942" w:rsidR="008B4B7C" w:rsidRPr="008B4B7C" w:rsidRDefault="008B4B7C" w:rsidP="00924498">
            <w:pPr>
              <w:suppressAutoHyphens/>
              <w:spacing w:after="0" w:line="240" w:lineRule="auto"/>
              <w:rPr>
                <w:rFonts w:ascii="Aptos" w:hAnsi="Aptos" w:cstheme="minorHAnsi"/>
                <w:b/>
                <w:bCs/>
              </w:rPr>
            </w:pPr>
            <w:r w:rsidRPr="008B4B7C">
              <w:rPr>
                <w:rFonts w:ascii="Aptos" w:hAnsi="Aptos" w:cstheme="minorHAnsi"/>
              </w:rPr>
              <w:t>The customer indicated a desire to pay £50.00 but expressed difficulty in maintaining this amount. Following this, the customer was sent the standard payment options email, which states that we cannot accept less than 15% of the balance (over £100.00). This is 50% higher than the amount the customer had said they could afford.</w:t>
            </w:r>
            <w:r>
              <w:rPr>
                <w:rFonts w:ascii="Aptos" w:hAnsi="Aptos" w:cstheme="minorHAnsi"/>
              </w:rPr>
              <w:t xml:space="preserve"> </w:t>
            </w:r>
            <w:r w:rsidRPr="008B4B7C">
              <w:rPr>
                <w:rFonts w:ascii="Aptos" w:hAnsi="Aptos" w:cstheme="minorHAnsi"/>
              </w:rPr>
              <w:t xml:space="preserve">The body of the email states: </w:t>
            </w:r>
            <w:r w:rsidRPr="008B4B7C">
              <w:rPr>
                <w:rFonts w:ascii="Aptos" w:hAnsi="Aptos" w:cstheme="minorHAnsi"/>
                <w:i/>
                <w:iCs/>
              </w:rPr>
              <w:t>“If you’re experiencing financial difficulties, we’re here to help”</w:t>
            </w:r>
            <w:r w:rsidRPr="008B4B7C">
              <w:rPr>
                <w:rFonts w:ascii="Aptos" w:hAnsi="Aptos" w:cstheme="minorHAnsi"/>
              </w:rPr>
              <w:t>, but it does not provide clear next steps on how to access this support. The email also does not make it clear that payments below 15% may be considered where the customer provides an Income &amp; Expenditure breakdown or engages in a discussion with us.</w:t>
            </w:r>
            <w:r>
              <w:rPr>
                <w:rFonts w:ascii="Aptos" w:hAnsi="Aptos" w:cstheme="minorHAnsi"/>
              </w:rPr>
              <w:t xml:space="preserve"> </w:t>
            </w:r>
            <w:r w:rsidRPr="008B4B7C">
              <w:rPr>
                <w:rFonts w:ascii="Aptos" w:hAnsi="Aptos" w:cstheme="minorHAnsi"/>
              </w:rPr>
              <w:t xml:space="preserve">Additionally, there appears to have been a misunderstanding during the conversation. The customer had proposed £10.00 </w:t>
            </w:r>
            <w:proofErr w:type="gramStart"/>
            <w:r w:rsidRPr="008B4B7C">
              <w:rPr>
                <w:rFonts w:ascii="Aptos" w:hAnsi="Aptos" w:cstheme="minorHAnsi"/>
              </w:rPr>
              <w:t>initially, but</w:t>
            </w:r>
            <w:proofErr w:type="gramEnd"/>
            <w:r w:rsidRPr="008B4B7C">
              <w:rPr>
                <w:rFonts w:ascii="Aptos" w:hAnsi="Aptos" w:cstheme="minorHAnsi"/>
              </w:rPr>
              <w:t xml:space="preserve"> also requested to pay £50.00 temporarily while gathering documentation. The agent subsequently agreed to a £50.00 temporary arrangement for three months, despite this being higher than the original proposal and not clearly aligned with the customer’s affordability.</w:t>
            </w:r>
            <w:r w:rsidR="00924498">
              <w:rPr>
                <w:rFonts w:ascii="Aptos" w:hAnsi="Aptos" w:cstheme="minorHAnsi"/>
              </w:rPr>
              <w:t xml:space="preserve"> </w:t>
            </w:r>
            <w:r w:rsidRPr="008B4B7C">
              <w:rPr>
                <w:rFonts w:ascii="Aptos" w:hAnsi="Aptos" w:cstheme="minorHAnsi"/>
              </w:rPr>
              <w:t>Compliance Considerations:</w:t>
            </w:r>
            <w:r w:rsidR="00924498">
              <w:rPr>
                <w:rFonts w:ascii="Aptos" w:hAnsi="Aptos" w:cstheme="minorHAnsi"/>
              </w:rPr>
              <w:t xml:space="preserve"> </w:t>
            </w:r>
            <w:r w:rsidRPr="008B4B7C">
              <w:rPr>
                <w:rFonts w:ascii="Aptos" w:hAnsi="Aptos" w:cstheme="minorHAnsi"/>
              </w:rPr>
              <w:t>Customer communications must be fully understood to ensure outcomes reflect their financial situation and support sustainable solutions.</w:t>
            </w:r>
            <w:r w:rsidR="00924498" w:rsidRPr="00924498">
              <w:rPr>
                <w:rFonts w:ascii="Aptos" w:hAnsi="Aptos" w:cstheme="minorHAnsi"/>
              </w:rPr>
              <w:t xml:space="preserve"> </w:t>
            </w:r>
            <w:r w:rsidRPr="008B4B7C">
              <w:rPr>
                <w:rFonts w:ascii="Aptos" w:hAnsi="Aptos" w:cstheme="minorHAnsi"/>
              </w:rPr>
              <w:t>Payment options communications should clearly explain that arrangements below the stated threshold may be considered where evidence of affordability is provided.</w:t>
            </w:r>
            <w:r w:rsidR="00924498" w:rsidRPr="00924498">
              <w:rPr>
                <w:rFonts w:ascii="Aptos" w:hAnsi="Aptos" w:cstheme="minorHAnsi"/>
              </w:rPr>
              <w:t xml:space="preserve"> </w:t>
            </w:r>
            <w:r w:rsidRPr="008B4B7C">
              <w:rPr>
                <w:rFonts w:ascii="Aptos" w:hAnsi="Aptos" w:cstheme="minorHAnsi"/>
              </w:rPr>
              <w:t>Agreements should be based on customer affordability, not system defaults or arbitrary thresholds, to avoid financial detriment</w:t>
            </w:r>
            <w:r w:rsidRPr="008B4B7C">
              <w:rPr>
                <w:rFonts w:ascii="Aptos" w:hAnsi="Aptos" w:cstheme="minorHAnsi"/>
                <w:b/>
                <w:bCs/>
              </w:rPr>
              <w:t xml:space="preserve"> </w:t>
            </w:r>
            <w:r w:rsidRPr="008B4B7C">
              <w:rPr>
                <w:rFonts w:ascii="Aptos" w:hAnsi="Aptos" w:cstheme="minorHAnsi"/>
              </w:rPr>
              <w:lastRenderedPageBreak/>
              <w:t>and ensure compliance with fair customer treatment.</w:t>
            </w:r>
          </w:p>
          <w:p w14:paraId="24576FC5" w14:textId="6EF91449" w:rsidR="004233D6" w:rsidRDefault="004233D6" w:rsidP="00657AF5">
            <w:pPr>
              <w:suppressAutoHyphens/>
              <w:spacing w:after="0" w:line="240" w:lineRule="auto"/>
              <w:rPr>
                <w:rFonts w:ascii="Aptos" w:hAnsi="Aptos" w:cstheme="minorHAnsi"/>
              </w:rPr>
            </w:pPr>
          </w:p>
          <w:p w14:paraId="423C34DF" w14:textId="09D635B5" w:rsidR="00404734" w:rsidRDefault="009215ED" w:rsidP="00657AF5">
            <w:pPr>
              <w:suppressAutoHyphens/>
              <w:spacing w:after="0" w:line="240" w:lineRule="auto"/>
              <w:rPr>
                <w:rFonts w:ascii="Aptos" w:hAnsi="Aptos" w:cstheme="minorHAnsi"/>
              </w:rPr>
            </w:pPr>
            <w:r>
              <w:rPr>
                <w:rFonts w:ascii="Aptos" w:hAnsi="Aptos" w:cstheme="minorHAnsi"/>
              </w:rPr>
              <w:t>Ref: 819453</w:t>
            </w:r>
          </w:p>
          <w:p w14:paraId="4C5DBF87" w14:textId="4A2B965B" w:rsidR="009215ED" w:rsidRDefault="009215ED" w:rsidP="00657AF5">
            <w:pPr>
              <w:suppressAutoHyphens/>
              <w:spacing w:after="0" w:line="240" w:lineRule="auto"/>
              <w:rPr>
                <w:rFonts w:ascii="Aptos" w:hAnsi="Aptos" w:cstheme="minorHAnsi"/>
              </w:rPr>
            </w:pPr>
            <w:r>
              <w:rPr>
                <w:rFonts w:ascii="Aptos" w:hAnsi="Aptos" w:cstheme="minorHAnsi"/>
              </w:rPr>
              <w:t>Followed in part.</w:t>
            </w:r>
          </w:p>
          <w:p w14:paraId="571D7E04" w14:textId="77777777" w:rsidR="002C65DF" w:rsidRPr="002C65DF" w:rsidRDefault="002C65DF" w:rsidP="002C65DF">
            <w:pPr>
              <w:suppressAutoHyphens/>
              <w:spacing w:after="0" w:line="240" w:lineRule="auto"/>
              <w:rPr>
                <w:rFonts w:ascii="Aptos" w:hAnsi="Aptos" w:cstheme="minorHAnsi"/>
              </w:rPr>
            </w:pPr>
            <w:r w:rsidRPr="002C65DF">
              <w:rPr>
                <w:rFonts w:ascii="Aptos" w:hAnsi="Aptos" w:cstheme="minorHAnsi"/>
              </w:rPr>
              <w:t>The customer notified us that they had lost their job and requested a repayment plan. A templated “PP setup request” email was issued, asking the customer to pay 15% of the balance (£97.00) or to contact us. The customer initially agreed; however, the arrangement failed at the first due date.</w:t>
            </w:r>
          </w:p>
          <w:p w14:paraId="21783759" w14:textId="77777777" w:rsidR="002C65DF" w:rsidRPr="002C65DF" w:rsidRDefault="002C65DF" w:rsidP="002C65DF">
            <w:pPr>
              <w:suppressAutoHyphens/>
              <w:spacing w:after="0" w:line="240" w:lineRule="auto"/>
              <w:rPr>
                <w:rFonts w:ascii="Aptos" w:hAnsi="Aptos" w:cstheme="minorHAnsi"/>
              </w:rPr>
            </w:pPr>
            <w:r w:rsidRPr="002C65DF">
              <w:rPr>
                <w:rFonts w:ascii="Aptos" w:hAnsi="Aptos" w:cstheme="minorHAnsi"/>
              </w:rPr>
              <w:t>The customer then contacted us again, advising that the arrangement was unaffordable and requested an alternative. At this stage, the customer was asked to submit supporting evidence along with an Income &amp; Expenditure statement.</w:t>
            </w:r>
          </w:p>
          <w:p w14:paraId="7D126255" w14:textId="60BA4739" w:rsidR="002C65DF" w:rsidRPr="002C65DF" w:rsidRDefault="002C65DF" w:rsidP="002C65DF">
            <w:pPr>
              <w:suppressAutoHyphens/>
              <w:spacing w:after="0" w:line="240" w:lineRule="auto"/>
              <w:rPr>
                <w:rFonts w:ascii="Aptos" w:hAnsi="Aptos" w:cstheme="minorHAnsi"/>
              </w:rPr>
            </w:pPr>
            <w:r w:rsidRPr="002C65DF">
              <w:rPr>
                <w:rFonts w:ascii="Aptos" w:hAnsi="Aptos" w:cstheme="minorHAnsi"/>
                <w:b/>
                <w:bCs/>
              </w:rPr>
              <w:t>Compliance Considerations:</w:t>
            </w:r>
            <w:r>
              <w:rPr>
                <w:rFonts w:ascii="Aptos" w:hAnsi="Aptos" w:cstheme="minorHAnsi"/>
                <w:b/>
                <w:bCs/>
              </w:rPr>
              <w:t xml:space="preserve"> </w:t>
            </w:r>
            <w:r w:rsidRPr="002C65DF">
              <w:rPr>
                <w:rFonts w:ascii="Aptos" w:hAnsi="Aptos" w:cstheme="minorHAnsi"/>
              </w:rPr>
              <w:t xml:space="preserve">Standard templates should be reviewed to ensure they </w:t>
            </w:r>
            <w:proofErr w:type="gramStart"/>
            <w:r w:rsidRPr="002C65DF">
              <w:rPr>
                <w:rFonts w:ascii="Aptos" w:hAnsi="Aptos" w:cstheme="minorHAnsi"/>
              </w:rPr>
              <w:t>take into account</w:t>
            </w:r>
            <w:proofErr w:type="gramEnd"/>
            <w:r w:rsidRPr="002C65DF">
              <w:rPr>
                <w:rFonts w:ascii="Aptos" w:hAnsi="Aptos" w:cstheme="minorHAnsi"/>
              </w:rPr>
              <w:t xml:space="preserve"> customer circumstances and are appropriately tailored, particularly where unemployment or vulnerability is disclosed.</w:t>
            </w:r>
            <w:r>
              <w:rPr>
                <w:rFonts w:ascii="Aptos" w:hAnsi="Aptos" w:cstheme="minorHAnsi"/>
              </w:rPr>
              <w:t xml:space="preserve"> </w:t>
            </w:r>
            <w:r w:rsidRPr="002C65DF">
              <w:rPr>
                <w:rFonts w:ascii="Aptos" w:hAnsi="Aptos" w:cstheme="minorHAnsi"/>
              </w:rPr>
              <w:t>Requesting 15% of arrears from a customer who has lost employment is unrealistic and risks creating an arrangement that is unsustainable, as evidenced by the failed plan. Requiring customers to provide evidence and I&amp;E only after an arrangement has failed could be seen as a delayed response. To meet FCA expectations on fair treatment and first-call resolution, affordability assessments should be considered at the point the customer first discloses financial difficulty, especially where low income may play a key factor in the customers difficulty.</w:t>
            </w:r>
          </w:p>
          <w:p w14:paraId="183D88E4" w14:textId="77777777" w:rsidR="007D1EFF" w:rsidRDefault="007D1EFF" w:rsidP="0074007A">
            <w:pPr>
              <w:suppressAutoHyphens/>
              <w:spacing w:after="0" w:line="240" w:lineRule="auto"/>
              <w:rPr>
                <w:rFonts w:ascii="Aptos" w:hAnsi="Aptos" w:cstheme="minorHAnsi"/>
              </w:rPr>
            </w:pPr>
          </w:p>
          <w:p w14:paraId="04AAE5B6" w14:textId="244F7F61" w:rsidR="00BD1F2B" w:rsidRDefault="00BD1F2B" w:rsidP="0074007A">
            <w:pPr>
              <w:suppressAutoHyphens/>
              <w:spacing w:after="0" w:line="240" w:lineRule="auto"/>
              <w:rPr>
                <w:rFonts w:ascii="Aptos" w:hAnsi="Aptos" w:cstheme="minorHAnsi"/>
              </w:rPr>
            </w:pPr>
            <w:r>
              <w:rPr>
                <w:rFonts w:ascii="Aptos" w:hAnsi="Aptos" w:cstheme="minorHAnsi"/>
              </w:rPr>
              <w:t>Ref: 517123</w:t>
            </w:r>
          </w:p>
          <w:p w14:paraId="7430F4FE" w14:textId="752F8259" w:rsidR="00BD1F2B" w:rsidRDefault="00BD1F2B" w:rsidP="0074007A">
            <w:pPr>
              <w:suppressAutoHyphens/>
              <w:spacing w:after="0" w:line="240" w:lineRule="auto"/>
              <w:rPr>
                <w:rFonts w:ascii="Aptos" w:hAnsi="Aptos" w:cstheme="minorHAnsi"/>
              </w:rPr>
            </w:pPr>
            <w:r>
              <w:rPr>
                <w:rFonts w:ascii="Aptos" w:hAnsi="Aptos" w:cstheme="minorHAnsi"/>
              </w:rPr>
              <w:t>Followed in part.</w:t>
            </w:r>
          </w:p>
          <w:p w14:paraId="24736D0A" w14:textId="77777777" w:rsidR="00995202" w:rsidRPr="00995202" w:rsidRDefault="00995202" w:rsidP="00995202">
            <w:pPr>
              <w:suppressAutoHyphens/>
              <w:spacing w:after="0" w:line="240" w:lineRule="auto"/>
              <w:rPr>
                <w:rFonts w:ascii="Aptos" w:hAnsi="Aptos" w:cstheme="minorHAnsi"/>
                <w:b/>
                <w:bCs/>
              </w:rPr>
            </w:pPr>
            <w:r w:rsidRPr="00995202">
              <w:rPr>
                <w:rFonts w:ascii="Aptos" w:hAnsi="Aptos" w:cstheme="minorHAnsi"/>
                <w:b/>
                <w:bCs/>
              </w:rPr>
              <w:t>ChatGPT said:</w:t>
            </w:r>
          </w:p>
          <w:p w14:paraId="7B2AE3B5" w14:textId="77777777" w:rsidR="00995202" w:rsidRPr="00995202" w:rsidRDefault="00995202" w:rsidP="00995202">
            <w:pPr>
              <w:suppressAutoHyphens/>
              <w:spacing w:after="0" w:line="240" w:lineRule="auto"/>
              <w:rPr>
                <w:rFonts w:ascii="Aptos" w:hAnsi="Aptos" w:cstheme="minorHAnsi"/>
              </w:rPr>
            </w:pPr>
            <w:r w:rsidRPr="00995202">
              <w:rPr>
                <w:rFonts w:ascii="Aptos" w:hAnsi="Aptos" w:cstheme="minorHAnsi"/>
              </w:rPr>
              <w:t>Here’s a compliance/audit style rewrite of that case:</w:t>
            </w:r>
          </w:p>
          <w:p w14:paraId="376E971B" w14:textId="77777777" w:rsidR="00995202" w:rsidRPr="00995202" w:rsidRDefault="00000000" w:rsidP="00995202">
            <w:pPr>
              <w:suppressAutoHyphens/>
              <w:spacing w:after="0" w:line="240" w:lineRule="auto"/>
              <w:rPr>
                <w:rFonts w:ascii="Aptos" w:hAnsi="Aptos" w:cstheme="minorHAnsi"/>
              </w:rPr>
            </w:pPr>
            <w:r>
              <w:rPr>
                <w:rFonts w:ascii="Aptos" w:hAnsi="Aptos" w:cstheme="minorHAnsi"/>
              </w:rPr>
              <w:pict w14:anchorId="5EA614A8">
                <v:rect id="_x0000_i1025" style="width:0;height:1.5pt" o:hralign="center" o:hrstd="t" o:hr="t" fillcolor="#a0a0a0" stroked="f"/>
              </w:pict>
            </w:r>
          </w:p>
          <w:p w14:paraId="28A7C67E" w14:textId="77777777" w:rsidR="00995202" w:rsidRPr="00995202" w:rsidRDefault="00995202" w:rsidP="00995202">
            <w:pPr>
              <w:suppressAutoHyphens/>
              <w:spacing w:after="0" w:line="240" w:lineRule="auto"/>
              <w:rPr>
                <w:rFonts w:ascii="Aptos" w:hAnsi="Aptos" w:cstheme="minorHAnsi"/>
              </w:rPr>
            </w:pPr>
            <w:r w:rsidRPr="00995202">
              <w:rPr>
                <w:rFonts w:ascii="Aptos" w:hAnsi="Aptos" w:cstheme="minorHAnsi"/>
                <w:b/>
                <w:bCs/>
              </w:rPr>
              <w:t>Audit Feedback – Vulnerability Compliance Review</w:t>
            </w:r>
          </w:p>
          <w:p w14:paraId="4776A7E4" w14:textId="77777777" w:rsidR="00995202" w:rsidRPr="00995202" w:rsidRDefault="00995202" w:rsidP="00995202">
            <w:pPr>
              <w:suppressAutoHyphens/>
              <w:spacing w:after="0" w:line="240" w:lineRule="auto"/>
              <w:rPr>
                <w:rFonts w:ascii="Aptos" w:hAnsi="Aptos" w:cstheme="minorHAnsi"/>
              </w:rPr>
            </w:pPr>
            <w:r w:rsidRPr="00995202">
              <w:rPr>
                <w:rFonts w:ascii="Aptos" w:hAnsi="Aptos" w:cstheme="minorHAnsi"/>
              </w:rPr>
              <w:t>The customer requested a repayment arrangement. A templated “PP setup request” was issued, requesting 15% of the balance (£44.00) or advising the customer to contact us to discuss further. The customer proposed a repayment amount below £50, which aligned with the 15% requirement.</w:t>
            </w:r>
          </w:p>
          <w:p w14:paraId="2E13A0AF" w14:textId="77777777" w:rsidR="00995202" w:rsidRPr="00995202" w:rsidRDefault="00995202" w:rsidP="00995202">
            <w:pPr>
              <w:suppressAutoHyphens/>
              <w:spacing w:after="0" w:line="240" w:lineRule="auto"/>
              <w:rPr>
                <w:rFonts w:ascii="Aptos" w:hAnsi="Aptos" w:cstheme="minorHAnsi"/>
              </w:rPr>
            </w:pPr>
            <w:r w:rsidRPr="00995202">
              <w:rPr>
                <w:rFonts w:ascii="Aptos" w:hAnsi="Aptos" w:cstheme="minorHAnsi"/>
              </w:rPr>
              <w:t>Despite this, the customer was subsequently asked to provide further evidence along with an Income &amp; Expenditure statement before the arrangement could be confirmed.</w:t>
            </w:r>
          </w:p>
          <w:p w14:paraId="4F4C4481" w14:textId="4C6321A4" w:rsidR="00995202" w:rsidRDefault="00995202" w:rsidP="00B97A87">
            <w:pPr>
              <w:suppressAutoHyphens/>
              <w:spacing w:after="0" w:line="240" w:lineRule="auto"/>
              <w:rPr>
                <w:rFonts w:ascii="Aptos" w:hAnsi="Aptos" w:cstheme="minorHAnsi"/>
              </w:rPr>
            </w:pPr>
            <w:r w:rsidRPr="00995202">
              <w:rPr>
                <w:rFonts w:ascii="Aptos" w:hAnsi="Aptos" w:cstheme="minorHAnsi"/>
                <w:b/>
                <w:bCs/>
              </w:rPr>
              <w:t>Compliance Considerations:</w:t>
            </w:r>
            <w:r w:rsidR="00B97A87">
              <w:rPr>
                <w:rFonts w:ascii="Aptos" w:hAnsi="Aptos" w:cstheme="minorHAnsi"/>
                <w:b/>
                <w:bCs/>
              </w:rPr>
              <w:t xml:space="preserve"> </w:t>
            </w:r>
            <w:r w:rsidRPr="00995202">
              <w:rPr>
                <w:rFonts w:ascii="Aptos" w:hAnsi="Aptos" w:cstheme="minorHAnsi"/>
              </w:rPr>
              <w:t>There is inconsistency in process where the customer has agreed to the stated 15% threshold, yet additional requirements were applied. This may create confusion and undermine customer confidence.</w:t>
            </w:r>
            <w:r w:rsidR="00B97A87">
              <w:rPr>
                <w:rFonts w:ascii="Aptos" w:hAnsi="Aptos" w:cstheme="minorHAnsi"/>
              </w:rPr>
              <w:t xml:space="preserve"> </w:t>
            </w:r>
            <w:r w:rsidRPr="00995202">
              <w:rPr>
                <w:rFonts w:ascii="Aptos" w:hAnsi="Aptos" w:cstheme="minorHAnsi"/>
              </w:rPr>
              <w:t>It is unclear why an Income &amp; Expenditure was requested when the repayment offer already met the stated minimum requirement. Such requests should be proportionate, transparent, and clearly explained.</w:t>
            </w:r>
            <w:r w:rsidR="00B97A87">
              <w:rPr>
                <w:rFonts w:ascii="Aptos" w:hAnsi="Aptos" w:cstheme="minorHAnsi"/>
              </w:rPr>
              <w:t xml:space="preserve"> </w:t>
            </w:r>
            <w:r w:rsidRPr="00995202">
              <w:rPr>
                <w:rFonts w:ascii="Aptos" w:hAnsi="Aptos" w:cstheme="minorHAnsi"/>
              </w:rPr>
              <w:t>To ensure compliance with fair treatment and Consumer Duty principles, communication and process should be consistent, with clear rationale for any additional evidence requested.</w:t>
            </w:r>
          </w:p>
          <w:p w14:paraId="6C52839C" w14:textId="77777777" w:rsidR="0018745C" w:rsidRDefault="0018745C" w:rsidP="00B97A87">
            <w:pPr>
              <w:suppressAutoHyphens/>
              <w:spacing w:after="0" w:line="240" w:lineRule="auto"/>
              <w:rPr>
                <w:rFonts w:ascii="Aptos" w:hAnsi="Aptos" w:cstheme="minorHAnsi"/>
              </w:rPr>
            </w:pPr>
          </w:p>
          <w:p w14:paraId="1215E621" w14:textId="571D71AA" w:rsidR="001F228D" w:rsidRDefault="001F228D" w:rsidP="00B97A87">
            <w:pPr>
              <w:suppressAutoHyphens/>
              <w:spacing w:after="0" w:line="240" w:lineRule="auto"/>
              <w:rPr>
                <w:rFonts w:ascii="Aptos" w:hAnsi="Aptos" w:cstheme="minorHAnsi"/>
              </w:rPr>
            </w:pPr>
            <w:r>
              <w:rPr>
                <w:rFonts w:ascii="Aptos" w:hAnsi="Aptos" w:cstheme="minorHAnsi"/>
              </w:rPr>
              <w:t>Ref: 815307</w:t>
            </w:r>
          </w:p>
          <w:p w14:paraId="1BDDE8E2" w14:textId="0843E12F" w:rsidR="001F228D" w:rsidRDefault="00856482" w:rsidP="00B97A87">
            <w:pPr>
              <w:suppressAutoHyphens/>
              <w:spacing w:after="0" w:line="240" w:lineRule="auto"/>
              <w:rPr>
                <w:rFonts w:ascii="Aptos" w:hAnsi="Aptos" w:cstheme="minorHAnsi"/>
              </w:rPr>
            </w:pPr>
            <w:r>
              <w:rPr>
                <w:rFonts w:ascii="Aptos" w:hAnsi="Aptos" w:cstheme="minorHAnsi"/>
              </w:rPr>
              <w:t>Policy followed in part.</w:t>
            </w:r>
          </w:p>
          <w:p w14:paraId="4409F45A" w14:textId="79037258" w:rsidR="00774ACA" w:rsidRPr="00774ACA" w:rsidRDefault="00774ACA" w:rsidP="00661EC6">
            <w:pPr>
              <w:suppressAutoHyphens/>
              <w:spacing w:after="0" w:line="240" w:lineRule="auto"/>
              <w:rPr>
                <w:rFonts w:ascii="Aptos" w:hAnsi="Aptos" w:cstheme="minorHAnsi"/>
              </w:rPr>
            </w:pPr>
            <w:r w:rsidRPr="00774ACA">
              <w:rPr>
                <w:rFonts w:ascii="Aptos" w:hAnsi="Aptos" w:cstheme="minorHAnsi"/>
              </w:rPr>
              <w:t xml:space="preserve">The customer requested a settlement offer following a deterioration in their health. In response, the customer was sent a partially tailored email which requested </w:t>
            </w:r>
            <w:r w:rsidRPr="00774ACA">
              <w:rPr>
                <w:rFonts w:ascii="Aptos" w:hAnsi="Aptos" w:cstheme="minorHAnsi"/>
              </w:rPr>
              <w:lastRenderedPageBreak/>
              <w:t xml:space="preserve">confirmation of the settlement amount being offered, along with supporting documentation regarding the customer’s circumstances. The email also included the statement: </w:t>
            </w:r>
            <w:r w:rsidRPr="00774ACA">
              <w:rPr>
                <w:rFonts w:ascii="Aptos" w:hAnsi="Aptos" w:cstheme="minorHAnsi"/>
                <w:i/>
                <w:iCs/>
              </w:rPr>
              <w:t>“A lender can consider suspending, reducing, waiving, or cancelling any further interest or charges only when the customer provides evidence of financial difficulties.”</w:t>
            </w:r>
            <w:r>
              <w:rPr>
                <w:rFonts w:ascii="Aptos" w:hAnsi="Aptos" w:cstheme="minorHAnsi"/>
                <w:i/>
                <w:iCs/>
              </w:rPr>
              <w:t xml:space="preserve"> </w:t>
            </w:r>
            <w:r w:rsidRPr="00774ACA">
              <w:rPr>
                <w:rFonts w:ascii="Aptos" w:hAnsi="Aptos" w:cstheme="minorHAnsi"/>
                <w:b/>
                <w:bCs/>
              </w:rPr>
              <w:t>Compliance Considerations:</w:t>
            </w:r>
            <w:r>
              <w:rPr>
                <w:rFonts w:ascii="Aptos" w:hAnsi="Aptos" w:cstheme="minorHAnsi"/>
                <w:b/>
                <w:bCs/>
              </w:rPr>
              <w:t xml:space="preserve"> </w:t>
            </w:r>
            <w:r w:rsidRPr="00774ACA">
              <w:rPr>
                <w:rFonts w:ascii="Aptos" w:hAnsi="Aptos" w:cstheme="minorHAnsi"/>
              </w:rPr>
              <w:t xml:space="preserve">The statement </w:t>
            </w:r>
            <w:r w:rsidRPr="00774ACA">
              <w:rPr>
                <w:rFonts w:ascii="Aptos" w:hAnsi="Aptos" w:cstheme="minorHAnsi"/>
                <w:i/>
                <w:iCs/>
              </w:rPr>
              <w:t>“only when the customer provides evidence”</w:t>
            </w:r>
            <w:r w:rsidRPr="00774ACA">
              <w:rPr>
                <w:rFonts w:ascii="Aptos" w:hAnsi="Aptos" w:cstheme="minorHAnsi"/>
              </w:rPr>
              <w:t xml:space="preserve"> is not an accurate reflection of FCA expectations and could be considered misleading. The FCA does not state that lenders can </w:t>
            </w:r>
            <w:r w:rsidRPr="00774ACA">
              <w:rPr>
                <w:rFonts w:ascii="Aptos" w:hAnsi="Aptos" w:cstheme="minorHAnsi"/>
                <w:i/>
                <w:iCs/>
              </w:rPr>
              <w:t>only</w:t>
            </w:r>
            <w:r w:rsidRPr="00774ACA">
              <w:rPr>
                <w:rFonts w:ascii="Aptos" w:hAnsi="Aptos" w:cstheme="minorHAnsi"/>
              </w:rPr>
              <w:t xml:space="preserve"> take such steps where evidence is provided.</w:t>
            </w:r>
            <w:r>
              <w:rPr>
                <w:rFonts w:ascii="Aptos" w:hAnsi="Aptos" w:cstheme="minorHAnsi"/>
              </w:rPr>
              <w:t xml:space="preserve"> </w:t>
            </w:r>
            <w:r w:rsidRPr="00774ACA">
              <w:rPr>
                <w:rFonts w:ascii="Aptos" w:hAnsi="Aptos" w:cstheme="minorHAnsi"/>
              </w:rPr>
              <w:t>The FCA expects firms to demonstrate clear rationale when requesting documentation and to ensure that requests are fair, proportionate, and appropriate to the customer’s circumstances.</w:t>
            </w:r>
            <w:r w:rsidR="00661EC6">
              <w:rPr>
                <w:rFonts w:ascii="Aptos" w:hAnsi="Aptos" w:cstheme="minorHAnsi"/>
              </w:rPr>
              <w:t xml:space="preserve"> </w:t>
            </w:r>
            <w:r w:rsidRPr="00774ACA">
              <w:rPr>
                <w:rFonts w:ascii="Aptos" w:hAnsi="Aptos" w:cstheme="minorHAnsi"/>
              </w:rPr>
              <w:t>Referring to the FCA in this way may not meet expectations of transparency and fair customer treatment. Businesses should ensure language is precise, does not misrepresent regulatory requirements, and does not create unnecessary barriers for vulnerable customers seeking support.</w:t>
            </w:r>
          </w:p>
          <w:p w14:paraId="11AF4381" w14:textId="77777777" w:rsidR="0018745C" w:rsidRDefault="0018745C" w:rsidP="00B97A87">
            <w:pPr>
              <w:suppressAutoHyphens/>
              <w:spacing w:after="0" w:line="240" w:lineRule="auto"/>
              <w:rPr>
                <w:rFonts w:ascii="Aptos" w:hAnsi="Aptos" w:cstheme="minorHAnsi"/>
              </w:rPr>
            </w:pPr>
          </w:p>
          <w:p w14:paraId="6916CCE7" w14:textId="2C1E6455" w:rsidR="00A91DD1" w:rsidRDefault="00A91DD1" w:rsidP="00B97A87">
            <w:pPr>
              <w:suppressAutoHyphens/>
              <w:spacing w:after="0" w:line="240" w:lineRule="auto"/>
              <w:rPr>
                <w:rFonts w:ascii="Aptos" w:hAnsi="Aptos" w:cstheme="minorHAnsi"/>
              </w:rPr>
            </w:pPr>
            <w:r>
              <w:rPr>
                <w:rFonts w:ascii="Aptos" w:hAnsi="Aptos" w:cstheme="minorHAnsi"/>
              </w:rPr>
              <w:t>Ref:</w:t>
            </w:r>
            <w:r w:rsidR="00F37816">
              <w:rPr>
                <w:rFonts w:ascii="Aptos" w:hAnsi="Aptos" w:cstheme="minorHAnsi"/>
              </w:rPr>
              <w:t xml:space="preserve"> 799919</w:t>
            </w:r>
          </w:p>
          <w:p w14:paraId="6C0A0D50" w14:textId="1F10C42F" w:rsidR="00F37816" w:rsidRDefault="00F37816" w:rsidP="00B97A87">
            <w:pPr>
              <w:suppressAutoHyphens/>
              <w:spacing w:after="0" w:line="240" w:lineRule="auto"/>
              <w:rPr>
                <w:rFonts w:ascii="Aptos" w:hAnsi="Aptos" w:cstheme="minorHAnsi"/>
              </w:rPr>
            </w:pPr>
            <w:r>
              <w:rPr>
                <w:rFonts w:ascii="Aptos" w:hAnsi="Aptos" w:cstheme="minorHAnsi"/>
              </w:rPr>
              <w:t>Policy followed.</w:t>
            </w:r>
          </w:p>
          <w:p w14:paraId="49387421" w14:textId="1B05425D" w:rsidR="00FD7173" w:rsidRPr="00FD7173" w:rsidRDefault="00FD7173" w:rsidP="00FD7173">
            <w:pPr>
              <w:suppressAutoHyphens/>
              <w:spacing w:after="0" w:line="240" w:lineRule="auto"/>
              <w:rPr>
                <w:rFonts w:ascii="Aptos" w:hAnsi="Aptos" w:cstheme="minorHAnsi"/>
              </w:rPr>
            </w:pPr>
            <w:r w:rsidRPr="00FD7173">
              <w:rPr>
                <w:rFonts w:ascii="Aptos" w:hAnsi="Aptos" w:cstheme="minorHAnsi"/>
              </w:rPr>
              <w:t xml:space="preserve">The customer requested a repayment arrangement and was sent a templated “PP setup request” email. The content of this email suggested the customer should call us to complete an Income &amp; Expenditure if they could not afford the quoted amount; however, no repayment amount was </w:t>
            </w:r>
            <w:proofErr w:type="gramStart"/>
            <w:r w:rsidRPr="00FD7173">
              <w:rPr>
                <w:rFonts w:ascii="Aptos" w:hAnsi="Aptos" w:cstheme="minorHAnsi"/>
              </w:rPr>
              <w:t>actually included</w:t>
            </w:r>
            <w:proofErr w:type="gramEnd"/>
            <w:r w:rsidRPr="00FD7173">
              <w:rPr>
                <w:rFonts w:ascii="Aptos" w:hAnsi="Aptos" w:cstheme="minorHAnsi"/>
              </w:rPr>
              <w:t xml:space="preserve"> in the email.</w:t>
            </w:r>
            <w:r w:rsidR="002E2022">
              <w:rPr>
                <w:rFonts w:ascii="Aptos" w:hAnsi="Aptos" w:cstheme="minorHAnsi"/>
              </w:rPr>
              <w:t xml:space="preserve"> </w:t>
            </w:r>
            <w:r w:rsidRPr="00FD7173">
              <w:rPr>
                <w:rFonts w:ascii="Aptos" w:hAnsi="Aptos" w:cstheme="minorHAnsi"/>
              </w:rPr>
              <w:t>One minute later, a separate email was issued requesting an Income &amp; Expenditure along with</w:t>
            </w:r>
            <w:r w:rsidR="002E2022">
              <w:rPr>
                <w:rFonts w:ascii="Aptos" w:hAnsi="Aptos" w:cstheme="minorHAnsi"/>
              </w:rPr>
              <w:t xml:space="preserve"> </w:t>
            </w:r>
            <w:r w:rsidRPr="00FD7173">
              <w:rPr>
                <w:rFonts w:ascii="Aptos" w:hAnsi="Aptos" w:cstheme="minorHAnsi"/>
              </w:rPr>
              <w:t>supporting evidence.</w:t>
            </w:r>
            <w:r w:rsidR="002E2022">
              <w:rPr>
                <w:rFonts w:ascii="Aptos" w:hAnsi="Aptos" w:cstheme="minorHAnsi"/>
              </w:rPr>
              <w:t xml:space="preserve"> </w:t>
            </w:r>
            <w:r w:rsidRPr="00FD7173">
              <w:rPr>
                <w:rFonts w:ascii="Aptos" w:hAnsi="Aptos" w:cstheme="minorHAnsi"/>
                <w:b/>
                <w:bCs/>
              </w:rPr>
              <w:t>Compliance Considerations:</w:t>
            </w:r>
            <w:r>
              <w:rPr>
                <w:rFonts w:ascii="Aptos" w:hAnsi="Aptos" w:cstheme="minorHAnsi"/>
                <w:b/>
                <w:bCs/>
              </w:rPr>
              <w:t xml:space="preserve"> </w:t>
            </w:r>
            <w:r w:rsidRPr="00FD7173">
              <w:rPr>
                <w:rFonts w:ascii="Aptos" w:hAnsi="Aptos" w:cstheme="minorHAnsi"/>
              </w:rPr>
              <w:t>It is unclear why two separate emails were sent—first asking the customer what they would like to pay, then requesting I&amp;E and evidence. This approach is inconsistent and risks confusing the customer.</w:t>
            </w:r>
            <w:r>
              <w:rPr>
                <w:rFonts w:ascii="Aptos" w:hAnsi="Aptos" w:cstheme="minorHAnsi"/>
              </w:rPr>
              <w:t xml:space="preserve"> </w:t>
            </w:r>
            <w:r w:rsidRPr="00FD7173">
              <w:rPr>
                <w:rFonts w:ascii="Aptos" w:hAnsi="Aptos" w:cstheme="minorHAnsi"/>
              </w:rPr>
              <w:t xml:space="preserve">Good practice is to establish what the customer can afford before requesting supporting documentation, ensuring the process is clear, proportionate, and </w:t>
            </w:r>
            <w:proofErr w:type="gramStart"/>
            <w:r w:rsidRPr="00FD7173">
              <w:rPr>
                <w:rFonts w:ascii="Aptos" w:hAnsi="Aptos" w:cstheme="minorHAnsi"/>
              </w:rPr>
              <w:t>customer-focused</w:t>
            </w:r>
            <w:proofErr w:type="gramEnd"/>
            <w:r w:rsidRPr="00FD7173">
              <w:rPr>
                <w:rFonts w:ascii="Aptos" w:hAnsi="Aptos" w:cstheme="minorHAnsi"/>
              </w:rPr>
              <w:t>.</w:t>
            </w:r>
            <w:r>
              <w:rPr>
                <w:rFonts w:ascii="Aptos" w:hAnsi="Aptos" w:cstheme="minorHAnsi"/>
              </w:rPr>
              <w:t xml:space="preserve"> </w:t>
            </w:r>
            <w:r w:rsidRPr="00FD7173">
              <w:rPr>
                <w:rFonts w:ascii="Aptos" w:hAnsi="Aptos" w:cstheme="minorHAnsi"/>
              </w:rPr>
              <w:t>Combining both points of communication into a single, clearly structured email would improve clarity, reduce duplication, and better support fair treatment outcomes.</w:t>
            </w:r>
          </w:p>
          <w:p w14:paraId="22278D0C" w14:textId="77777777" w:rsidR="000B7B4C" w:rsidRDefault="000B7B4C" w:rsidP="00372EDD">
            <w:pPr>
              <w:suppressAutoHyphens/>
              <w:spacing w:after="0" w:line="240" w:lineRule="auto"/>
              <w:rPr>
                <w:rFonts w:ascii="Aptos" w:hAnsi="Aptos" w:cstheme="minorHAnsi"/>
                <w:color w:val="000000" w:themeColor="text1"/>
              </w:rPr>
            </w:pPr>
          </w:p>
          <w:p w14:paraId="19A07C0D" w14:textId="77777777" w:rsidR="007D1377" w:rsidRDefault="007D1377" w:rsidP="00372EDD">
            <w:pPr>
              <w:suppressAutoHyphens/>
              <w:spacing w:after="0" w:line="240" w:lineRule="auto"/>
              <w:rPr>
                <w:rFonts w:ascii="Aptos" w:hAnsi="Aptos" w:cstheme="minorHAnsi"/>
              </w:rPr>
            </w:pPr>
            <w:r>
              <w:rPr>
                <w:rFonts w:ascii="Aptos" w:hAnsi="Aptos" w:cstheme="minorHAnsi"/>
                <w:color w:val="000000" w:themeColor="text1"/>
              </w:rPr>
              <w:t xml:space="preserve">Ref: </w:t>
            </w:r>
            <w:r w:rsidRPr="00BB029F">
              <w:rPr>
                <w:rFonts w:ascii="Aptos" w:hAnsi="Aptos" w:cstheme="minorHAnsi"/>
              </w:rPr>
              <w:t>428306</w:t>
            </w:r>
          </w:p>
          <w:p w14:paraId="05DAFB7A" w14:textId="77777777" w:rsidR="007D1377" w:rsidRDefault="007D1377" w:rsidP="00372EDD">
            <w:pPr>
              <w:suppressAutoHyphens/>
              <w:spacing w:after="0" w:line="240" w:lineRule="auto"/>
              <w:rPr>
                <w:rFonts w:ascii="Aptos" w:hAnsi="Aptos" w:cstheme="minorHAnsi"/>
              </w:rPr>
            </w:pPr>
            <w:r>
              <w:rPr>
                <w:rFonts w:ascii="Aptos" w:hAnsi="Aptos" w:cstheme="minorHAnsi"/>
              </w:rPr>
              <w:t>Policy not followed.</w:t>
            </w:r>
          </w:p>
          <w:p w14:paraId="319EC728" w14:textId="77777777" w:rsidR="00FA7F72" w:rsidRPr="00FA7F72" w:rsidRDefault="00FA7F72" w:rsidP="00FA7F72">
            <w:pPr>
              <w:suppressAutoHyphens/>
              <w:spacing w:after="0" w:line="240" w:lineRule="auto"/>
              <w:rPr>
                <w:rFonts w:ascii="Aptos" w:hAnsi="Aptos" w:cstheme="minorHAnsi"/>
              </w:rPr>
            </w:pPr>
            <w:r w:rsidRPr="00FA7F72">
              <w:rPr>
                <w:rFonts w:ascii="Aptos" w:hAnsi="Aptos" w:cstheme="minorHAnsi"/>
              </w:rPr>
              <w:t>The customer contacted us expressing confusion over their balance, questioning why it had not reduced. Within the communication, the customer also expressed feeling low and vulnerable, although no explicit disclosure of condition was made.</w:t>
            </w:r>
          </w:p>
          <w:p w14:paraId="334B20C0" w14:textId="77777777" w:rsidR="00FA7F72" w:rsidRPr="00FA7F72" w:rsidRDefault="00FA7F72" w:rsidP="00FA7F72">
            <w:pPr>
              <w:suppressAutoHyphens/>
              <w:spacing w:after="0" w:line="240" w:lineRule="auto"/>
              <w:rPr>
                <w:rFonts w:ascii="Aptos" w:hAnsi="Aptos" w:cstheme="minorHAnsi"/>
              </w:rPr>
            </w:pPr>
            <w:r w:rsidRPr="00FA7F72">
              <w:rPr>
                <w:rFonts w:ascii="Aptos" w:hAnsi="Aptos" w:cstheme="minorHAnsi"/>
              </w:rPr>
              <w:t>In response, two templated emails were sent: one providing a copy of the Statement of Balance (SOB), and another being the financial difficulties template requesting Income &amp; Expenditure information along with supporting evidence. The customer was later chased for these documents, at which point they expressed further confusion about why evidence was required and what specifically needed to be provided.</w:t>
            </w:r>
          </w:p>
          <w:p w14:paraId="5749F657" w14:textId="1BE11622" w:rsidR="00FA7F72" w:rsidRPr="00FA7F72" w:rsidRDefault="00FA7F72" w:rsidP="00FA7F72">
            <w:pPr>
              <w:suppressAutoHyphens/>
              <w:spacing w:after="0" w:line="240" w:lineRule="auto"/>
              <w:rPr>
                <w:rFonts w:ascii="Aptos" w:hAnsi="Aptos" w:cstheme="minorHAnsi"/>
              </w:rPr>
            </w:pPr>
            <w:r w:rsidRPr="00FA7F72">
              <w:rPr>
                <w:rFonts w:ascii="Aptos" w:hAnsi="Aptos" w:cstheme="minorHAnsi"/>
                <w:b/>
                <w:bCs/>
              </w:rPr>
              <w:t>Compliance Considerations:</w:t>
            </w:r>
            <w:r>
              <w:rPr>
                <w:rFonts w:ascii="Aptos" w:hAnsi="Aptos" w:cstheme="minorHAnsi"/>
                <w:b/>
                <w:bCs/>
              </w:rPr>
              <w:t xml:space="preserve"> </w:t>
            </w:r>
            <w:r w:rsidRPr="00FA7F72">
              <w:rPr>
                <w:rFonts w:ascii="Aptos" w:hAnsi="Aptos" w:cstheme="minorHAnsi"/>
              </w:rPr>
              <w:t>The customer demonstrated signs of vulnerability and a lack of understanding of the product. Responses provided were templated and did not directly address the customer’s concerns, nor did they acknowledge or adapt to the customer’s expressed vulnerability.</w:t>
            </w:r>
            <w:r>
              <w:rPr>
                <w:rFonts w:ascii="Aptos" w:hAnsi="Aptos" w:cstheme="minorHAnsi"/>
              </w:rPr>
              <w:t xml:space="preserve"> </w:t>
            </w:r>
            <w:r w:rsidRPr="00FA7F72">
              <w:rPr>
                <w:rFonts w:ascii="Aptos" w:hAnsi="Aptos" w:cstheme="minorHAnsi"/>
              </w:rPr>
              <w:t>No consideration was given to the customer’s possible condition or the impact it may have had on their ability to understand or manage their finances.</w:t>
            </w:r>
            <w:r>
              <w:rPr>
                <w:rFonts w:ascii="Aptos" w:hAnsi="Aptos" w:cstheme="minorHAnsi"/>
              </w:rPr>
              <w:t xml:space="preserve"> </w:t>
            </w:r>
            <w:r w:rsidRPr="00FA7F72">
              <w:rPr>
                <w:rFonts w:ascii="Aptos" w:hAnsi="Aptos" w:cstheme="minorHAnsi"/>
              </w:rPr>
              <w:t xml:space="preserve">A more tailored and supportive response should have been provided, ensuring clarity around what information was needed and why, while </w:t>
            </w:r>
            <w:r w:rsidRPr="00FA7F72">
              <w:rPr>
                <w:rFonts w:ascii="Aptos" w:hAnsi="Aptos" w:cstheme="minorHAnsi"/>
              </w:rPr>
              <w:lastRenderedPageBreak/>
              <w:t>recognising the customer’s vulnerability and adapting communication accordingly.</w:t>
            </w:r>
          </w:p>
          <w:p w14:paraId="4B7C523A" w14:textId="77777777" w:rsidR="00FA7F72" w:rsidRDefault="00FA7F72" w:rsidP="00FA7F72">
            <w:pPr>
              <w:suppressAutoHyphens/>
              <w:spacing w:after="0" w:line="240" w:lineRule="auto"/>
              <w:rPr>
                <w:rFonts w:ascii="Aptos" w:hAnsi="Aptos" w:cstheme="minorHAnsi"/>
              </w:rPr>
            </w:pPr>
            <w:r w:rsidRPr="00FA7F72">
              <w:rPr>
                <w:rFonts w:ascii="Aptos" w:hAnsi="Aptos" w:cstheme="minorHAnsi"/>
              </w:rPr>
              <w:t>Using standard templates without personalisation risks overlooking customer needs, causing additional confusion, and failing to meet FCA expectations around fair treatment and good outcomes for vulnerable customers.</w:t>
            </w:r>
          </w:p>
          <w:p w14:paraId="7C920B7E" w14:textId="77777777" w:rsidR="00A44634" w:rsidRDefault="00A44634" w:rsidP="00FA7F72">
            <w:pPr>
              <w:suppressAutoHyphens/>
              <w:spacing w:after="0" w:line="240" w:lineRule="auto"/>
              <w:rPr>
                <w:rFonts w:ascii="Aptos" w:hAnsi="Aptos" w:cstheme="minorHAnsi"/>
              </w:rPr>
            </w:pPr>
          </w:p>
          <w:p w14:paraId="06E56959" w14:textId="687FE2B9" w:rsidR="00A44634" w:rsidRDefault="00A44634" w:rsidP="00FA7F72">
            <w:pPr>
              <w:suppressAutoHyphens/>
              <w:spacing w:after="0" w:line="240" w:lineRule="auto"/>
              <w:rPr>
                <w:rFonts w:ascii="Aptos" w:hAnsi="Aptos" w:cstheme="minorHAnsi"/>
              </w:rPr>
            </w:pPr>
            <w:r>
              <w:rPr>
                <w:rFonts w:ascii="Aptos" w:hAnsi="Aptos" w:cstheme="minorHAnsi"/>
              </w:rPr>
              <w:t xml:space="preserve">Ref: </w:t>
            </w:r>
            <w:r w:rsidRPr="00FF45E1">
              <w:rPr>
                <w:rFonts w:ascii="Aptos" w:hAnsi="Aptos" w:cstheme="minorHAnsi"/>
              </w:rPr>
              <w:t>740719</w:t>
            </w:r>
          </w:p>
          <w:p w14:paraId="14928382" w14:textId="2E3B3DA6" w:rsidR="00A44634" w:rsidRDefault="00A44634" w:rsidP="00FA7F72">
            <w:pPr>
              <w:suppressAutoHyphens/>
              <w:spacing w:after="0" w:line="240" w:lineRule="auto"/>
              <w:rPr>
                <w:rFonts w:ascii="Aptos" w:hAnsi="Aptos" w:cstheme="minorHAnsi"/>
              </w:rPr>
            </w:pPr>
            <w:r>
              <w:rPr>
                <w:rFonts w:ascii="Aptos" w:hAnsi="Aptos" w:cstheme="minorHAnsi"/>
              </w:rPr>
              <w:t>Policy followed in part.</w:t>
            </w:r>
          </w:p>
          <w:p w14:paraId="70D7AC20" w14:textId="77777777" w:rsidR="00FC78B7" w:rsidRPr="00FC78B7" w:rsidRDefault="00FC78B7" w:rsidP="00FC78B7">
            <w:pPr>
              <w:suppressAutoHyphens/>
              <w:spacing w:after="0" w:line="240" w:lineRule="auto"/>
              <w:rPr>
                <w:rFonts w:ascii="Aptos" w:hAnsi="Aptos" w:cstheme="minorHAnsi"/>
              </w:rPr>
            </w:pPr>
            <w:r w:rsidRPr="00FC78B7">
              <w:rPr>
                <w:rFonts w:ascii="Aptos" w:hAnsi="Aptos" w:cstheme="minorHAnsi"/>
              </w:rPr>
              <w:t>The customer reported being unable to make payments due to time off work following an injury and requested their account be placed on hold. The customer provided a doctor’s certificate confirming they were signed off until 28th August. The account was placed on hold for 30 days.</w:t>
            </w:r>
          </w:p>
          <w:p w14:paraId="7EB3BCC6" w14:textId="0524D009" w:rsidR="00FC78B7" w:rsidRDefault="00FC78B7" w:rsidP="00FC78B7">
            <w:pPr>
              <w:suppressAutoHyphens/>
              <w:spacing w:after="0" w:line="240" w:lineRule="auto"/>
              <w:rPr>
                <w:rFonts w:ascii="Aptos" w:hAnsi="Aptos" w:cstheme="minorHAnsi"/>
              </w:rPr>
            </w:pPr>
            <w:r w:rsidRPr="00FC78B7">
              <w:rPr>
                <w:rFonts w:ascii="Aptos" w:hAnsi="Aptos" w:cstheme="minorHAnsi"/>
                <w:b/>
                <w:bCs/>
              </w:rPr>
              <w:t>Compliance Considerations:</w:t>
            </w:r>
            <w:r>
              <w:rPr>
                <w:rFonts w:ascii="Aptos" w:hAnsi="Aptos" w:cstheme="minorHAnsi"/>
                <w:b/>
                <w:bCs/>
              </w:rPr>
              <w:t xml:space="preserve"> </w:t>
            </w:r>
            <w:r w:rsidRPr="00FC78B7">
              <w:rPr>
                <w:rFonts w:ascii="Aptos" w:hAnsi="Aptos" w:cstheme="minorHAnsi"/>
              </w:rPr>
              <w:t>The documentation provided was no longer current. If the customer remains off work beyond the original period, updated evidence should be requested to accurately reflect the customer’s circumstances.</w:t>
            </w:r>
            <w:r>
              <w:rPr>
                <w:rFonts w:ascii="Aptos" w:hAnsi="Aptos" w:cstheme="minorHAnsi"/>
              </w:rPr>
              <w:t xml:space="preserve"> </w:t>
            </w:r>
            <w:r w:rsidRPr="00FC78B7">
              <w:rPr>
                <w:rFonts w:ascii="Aptos" w:hAnsi="Aptos" w:cstheme="minorHAnsi"/>
              </w:rPr>
              <w:t>Requests for evidence must align with the customer’s current situation to ensure consistent treatment and fairness.</w:t>
            </w:r>
            <w:r>
              <w:rPr>
                <w:rFonts w:ascii="Aptos" w:hAnsi="Aptos" w:cstheme="minorHAnsi"/>
              </w:rPr>
              <w:t xml:space="preserve"> </w:t>
            </w:r>
            <w:r w:rsidRPr="00FC78B7">
              <w:rPr>
                <w:rFonts w:ascii="Aptos" w:hAnsi="Aptos" w:cstheme="minorHAnsi"/>
              </w:rPr>
              <w:t>Where documentation is outdated, the business should challenge the relevance of the evidence rather than automatically applying standard processes, to avoid disadvantaging the customer and to comply with FCA expectations for vulnerable customer treatment.</w:t>
            </w:r>
          </w:p>
          <w:p w14:paraId="11FF8572" w14:textId="77777777" w:rsidR="005B60E2" w:rsidRDefault="005B60E2" w:rsidP="00FC78B7">
            <w:pPr>
              <w:suppressAutoHyphens/>
              <w:spacing w:after="0" w:line="240" w:lineRule="auto"/>
              <w:rPr>
                <w:rFonts w:ascii="Aptos" w:hAnsi="Aptos" w:cstheme="minorHAnsi"/>
              </w:rPr>
            </w:pPr>
          </w:p>
          <w:p w14:paraId="63A9242D" w14:textId="469EE0E1" w:rsidR="005B60E2" w:rsidRDefault="005B60E2" w:rsidP="00FC78B7">
            <w:pPr>
              <w:suppressAutoHyphens/>
              <w:spacing w:after="0" w:line="240" w:lineRule="auto"/>
              <w:rPr>
                <w:rFonts w:ascii="Aptos" w:hAnsi="Aptos" w:cstheme="minorHAnsi"/>
              </w:rPr>
            </w:pPr>
            <w:r>
              <w:rPr>
                <w:rFonts w:ascii="Aptos" w:hAnsi="Aptos" w:cstheme="minorHAnsi"/>
              </w:rPr>
              <w:t xml:space="preserve">Ref: </w:t>
            </w:r>
            <w:r w:rsidRPr="00FF45E1">
              <w:rPr>
                <w:rFonts w:ascii="Aptos" w:hAnsi="Aptos" w:cstheme="minorHAnsi"/>
              </w:rPr>
              <w:t>892905</w:t>
            </w:r>
          </w:p>
          <w:p w14:paraId="0908F7C4" w14:textId="4CADE7CC" w:rsidR="005B60E2" w:rsidRDefault="005B60E2" w:rsidP="00FC78B7">
            <w:pPr>
              <w:suppressAutoHyphens/>
              <w:spacing w:after="0" w:line="240" w:lineRule="auto"/>
              <w:rPr>
                <w:rFonts w:ascii="Aptos" w:hAnsi="Aptos" w:cstheme="minorHAnsi"/>
              </w:rPr>
            </w:pPr>
            <w:r>
              <w:rPr>
                <w:rFonts w:ascii="Aptos" w:hAnsi="Aptos" w:cstheme="minorHAnsi"/>
              </w:rPr>
              <w:t>Policy followed in part.</w:t>
            </w:r>
          </w:p>
          <w:p w14:paraId="468CD300" w14:textId="77777777" w:rsidR="00816CE8" w:rsidRPr="00816CE8" w:rsidRDefault="00816CE8" w:rsidP="00816CE8">
            <w:pPr>
              <w:suppressAutoHyphens/>
              <w:spacing w:after="0" w:line="240" w:lineRule="auto"/>
              <w:rPr>
                <w:rFonts w:ascii="Aptos" w:hAnsi="Aptos" w:cstheme="minorHAnsi"/>
              </w:rPr>
            </w:pPr>
            <w:r w:rsidRPr="00816CE8">
              <w:rPr>
                <w:rFonts w:ascii="Aptos" w:hAnsi="Aptos" w:cstheme="minorHAnsi"/>
              </w:rPr>
              <w:t>The customer informed us that they were no longer employed. In response, the customer was asked to provide evidence and submitted a bank statement. The account was subsequently placed on hold for 30 days.</w:t>
            </w:r>
          </w:p>
          <w:p w14:paraId="636D8B0F" w14:textId="274149E0" w:rsidR="00816CE8" w:rsidRPr="00816CE8" w:rsidRDefault="00816CE8" w:rsidP="00084478">
            <w:pPr>
              <w:suppressAutoHyphens/>
              <w:spacing w:after="0" w:line="240" w:lineRule="auto"/>
              <w:rPr>
                <w:rFonts w:ascii="Aptos" w:hAnsi="Aptos" w:cstheme="minorHAnsi"/>
              </w:rPr>
            </w:pPr>
            <w:r w:rsidRPr="00816CE8">
              <w:rPr>
                <w:rFonts w:ascii="Aptos" w:hAnsi="Aptos" w:cstheme="minorHAnsi"/>
                <w:b/>
                <w:bCs/>
              </w:rPr>
              <w:t>Compliance Considerations:</w:t>
            </w:r>
            <w:r>
              <w:rPr>
                <w:rFonts w:ascii="Aptos" w:hAnsi="Aptos" w:cstheme="minorHAnsi"/>
                <w:b/>
                <w:bCs/>
              </w:rPr>
              <w:t xml:space="preserve"> </w:t>
            </w:r>
            <w:r w:rsidRPr="00816CE8">
              <w:rPr>
                <w:rFonts w:ascii="Aptos" w:hAnsi="Aptos" w:cstheme="minorHAnsi"/>
              </w:rPr>
              <w:t>Evidence provided should be thoroughly reviewed. In this case, further examination revealed a second bank account receiving transfers, which was not considered in the assessment.</w:t>
            </w:r>
            <w:r w:rsidR="00084478">
              <w:rPr>
                <w:rFonts w:ascii="Aptos" w:hAnsi="Aptos" w:cstheme="minorHAnsi"/>
              </w:rPr>
              <w:t xml:space="preserve"> </w:t>
            </w:r>
            <w:r w:rsidRPr="00816CE8">
              <w:rPr>
                <w:rFonts w:ascii="Aptos" w:hAnsi="Aptos" w:cstheme="minorHAnsi"/>
              </w:rPr>
              <w:t>The bank statement also showed activity involving online betting services, which may indicate a potential gambling vulnerability rather than straightforward unemployment.</w:t>
            </w:r>
            <w:r w:rsidR="00084478">
              <w:rPr>
                <w:rFonts w:ascii="Aptos" w:hAnsi="Aptos" w:cstheme="minorHAnsi"/>
              </w:rPr>
              <w:t xml:space="preserve"> </w:t>
            </w:r>
            <w:r w:rsidRPr="00816CE8">
              <w:rPr>
                <w:rFonts w:ascii="Aptos" w:hAnsi="Aptos" w:cstheme="minorHAnsi"/>
              </w:rPr>
              <w:t>If unemployment is being used to justify a temporary hold, consideration should be given to alternative sources of income (e.g., benefits), as being unemployed does not eliminate responsibility for debt repayment.</w:t>
            </w:r>
            <w:r w:rsidR="00084478">
              <w:rPr>
                <w:rFonts w:ascii="Aptos" w:hAnsi="Aptos" w:cstheme="minorHAnsi"/>
              </w:rPr>
              <w:t xml:space="preserve"> </w:t>
            </w:r>
            <w:r w:rsidRPr="00816CE8">
              <w:rPr>
                <w:rFonts w:ascii="Aptos" w:hAnsi="Aptos" w:cstheme="minorHAnsi"/>
              </w:rPr>
              <w:t>The 30-day hold period appears arbitrary, with no recorded assessment of the customer’s overall financial circumstances or other payment options.</w:t>
            </w:r>
            <w:r w:rsidR="00084478">
              <w:rPr>
                <w:rFonts w:ascii="Aptos" w:hAnsi="Aptos" w:cstheme="minorHAnsi"/>
              </w:rPr>
              <w:t xml:space="preserve"> </w:t>
            </w:r>
            <w:r w:rsidRPr="00816CE8">
              <w:rPr>
                <w:rFonts w:ascii="Aptos" w:hAnsi="Aptos" w:cstheme="minorHAnsi"/>
              </w:rPr>
              <w:t>To ensure fair treatment and avoid prolonging indebtedness, customers should be asked more comprehensively about other sources of income, eligibility for support, and their broader financial situation before placing accounts on hold.</w:t>
            </w:r>
          </w:p>
          <w:p w14:paraId="0EC0E183" w14:textId="11CCB5AB" w:rsidR="00A15B1D" w:rsidRPr="00FC78B7" w:rsidRDefault="00A15B1D" w:rsidP="00FC78B7">
            <w:pPr>
              <w:suppressAutoHyphens/>
              <w:spacing w:after="0" w:line="240" w:lineRule="auto"/>
              <w:rPr>
                <w:rFonts w:ascii="Aptos" w:hAnsi="Aptos" w:cstheme="minorHAnsi"/>
              </w:rPr>
            </w:pPr>
          </w:p>
          <w:p w14:paraId="3F3AD3D6" w14:textId="14D7B09A" w:rsidR="007D1377" w:rsidRPr="00460AC2" w:rsidRDefault="007D1377" w:rsidP="00372EDD">
            <w:pPr>
              <w:suppressAutoHyphens/>
              <w:spacing w:after="0" w:line="240" w:lineRule="auto"/>
              <w:rPr>
                <w:rFonts w:ascii="Aptos" w:hAnsi="Aptos" w:cstheme="minorHAnsi"/>
                <w:color w:val="000000" w:themeColor="text1"/>
              </w:rPr>
            </w:pPr>
          </w:p>
        </w:tc>
      </w:tr>
      <w:tr w:rsidR="00A1105F" w14:paraId="1D8B3B9A"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14:paraId="252AFEA8" w14:textId="2F5D0BFE" w:rsidR="00944A64" w:rsidRDefault="00944A64" w:rsidP="00944A64">
            <w:pPr>
              <w:suppressAutoHyphens/>
              <w:spacing w:after="0" w:line="240" w:lineRule="auto"/>
              <w:rPr>
                <w:rFonts w:ascii="Calibri" w:eastAsia="Calibri" w:hAnsi="Calibri" w:cs="Calibri"/>
                <w:i/>
              </w:rPr>
            </w:pPr>
            <w:r>
              <w:rPr>
                <w:rFonts w:ascii="Calibri" w:eastAsia="Calibri" w:hAnsi="Calibri" w:cs="Calibri"/>
                <w:b/>
              </w:rPr>
              <w:lastRenderedPageBreak/>
              <w:t xml:space="preserve">Sample Checked References: </w:t>
            </w:r>
            <w:r>
              <w:rPr>
                <w:rFonts w:ascii="Calibri" w:eastAsia="Calibri" w:hAnsi="Calibri" w:cs="Calibri"/>
                <w:i/>
              </w:rPr>
              <w:t xml:space="preserve">(if </w:t>
            </w:r>
            <w:r w:rsidRPr="00A65DE9">
              <w:rPr>
                <w:rFonts w:ascii="Calibri" w:eastAsia="Calibri" w:hAnsi="Calibri" w:cs="Calibri"/>
                <w:b/>
                <w:bCs/>
                <w:i/>
              </w:rPr>
              <w:t>applicable</w:t>
            </w:r>
            <w:r>
              <w:rPr>
                <w:rFonts w:ascii="Calibri" w:eastAsia="Calibri" w:hAnsi="Calibri" w:cs="Calibri"/>
                <w:i/>
              </w:rPr>
              <w:t>) *</w:t>
            </w:r>
            <w:r w:rsidR="00875CEA">
              <w:rPr>
                <w:rFonts w:ascii="Calibri" w:eastAsia="Calibri" w:hAnsi="Calibri" w:cs="Calibri"/>
                <w:i/>
              </w:rPr>
              <w:t>20</w:t>
            </w:r>
            <w:r>
              <w:rPr>
                <w:rFonts w:ascii="Calibri" w:eastAsia="Calibri" w:hAnsi="Calibri" w:cs="Calibri"/>
                <w:i/>
              </w:rPr>
              <w:t xml:space="preserve"> accounts*</w:t>
            </w:r>
          </w:p>
          <w:p w14:paraId="1FE38F15" w14:textId="77777777" w:rsidR="00875CEA" w:rsidRDefault="00875CEA" w:rsidP="00944A64">
            <w:pPr>
              <w:suppressAutoHyphens/>
              <w:spacing w:after="0" w:line="240" w:lineRule="auto"/>
              <w:rPr>
                <w:rFonts w:ascii="Calibri" w:eastAsia="Calibri" w:hAnsi="Calibri" w:cs="Calibri"/>
                <w:i/>
              </w:rPr>
            </w:pPr>
          </w:p>
          <w:p w14:paraId="493432A5" w14:textId="77777777" w:rsidR="00DB0B4B" w:rsidRDefault="00BB029F" w:rsidP="00372EDD">
            <w:pPr>
              <w:pStyle w:val="NoSpacing"/>
              <w:rPr>
                <w:rFonts w:ascii="Aptos" w:hAnsi="Aptos" w:cstheme="minorHAnsi"/>
              </w:rPr>
            </w:pPr>
            <w:r w:rsidRPr="00BB029F">
              <w:rPr>
                <w:rFonts w:ascii="Aptos" w:hAnsi="Aptos" w:cstheme="minorHAnsi"/>
              </w:rPr>
              <w:t>875164</w:t>
            </w:r>
            <w:r w:rsidR="00657AF5">
              <w:rPr>
                <w:rFonts w:ascii="Aptos" w:hAnsi="Aptos" w:cstheme="minorHAnsi"/>
              </w:rPr>
              <w:t xml:space="preserve">, </w:t>
            </w:r>
            <w:r w:rsidRPr="00BB029F">
              <w:rPr>
                <w:rFonts w:ascii="Aptos" w:hAnsi="Aptos" w:cstheme="minorHAnsi"/>
              </w:rPr>
              <w:t>876489</w:t>
            </w:r>
            <w:r w:rsidR="00764008">
              <w:rPr>
                <w:rFonts w:ascii="Aptos" w:hAnsi="Aptos" w:cstheme="minorHAnsi"/>
              </w:rPr>
              <w:t xml:space="preserve">, </w:t>
            </w:r>
            <w:r w:rsidRPr="00BB029F">
              <w:rPr>
                <w:rFonts w:ascii="Aptos" w:hAnsi="Aptos" w:cstheme="minorHAnsi"/>
              </w:rPr>
              <w:t>819453</w:t>
            </w:r>
            <w:r w:rsidR="002C65DF">
              <w:rPr>
                <w:rFonts w:ascii="Aptos" w:hAnsi="Aptos" w:cstheme="minorHAnsi"/>
              </w:rPr>
              <w:t xml:space="preserve">, </w:t>
            </w:r>
            <w:r w:rsidRPr="00BB029F">
              <w:rPr>
                <w:rFonts w:ascii="Aptos" w:hAnsi="Aptos" w:cstheme="minorHAnsi"/>
              </w:rPr>
              <w:t>825057</w:t>
            </w:r>
            <w:r w:rsidR="002372FE">
              <w:rPr>
                <w:rFonts w:ascii="Aptos" w:hAnsi="Aptos" w:cstheme="minorHAnsi"/>
              </w:rPr>
              <w:t xml:space="preserve">, </w:t>
            </w:r>
            <w:r w:rsidRPr="00BB029F">
              <w:rPr>
                <w:rFonts w:ascii="Aptos" w:hAnsi="Aptos" w:cstheme="minorHAnsi"/>
              </w:rPr>
              <w:t>440458</w:t>
            </w:r>
            <w:r w:rsidR="002372FE">
              <w:rPr>
                <w:rFonts w:ascii="Aptos" w:hAnsi="Aptos" w:cstheme="minorHAnsi"/>
              </w:rPr>
              <w:t xml:space="preserve">, </w:t>
            </w:r>
            <w:r w:rsidRPr="00BB029F">
              <w:rPr>
                <w:rFonts w:ascii="Aptos" w:hAnsi="Aptos" w:cstheme="minorHAnsi"/>
              </w:rPr>
              <w:t>517123</w:t>
            </w:r>
            <w:r w:rsidR="0018745C">
              <w:rPr>
                <w:rFonts w:ascii="Aptos" w:hAnsi="Aptos" w:cstheme="minorHAnsi"/>
              </w:rPr>
              <w:t xml:space="preserve">, </w:t>
            </w:r>
            <w:r w:rsidRPr="00BB029F">
              <w:rPr>
                <w:rFonts w:ascii="Aptos" w:hAnsi="Aptos" w:cstheme="minorHAnsi"/>
              </w:rPr>
              <w:t>815307</w:t>
            </w:r>
            <w:r w:rsidR="00661EC6">
              <w:rPr>
                <w:rFonts w:ascii="Aptos" w:hAnsi="Aptos" w:cstheme="minorHAnsi"/>
              </w:rPr>
              <w:t xml:space="preserve">, </w:t>
            </w:r>
            <w:r w:rsidRPr="00BB029F">
              <w:rPr>
                <w:rFonts w:ascii="Aptos" w:hAnsi="Aptos" w:cstheme="minorHAnsi"/>
              </w:rPr>
              <w:t>799919</w:t>
            </w:r>
            <w:r w:rsidR="002E2022">
              <w:rPr>
                <w:rFonts w:ascii="Aptos" w:hAnsi="Aptos" w:cstheme="minorHAnsi"/>
              </w:rPr>
              <w:t xml:space="preserve">, </w:t>
            </w:r>
            <w:r w:rsidRPr="00BB029F">
              <w:rPr>
                <w:rFonts w:ascii="Aptos" w:hAnsi="Aptos" w:cstheme="minorHAnsi"/>
              </w:rPr>
              <w:t>428306</w:t>
            </w:r>
            <w:r w:rsidR="00682697">
              <w:rPr>
                <w:rFonts w:ascii="Aptos" w:hAnsi="Aptos" w:cstheme="minorHAnsi"/>
              </w:rPr>
              <w:t>,</w:t>
            </w:r>
            <w:r w:rsidR="00FA7F72">
              <w:rPr>
                <w:rFonts w:ascii="Aptos" w:hAnsi="Aptos" w:cstheme="minorHAnsi"/>
              </w:rPr>
              <w:t xml:space="preserve"> </w:t>
            </w:r>
            <w:r w:rsidRPr="00BB029F">
              <w:rPr>
                <w:rFonts w:ascii="Aptos" w:hAnsi="Aptos" w:cstheme="minorHAnsi"/>
              </w:rPr>
              <w:t>801051</w:t>
            </w:r>
          </w:p>
          <w:p w14:paraId="2E4EBBE6" w14:textId="7BC92B67" w:rsidR="00FF45E1" w:rsidRPr="00381B80" w:rsidRDefault="00FF45E1" w:rsidP="00372EDD">
            <w:pPr>
              <w:pStyle w:val="NoSpacing"/>
              <w:rPr>
                <w:rFonts w:ascii="Aptos" w:hAnsi="Aptos" w:cstheme="minorHAnsi"/>
              </w:rPr>
            </w:pPr>
            <w:r w:rsidRPr="00FF45E1">
              <w:rPr>
                <w:rFonts w:ascii="Aptos" w:hAnsi="Aptos" w:cstheme="minorHAnsi"/>
              </w:rPr>
              <w:t>856113</w:t>
            </w:r>
            <w:r w:rsidR="00DD22EE">
              <w:rPr>
                <w:rFonts w:ascii="Aptos" w:hAnsi="Aptos" w:cstheme="minorHAnsi"/>
              </w:rPr>
              <w:t xml:space="preserve">, </w:t>
            </w:r>
            <w:r w:rsidRPr="00FF45E1">
              <w:rPr>
                <w:rFonts w:ascii="Aptos" w:hAnsi="Aptos" w:cstheme="minorHAnsi"/>
              </w:rPr>
              <w:t>878524</w:t>
            </w:r>
            <w:r w:rsidR="001A43EE">
              <w:rPr>
                <w:rFonts w:ascii="Aptos" w:hAnsi="Aptos" w:cstheme="minorHAnsi"/>
              </w:rPr>
              <w:t xml:space="preserve">, </w:t>
            </w:r>
            <w:r w:rsidRPr="00FF45E1">
              <w:rPr>
                <w:rFonts w:ascii="Aptos" w:hAnsi="Aptos" w:cstheme="minorHAnsi"/>
              </w:rPr>
              <w:t>930819</w:t>
            </w:r>
            <w:r w:rsidR="00E71147">
              <w:rPr>
                <w:rFonts w:ascii="Aptos" w:hAnsi="Aptos" w:cstheme="minorHAnsi"/>
              </w:rPr>
              <w:t xml:space="preserve">, </w:t>
            </w:r>
            <w:r w:rsidRPr="00FF45E1">
              <w:rPr>
                <w:rFonts w:ascii="Aptos" w:hAnsi="Aptos" w:cstheme="minorHAnsi"/>
              </w:rPr>
              <w:t>891366</w:t>
            </w:r>
            <w:r w:rsidR="00EF49E8">
              <w:rPr>
                <w:rFonts w:ascii="Aptos" w:hAnsi="Aptos" w:cstheme="minorHAnsi"/>
              </w:rPr>
              <w:t xml:space="preserve">, </w:t>
            </w:r>
            <w:r w:rsidRPr="00FF45E1">
              <w:rPr>
                <w:rFonts w:ascii="Aptos" w:hAnsi="Aptos" w:cstheme="minorHAnsi"/>
              </w:rPr>
              <w:t>754880</w:t>
            </w:r>
            <w:r w:rsidR="00EF49E8">
              <w:rPr>
                <w:rFonts w:ascii="Aptos" w:hAnsi="Aptos" w:cstheme="minorHAnsi"/>
              </w:rPr>
              <w:t xml:space="preserve">, </w:t>
            </w:r>
            <w:r w:rsidR="00A44634" w:rsidRPr="00FF45E1">
              <w:rPr>
                <w:rFonts w:ascii="Aptos" w:hAnsi="Aptos" w:cstheme="minorHAnsi"/>
              </w:rPr>
              <w:t>740719</w:t>
            </w:r>
            <w:r w:rsidR="00FC78B7">
              <w:rPr>
                <w:rFonts w:ascii="Aptos" w:hAnsi="Aptos" w:cstheme="minorHAnsi"/>
              </w:rPr>
              <w:t xml:space="preserve">, </w:t>
            </w:r>
            <w:r w:rsidRPr="00FF45E1">
              <w:rPr>
                <w:rFonts w:ascii="Aptos" w:hAnsi="Aptos" w:cstheme="minorHAnsi"/>
              </w:rPr>
              <w:t>892905</w:t>
            </w:r>
            <w:r w:rsidR="002F60C1">
              <w:rPr>
                <w:rFonts w:ascii="Aptos" w:hAnsi="Aptos" w:cstheme="minorHAnsi"/>
              </w:rPr>
              <w:t xml:space="preserve">, </w:t>
            </w:r>
            <w:r w:rsidRPr="00FF45E1">
              <w:rPr>
                <w:rFonts w:ascii="Aptos" w:hAnsi="Aptos" w:cstheme="minorHAnsi"/>
              </w:rPr>
              <w:t>884058</w:t>
            </w:r>
            <w:r w:rsidR="00B57606">
              <w:rPr>
                <w:rFonts w:ascii="Aptos" w:hAnsi="Aptos" w:cstheme="minorHAnsi"/>
              </w:rPr>
              <w:t xml:space="preserve">, </w:t>
            </w:r>
            <w:r w:rsidRPr="00FF45E1">
              <w:rPr>
                <w:rFonts w:ascii="Aptos" w:hAnsi="Aptos" w:cstheme="minorHAnsi"/>
              </w:rPr>
              <w:t>756415</w:t>
            </w:r>
            <w:r w:rsidR="00721439">
              <w:rPr>
                <w:rFonts w:ascii="Aptos" w:hAnsi="Aptos" w:cstheme="minorHAnsi"/>
              </w:rPr>
              <w:t xml:space="preserve">, </w:t>
            </w:r>
            <w:r w:rsidRPr="00FF45E1">
              <w:rPr>
                <w:rFonts w:ascii="Aptos" w:hAnsi="Aptos" w:cstheme="minorHAnsi"/>
              </w:rPr>
              <w:t>878357</w:t>
            </w:r>
          </w:p>
        </w:tc>
      </w:tr>
      <w:tr w:rsidR="00FF65D8" w14:paraId="3F3AD3DB" w14:textId="77777777">
        <w:trPr>
          <w:trHeight w:val="1"/>
        </w:trPr>
        <w:tc>
          <w:tcPr>
            <w:tcW w:w="9016"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tcPr>
          <w:p w14:paraId="3F3AD3D8" w14:textId="77777777" w:rsidR="00FF65D8" w:rsidRDefault="00FF65D8" w:rsidP="00FF65D8">
            <w:pPr>
              <w:suppressAutoHyphens/>
              <w:spacing w:after="0" w:line="240" w:lineRule="auto"/>
              <w:rPr>
                <w:rFonts w:ascii="Calibri" w:eastAsia="Calibri" w:hAnsi="Calibri" w:cs="Calibri"/>
                <w:b/>
              </w:rPr>
            </w:pPr>
            <w:r>
              <w:rPr>
                <w:rFonts w:ascii="Calibri" w:eastAsia="Calibri" w:hAnsi="Calibri" w:cs="Calibri"/>
                <w:b/>
              </w:rPr>
              <w:t>Actions:</w:t>
            </w:r>
          </w:p>
          <w:p w14:paraId="3F3AD3D9" w14:textId="701C89E2" w:rsidR="00FF65D8" w:rsidRDefault="00FF65D8" w:rsidP="00FF65D8">
            <w:pPr>
              <w:suppressAutoHyphens/>
              <w:spacing w:after="0" w:line="240" w:lineRule="auto"/>
              <w:rPr>
                <w:rFonts w:ascii="Calibri" w:eastAsia="Calibri" w:hAnsi="Calibri" w:cs="Calibri"/>
                <w:b/>
              </w:rPr>
            </w:pPr>
            <w:r>
              <w:rPr>
                <w:rFonts w:ascii="Calibri" w:eastAsia="Calibri" w:hAnsi="Calibri" w:cs="Calibri"/>
                <w:color w:val="000000"/>
              </w:rPr>
              <w:t xml:space="preserve">I conducted checks on our CRM to verify the indicators used to identify our vulnerable customers as well as the actions taken to show the appropriate levels of forbearance. </w:t>
            </w:r>
          </w:p>
          <w:p w14:paraId="3F3AD3DA" w14:textId="77777777" w:rsidR="00FF65D8" w:rsidRDefault="00FF65D8" w:rsidP="00FF65D8">
            <w:pPr>
              <w:suppressAutoHyphens/>
              <w:spacing w:after="0" w:line="240" w:lineRule="auto"/>
              <w:rPr>
                <w:rFonts w:ascii="Calibri" w:eastAsia="Calibri" w:hAnsi="Calibri" w:cs="Calibri"/>
              </w:rPr>
            </w:pPr>
          </w:p>
        </w:tc>
      </w:tr>
      <w:tr w:rsidR="00FF65D8" w14:paraId="3F3AD3DF" w14:textId="77777777">
        <w:trPr>
          <w:trHeight w:val="1"/>
        </w:trPr>
        <w:tc>
          <w:tcPr>
            <w:tcW w:w="301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DC" w14:textId="77777777" w:rsidR="00FF65D8" w:rsidRDefault="00FF65D8" w:rsidP="00FF65D8">
            <w:pPr>
              <w:suppressAutoHyphens/>
              <w:spacing w:after="0" w:line="240" w:lineRule="auto"/>
              <w:rPr>
                <w:rFonts w:ascii="Calibri" w:eastAsia="Calibri" w:hAnsi="Calibri" w:cs="Calibri"/>
              </w:rPr>
            </w:pPr>
            <w:r>
              <w:rPr>
                <w:rFonts w:ascii="Calibri" w:eastAsia="Calibri" w:hAnsi="Calibri" w:cs="Calibri"/>
                <w:b/>
              </w:rPr>
              <w:lastRenderedPageBreak/>
              <w:t>Procedure Document Used</w:t>
            </w:r>
          </w:p>
        </w:tc>
        <w:tc>
          <w:tcPr>
            <w:tcW w:w="29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DD" w14:textId="77777777" w:rsidR="00FF65D8" w:rsidRDefault="00FF65D8" w:rsidP="00FF65D8">
            <w:pPr>
              <w:suppressAutoHyphens/>
              <w:spacing w:after="0" w:line="240" w:lineRule="auto"/>
              <w:rPr>
                <w:rFonts w:ascii="Calibri" w:eastAsia="Calibri" w:hAnsi="Calibri" w:cs="Calibri"/>
              </w:rPr>
            </w:pPr>
            <w:r>
              <w:rPr>
                <w:rFonts w:ascii="Calibri" w:eastAsia="Calibri" w:hAnsi="Calibri" w:cs="Calibri"/>
                <w:b/>
              </w:rPr>
              <w:t>Auditing Method</w:t>
            </w:r>
          </w:p>
        </w:tc>
        <w:tc>
          <w:tcPr>
            <w:tcW w:w="301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DE" w14:textId="77777777" w:rsidR="00FF65D8" w:rsidRDefault="00FF65D8" w:rsidP="00FF65D8">
            <w:pPr>
              <w:suppressAutoHyphens/>
              <w:spacing w:after="0" w:line="240" w:lineRule="auto"/>
              <w:rPr>
                <w:rFonts w:ascii="Calibri" w:eastAsia="Calibri" w:hAnsi="Calibri" w:cs="Calibri"/>
              </w:rPr>
            </w:pPr>
            <w:r>
              <w:rPr>
                <w:rFonts w:ascii="Calibri" w:eastAsia="Calibri" w:hAnsi="Calibri" w:cs="Calibri"/>
                <w:b/>
              </w:rPr>
              <w:t>Next Audit Date</w:t>
            </w:r>
          </w:p>
        </w:tc>
      </w:tr>
      <w:tr w:rsidR="00FF65D8" w14:paraId="3F3AD3E3" w14:textId="77777777">
        <w:trPr>
          <w:trHeight w:val="1"/>
        </w:trPr>
        <w:tc>
          <w:tcPr>
            <w:tcW w:w="301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0" w14:textId="39E15726" w:rsidR="00FF65D8" w:rsidRDefault="00FF65D8" w:rsidP="00FF65D8">
            <w:pPr>
              <w:suppressAutoHyphens/>
              <w:spacing w:after="0" w:line="240" w:lineRule="auto"/>
              <w:rPr>
                <w:rFonts w:ascii="Calibri" w:eastAsia="Calibri" w:hAnsi="Calibri" w:cs="Calibri"/>
                <w:sz w:val="22"/>
              </w:rPr>
            </w:pPr>
            <w:r>
              <w:rPr>
                <w:rFonts w:ascii="Calibri" w:eastAsia="Calibri" w:hAnsi="Calibri" w:cs="Calibri"/>
                <w:sz w:val="22"/>
              </w:rPr>
              <w:t xml:space="preserve">Vulnerable Customers Policy </w:t>
            </w:r>
          </w:p>
        </w:tc>
        <w:tc>
          <w:tcPr>
            <w:tcW w:w="29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1" w14:textId="1F56B677" w:rsidR="00FF65D8" w:rsidRDefault="00FF65D8" w:rsidP="00FF65D8">
            <w:pPr>
              <w:suppressAutoHyphens/>
              <w:spacing w:after="0" w:line="240" w:lineRule="auto"/>
              <w:rPr>
                <w:rFonts w:ascii="Calibri" w:eastAsia="Calibri" w:hAnsi="Calibri" w:cs="Calibri"/>
                <w:sz w:val="22"/>
              </w:rPr>
            </w:pPr>
            <w:r>
              <w:rPr>
                <w:rFonts w:ascii="Calibri" w:eastAsia="Calibri" w:hAnsi="Calibri" w:cs="Calibri"/>
                <w:sz w:val="22"/>
              </w:rPr>
              <w:t xml:space="preserve">CRM Monitoring, Email Monitoring, Call Monitoring </w:t>
            </w:r>
          </w:p>
        </w:tc>
        <w:tc>
          <w:tcPr>
            <w:tcW w:w="301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2" w14:textId="662358B4" w:rsidR="00FF65D8" w:rsidRDefault="006364AF" w:rsidP="00FF65D8">
            <w:pPr>
              <w:suppressAutoHyphens/>
              <w:spacing w:after="0" w:line="240" w:lineRule="auto"/>
              <w:rPr>
                <w:rFonts w:ascii="Calibri" w:eastAsia="Calibri" w:hAnsi="Calibri" w:cs="Calibri"/>
              </w:rPr>
            </w:pPr>
            <w:r>
              <w:rPr>
                <w:rFonts w:ascii="Calibri" w:eastAsia="Calibri" w:hAnsi="Calibri" w:cs="Calibri"/>
                <w:i/>
                <w:color w:val="767171"/>
              </w:rPr>
              <w:t>November</w:t>
            </w:r>
            <w:r w:rsidR="005D3707">
              <w:rPr>
                <w:rFonts w:ascii="Calibri" w:eastAsia="Calibri" w:hAnsi="Calibri" w:cs="Calibri"/>
                <w:i/>
                <w:color w:val="767171"/>
              </w:rPr>
              <w:t xml:space="preserve"> 2025</w:t>
            </w:r>
          </w:p>
        </w:tc>
      </w:tr>
      <w:tr w:rsidR="00FF65D8" w14:paraId="3F3AD3E7" w14:textId="77777777">
        <w:trPr>
          <w:trHeight w:val="1"/>
        </w:trPr>
        <w:tc>
          <w:tcPr>
            <w:tcW w:w="301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4" w14:textId="77777777" w:rsidR="00FF65D8" w:rsidRDefault="00FF65D8" w:rsidP="00FF65D8">
            <w:pPr>
              <w:suppressAutoHyphens/>
              <w:spacing w:after="0" w:line="240" w:lineRule="auto"/>
              <w:rPr>
                <w:rFonts w:ascii="Calibri" w:eastAsia="Calibri" w:hAnsi="Calibri" w:cs="Calibri"/>
                <w:sz w:val="22"/>
              </w:rPr>
            </w:pPr>
          </w:p>
        </w:tc>
        <w:tc>
          <w:tcPr>
            <w:tcW w:w="29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5" w14:textId="77777777" w:rsidR="00FF65D8" w:rsidRDefault="00FF65D8" w:rsidP="00FF65D8">
            <w:pPr>
              <w:suppressAutoHyphens/>
              <w:spacing w:after="0" w:line="240" w:lineRule="auto"/>
              <w:rPr>
                <w:rFonts w:ascii="Calibri" w:eastAsia="Calibri" w:hAnsi="Calibri" w:cs="Calibri"/>
                <w:sz w:val="22"/>
              </w:rPr>
            </w:pPr>
          </w:p>
        </w:tc>
        <w:tc>
          <w:tcPr>
            <w:tcW w:w="301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6" w14:textId="77777777" w:rsidR="00FF65D8" w:rsidRDefault="00FF65D8" w:rsidP="00FF65D8">
            <w:pPr>
              <w:suppressAutoHyphens/>
              <w:spacing w:after="0" w:line="240" w:lineRule="auto"/>
              <w:rPr>
                <w:rFonts w:ascii="Calibri" w:eastAsia="Calibri" w:hAnsi="Calibri" w:cs="Calibri"/>
                <w:sz w:val="22"/>
              </w:rPr>
            </w:pPr>
          </w:p>
        </w:tc>
      </w:tr>
      <w:tr w:rsidR="00FF65D8" w14:paraId="3F3AD3EB" w14:textId="77777777">
        <w:trPr>
          <w:trHeight w:val="1"/>
        </w:trPr>
        <w:tc>
          <w:tcPr>
            <w:tcW w:w="301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8" w14:textId="77777777" w:rsidR="00FF65D8" w:rsidRDefault="00FF65D8" w:rsidP="00FF65D8">
            <w:pPr>
              <w:suppressAutoHyphens/>
              <w:spacing w:after="0" w:line="240" w:lineRule="auto"/>
              <w:rPr>
                <w:rFonts w:ascii="Calibri" w:eastAsia="Calibri" w:hAnsi="Calibri" w:cs="Calibri"/>
                <w:sz w:val="22"/>
              </w:rPr>
            </w:pPr>
          </w:p>
        </w:tc>
        <w:tc>
          <w:tcPr>
            <w:tcW w:w="29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9" w14:textId="77777777" w:rsidR="00FF65D8" w:rsidRDefault="00FF65D8" w:rsidP="00FF65D8">
            <w:pPr>
              <w:suppressAutoHyphens/>
              <w:spacing w:after="0" w:line="240" w:lineRule="auto"/>
              <w:rPr>
                <w:rFonts w:ascii="Calibri" w:eastAsia="Calibri" w:hAnsi="Calibri" w:cs="Calibri"/>
                <w:sz w:val="22"/>
              </w:rPr>
            </w:pPr>
          </w:p>
        </w:tc>
        <w:tc>
          <w:tcPr>
            <w:tcW w:w="301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A" w14:textId="77777777" w:rsidR="00FF65D8" w:rsidRDefault="00FF65D8" w:rsidP="00FF65D8">
            <w:pPr>
              <w:suppressAutoHyphens/>
              <w:spacing w:after="0" w:line="240" w:lineRule="auto"/>
              <w:rPr>
                <w:rFonts w:ascii="Calibri" w:eastAsia="Calibri" w:hAnsi="Calibri" w:cs="Calibri"/>
                <w:sz w:val="22"/>
              </w:rPr>
            </w:pPr>
          </w:p>
        </w:tc>
      </w:tr>
      <w:tr w:rsidR="00FF65D8" w14:paraId="3F3AD3EF" w14:textId="77777777">
        <w:trPr>
          <w:trHeight w:val="1"/>
        </w:trPr>
        <w:tc>
          <w:tcPr>
            <w:tcW w:w="301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C" w14:textId="77777777" w:rsidR="00FF65D8" w:rsidRDefault="00FF65D8" w:rsidP="00FF65D8">
            <w:pPr>
              <w:suppressAutoHyphens/>
              <w:spacing w:after="0" w:line="240" w:lineRule="auto"/>
              <w:rPr>
                <w:rFonts w:ascii="Calibri" w:eastAsia="Calibri" w:hAnsi="Calibri" w:cs="Calibri"/>
                <w:sz w:val="22"/>
              </w:rPr>
            </w:pPr>
          </w:p>
        </w:tc>
        <w:tc>
          <w:tcPr>
            <w:tcW w:w="29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D" w14:textId="77777777" w:rsidR="00FF65D8" w:rsidRDefault="00FF65D8" w:rsidP="00FF65D8">
            <w:pPr>
              <w:suppressAutoHyphens/>
              <w:spacing w:after="0" w:line="240" w:lineRule="auto"/>
              <w:rPr>
                <w:rFonts w:ascii="Calibri" w:eastAsia="Calibri" w:hAnsi="Calibri" w:cs="Calibri"/>
                <w:sz w:val="22"/>
              </w:rPr>
            </w:pPr>
          </w:p>
        </w:tc>
        <w:tc>
          <w:tcPr>
            <w:tcW w:w="301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EE" w14:textId="77777777" w:rsidR="00FF65D8" w:rsidRDefault="00FF65D8" w:rsidP="00FF65D8">
            <w:pPr>
              <w:suppressAutoHyphens/>
              <w:spacing w:after="0" w:line="240" w:lineRule="auto"/>
              <w:rPr>
                <w:rFonts w:ascii="Calibri" w:eastAsia="Calibri" w:hAnsi="Calibri" w:cs="Calibri"/>
                <w:sz w:val="22"/>
              </w:rPr>
            </w:pPr>
          </w:p>
        </w:tc>
      </w:tr>
      <w:tr w:rsidR="00FF65D8" w14:paraId="3F3AD3F3" w14:textId="77777777">
        <w:trPr>
          <w:trHeight w:val="1"/>
        </w:trPr>
        <w:tc>
          <w:tcPr>
            <w:tcW w:w="301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F0" w14:textId="77777777" w:rsidR="00FF65D8" w:rsidRDefault="00FF65D8" w:rsidP="00FF65D8">
            <w:pPr>
              <w:suppressAutoHyphens/>
              <w:spacing w:after="0" w:line="240" w:lineRule="auto"/>
              <w:rPr>
                <w:rFonts w:ascii="Calibri" w:eastAsia="Calibri" w:hAnsi="Calibri" w:cs="Calibri"/>
                <w:sz w:val="22"/>
              </w:rPr>
            </w:pPr>
          </w:p>
        </w:tc>
        <w:tc>
          <w:tcPr>
            <w:tcW w:w="29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F1" w14:textId="77777777" w:rsidR="00FF65D8" w:rsidRDefault="00FF65D8" w:rsidP="00FF65D8">
            <w:pPr>
              <w:suppressAutoHyphens/>
              <w:spacing w:after="0" w:line="240" w:lineRule="auto"/>
              <w:rPr>
                <w:rFonts w:ascii="Calibri" w:eastAsia="Calibri" w:hAnsi="Calibri" w:cs="Calibri"/>
                <w:sz w:val="22"/>
              </w:rPr>
            </w:pPr>
          </w:p>
        </w:tc>
        <w:tc>
          <w:tcPr>
            <w:tcW w:w="301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3AD3F2" w14:textId="77777777" w:rsidR="00FF65D8" w:rsidRDefault="00FF65D8" w:rsidP="00FF65D8">
            <w:pPr>
              <w:suppressAutoHyphens/>
              <w:spacing w:after="0" w:line="240" w:lineRule="auto"/>
              <w:rPr>
                <w:rFonts w:ascii="Calibri" w:eastAsia="Calibri" w:hAnsi="Calibri" w:cs="Calibri"/>
                <w:sz w:val="22"/>
              </w:rPr>
            </w:pPr>
          </w:p>
        </w:tc>
      </w:tr>
    </w:tbl>
    <w:p w14:paraId="3F3AD3F4" w14:textId="77777777" w:rsidR="00A8463B" w:rsidRDefault="00A8463B">
      <w:pPr>
        <w:suppressAutoHyphens/>
        <w:spacing w:after="0" w:line="240" w:lineRule="auto"/>
        <w:rPr>
          <w:rFonts w:ascii="Times New Roman" w:eastAsia="Times New Roman" w:hAnsi="Times New Roman" w:cs="Times New Roman"/>
        </w:rPr>
      </w:pPr>
    </w:p>
    <w:sectPr w:rsidR="00A84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390"/>
    <w:multiLevelType w:val="multilevel"/>
    <w:tmpl w:val="591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88C"/>
    <w:multiLevelType w:val="multilevel"/>
    <w:tmpl w:val="2E246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61534"/>
    <w:multiLevelType w:val="multilevel"/>
    <w:tmpl w:val="202E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03122"/>
    <w:multiLevelType w:val="multilevel"/>
    <w:tmpl w:val="46A6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63417"/>
    <w:multiLevelType w:val="multilevel"/>
    <w:tmpl w:val="1A464C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F0070"/>
    <w:multiLevelType w:val="multilevel"/>
    <w:tmpl w:val="D4D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774FA"/>
    <w:multiLevelType w:val="multilevel"/>
    <w:tmpl w:val="B9E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14B44"/>
    <w:multiLevelType w:val="multilevel"/>
    <w:tmpl w:val="7510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A780F"/>
    <w:multiLevelType w:val="multilevel"/>
    <w:tmpl w:val="2E246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17D0F"/>
    <w:multiLevelType w:val="multilevel"/>
    <w:tmpl w:val="E5B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121DC"/>
    <w:multiLevelType w:val="multilevel"/>
    <w:tmpl w:val="4B66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E11BB"/>
    <w:multiLevelType w:val="multilevel"/>
    <w:tmpl w:val="F254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71224"/>
    <w:multiLevelType w:val="multilevel"/>
    <w:tmpl w:val="286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B2D48"/>
    <w:multiLevelType w:val="multilevel"/>
    <w:tmpl w:val="B282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72277"/>
    <w:multiLevelType w:val="multilevel"/>
    <w:tmpl w:val="B5E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01B8A"/>
    <w:multiLevelType w:val="multilevel"/>
    <w:tmpl w:val="7F40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115A7"/>
    <w:multiLevelType w:val="multilevel"/>
    <w:tmpl w:val="989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57598">
    <w:abstractNumId w:val="7"/>
  </w:num>
  <w:num w:numId="2" w16cid:durableId="2073120351">
    <w:abstractNumId w:val="4"/>
  </w:num>
  <w:num w:numId="3" w16cid:durableId="687023087">
    <w:abstractNumId w:val="8"/>
  </w:num>
  <w:num w:numId="4" w16cid:durableId="268045315">
    <w:abstractNumId w:val="1"/>
  </w:num>
  <w:num w:numId="5" w16cid:durableId="726033363">
    <w:abstractNumId w:val="14"/>
  </w:num>
  <w:num w:numId="6" w16cid:durableId="434637045">
    <w:abstractNumId w:val="9"/>
  </w:num>
  <w:num w:numId="7" w16cid:durableId="496117214">
    <w:abstractNumId w:val="6"/>
  </w:num>
  <w:num w:numId="8" w16cid:durableId="46415999">
    <w:abstractNumId w:val="15"/>
  </w:num>
  <w:num w:numId="9" w16cid:durableId="804852490">
    <w:abstractNumId w:val="3"/>
  </w:num>
  <w:num w:numId="10" w16cid:durableId="288630706">
    <w:abstractNumId w:val="16"/>
  </w:num>
  <w:num w:numId="11" w16cid:durableId="1219896093">
    <w:abstractNumId w:val="11"/>
  </w:num>
  <w:num w:numId="12" w16cid:durableId="427771278">
    <w:abstractNumId w:val="0"/>
  </w:num>
  <w:num w:numId="13" w16cid:durableId="1240217687">
    <w:abstractNumId w:val="10"/>
  </w:num>
  <w:num w:numId="14" w16cid:durableId="1780641276">
    <w:abstractNumId w:val="2"/>
  </w:num>
  <w:num w:numId="15" w16cid:durableId="409278129">
    <w:abstractNumId w:val="13"/>
  </w:num>
  <w:num w:numId="16" w16cid:durableId="1090471511">
    <w:abstractNumId w:val="12"/>
  </w:num>
  <w:num w:numId="17" w16cid:durableId="1655909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463B"/>
    <w:rsid w:val="000019F8"/>
    <w:rsid w:val="00003E3E"/>
    <w:rsid w:val="0001034E"/>
    <w:rsid w:val="000127AE"/>
    <w:rsid w:val="000128B8"/>
    <w:rsid w:val="00012F98"/>
    <w:rsid w:val="00014946"/>
    <w:rsid w:val="0002091F"/>
    <w:rsid w:val="00021E17"/>
    <w:rsid w:val="00022490"/>
    <w:rsid w:val="00025907"/>
    <w:rsid w:val="00026662"/>
    <w:rsid w:val="000320BF"/>
    <w:rsid w:val="000322CE"/>
    <w:rsid w:val="00032683"/>
    <w:rsid w:val="00032AD3"/>
    <w:rsid w:val="00032DF5"/>
    <w:rsid w:val="000333A7"/>
    <w:rsid w:val="00041677"/>
    <w:rsid w:val="000416B3"/>
    <w:rsid w:val="00042028"/>
    <w:rsid w:val="00043611"/>
    <w:rsid w:val="00044CBD"/>
    <w:rsid w:val="000457B9"/>
    <w:rsid w:val="00047595"/>
    <w:rsid w:val="00052B29"/>
    <w:rsid w:val="00056351"/>
    <w:rsid w:val="0005752D"/>
    <w:rsid w:val="00065629"/>
    <w:rsid w:val="00065F4B"/>
    <w:rsid w:val="000660B9"/>
    <w:rsid w:val="00066BB2"/>
    <w:rsid w:val="00070DA9"/>
    <w:rsid w:val="00073E24"/>
    <w:rsid w:val="00074C23"/>
    <w:rsid w:val="00074C8E"/>
    <w:rsid w:val="000820EE"/>
    <w:rsid w:val="0008349E"/>
    <w:rsid w:val="00084478"/>
    <w:rsid w:val="000864BF"/>
    <w:rsid w:val="00086C57"/>
    <w:rsid w:val="000929F0"/>
    <w:rsid w:val="00092C41"/>
    <w:rsid w:val="0009633A"/>
    <w:rsid w:val="00097BBA"/>
    <w:rsid w:val="00097CFA"/>
    <w:rsid w:val="000A09CE"/>
    <w:rsid w:val="000A6DB2"/>
    <w:rsid w:val="000A7662"/>
    <w:rsid w:val="000B0858"/>
    <w:rsid w:val="000B0F9C"/>
    <w:rsid w:val="000B23A5"/>
    <w:rsid w:val="000B3671"/>
    <w:rsid w:val="000B3B4C"/>
    <w:rsid w:val="000B4580"/>
    <w:rsid w:val="000B72F6"/>
    <w:rsid w:val="000B7372"/>
    <w:rsid w:val="000B7415"/>
    <w:rsid w:val="000B7637"/>
    <w:rsid w:val="000B7B4C"/>
    <w:rsid w:val="000B7D87"/>
    <w:rsid w:val="000C10AA"/>
    <w:rsid w:val="000C149B"/>
    <w:rsid w:val="000C1786"/>
    <w:rsid w:val="000C2C84"/>
    <w:rsid w:val="000C3782"/>
    <w:rsid w:val="000C4B5E"/>
    <w:rsid w:val="000C593A"/>
    <w:rsid w:val="000C5B32"/>
    <w:rsid w:val="000D243F"/>
    <w:rsid w:val="000E13BA"/>
    <w:rsid w:val="000E22C7"/>
    <w:rsid w:val="000E2AD5"/>
    <w:rsid w:val="000E40D8"/>
    <w:rsid w:val="000E577F"/>
    <w:rsid w:val="000E6D3B"/>
    <w:rsid w:val="000E785A"/>
    <w:rsid w:val="000F01C3"/>
    <w:rsid w:val="000F1973"/>
    <w:rsid w:val="000F397E"/>
    <w:rsid w:val="000F3FB9"/>
    <w:rsid w:val="000F6E3A"/>
    <w:rsid w:val="000F7A59"/>
    <w:rsid w:val="001023B9"/>
    <w:rsid w:val="00103DB0"/>
    <w:rsid w:val="00107731"/>
    <w:rsid w:val="00110F61"/>
    <w:rsid w:val="001132C9"/>
    <w:rsid w:val="0011425C"/>
    <w:rsid w:val="00114C96"/>
    <w:rsid w:val="001174C5"/>
    <w:rsid w:val="00121116"/>
    <w:rsid w:val="00123C4F"/>
    <w:rsid w:val="00123DDB"/>
    <w:rsid w:val="00124450"/>
    <w:rsid w:val="00125141"/>
    <w:rsid w:val="00125220"/>
    <w:rsid w:val="0012747E"/>
    <w:rsid w:val="00127AC0"/>
    <w:rsid w:val="00130366"/>
    <w:rsid w:val="00130A57"/>
    <w:rsid w:val="001351E3"/>
    <w:rsid w:val="0013621D"/>
    <w:rsid w:val="001362B2"/>
    <w:rsid w:val="00137408"/>
    <w:rsid w:val="00144530"/>
    <w:rsid w:val="00146AFA"/>
    <w:rsid w:val="00150F27"/>
    <w:rsid w:val="00151F3D"/>
    <w:rsid w:val="00152029"/>
    <w:rsid w:val="00153882"/>
    <w:rsid w:val="0015444E"/>
    <w:rsid w:val="00160167"/>
    <w:rsid w:val="001622D5"/>
    <w:rsid w:val="00162783"/>
    <w:rsid w:val="00162AA0"/>
    <w:rsid w:val="00162ABD"/>
    <w:rsid w:val="00162C08"/>
    <w:rsid w:val="00167B7A"/>
    <w:rsid w:val="00170609"/>
    <w:rsid w:val="00170A88"/>
    <w:rsid w:val="00174CD5"/>
    <w:rsid w:val="00175753"/>
    <w:rsid w:val="00176FA4"/>
    <w:rsid w:val="00182086"/>
    <w:rsid w:val="00182CAA"/>
    <w:rsid w:val="00183445"/>
    <w:rsid w:val="00183BAE"/>
    <w:rsid w:val="00184957"/>
    <w:rsid w:val="00184DC9"/>
    <w:rsid w:val="0018745C"/>
    <w:rsid w:val="00193390"/>
    <w:rsid w:val="00193466"/>
    <w:rsid w:val="001968F0"/>
    <w:rsid w:val="00196C37"/>
    <w:rsid w:val="00196C9D"/>
    <w:rsid w:val="00197FC7"/>
    <w:rsid w:val="001A30C6"/>
    <w:rsid w:val="001A35C2"/>
    <w:rsid w:val="001A35DB"/>
    <w:rsid w:val="001A43EE"/>
    <w:rsid w:val="001A4DF3"/>
    <w:rsid w:val="001B0B27"/>
    <w:rsid w:val="001B0B4D"/>
    <w:rsid w:val="001B4249"/>
    <w:rsid w:val="001B6A04"/>
    <w:rsid w:val="001B795E"/>
    <w:rsid w:val="001C1B2A"/>
    <w:rsid w:val="001C2269"/>
    <w:rsid w:val="001C32AF"/>
    <w:rsid w:val="001C3FB2"/>
    <w:rsid w:val="001C4B66"/>
    <w:rsid w:val="001D0414"/>
    <w:rsid w:val="001D3020"/>
    <w:rsid w:val="001D4EB8"/>
    <w:rsid w:val="001E0BC0"/>
    <w:rsid w:val="001E52E5"/>
    <w:rsid w:val="001E5450"/>
    <w:rsid w:val="001E5455"/>
    <w:rsid w:val="001F037E"/>
    <w:rsid w:val="001F1747"/>
    <w:rsid w:val="001F228D"/>
    <w:rsid w:val="001F43E4"/>
    <w:rsid w:val="001F4759"/>
    <w:rsid w:val="001F4F04"/>
    <w:rsid w:val="001F54C2"/>
    <w:rsid w:val="001F7667"/>
    <w:rsid w:val="002000B6"/>
    <w:rsid w:val="002009FB"/>
    <w:rsid w:val="00200C0E"/>
    <w:rsid w:val="00211621"/>
    <w:rsid w:val="00212CE6"/>
    <w:rsid w:val="002139B6"/>
    <w:rsid w:val="00214439"/>
    <w:rsid w:val="00214717"/>
    <w:rsid w:val="002205B9"/>
    <w:rsid w:val="00220D6C"/>
    <w:rsid w:val="002223D7"/>
    <w:rsid w:val="0022278F"/>
    <w:rsid w:val="002232E5"/>
    <w:rsid w:val="002235C1"/>
    <w:rsid w:val="00223E07"/>
    <w:rsid w:val="002248BF"/>
    <w:rsid w:val="00225204"/>
    <w:rsid w:val="002272A7"/>
    <w:rsid w:val="00232E97"/>
    <w:rsid w:val="00233F00"/>
    <w:rsid w:val="00234A8A"/>
    <w:rsid w:val="002372FE"/>
    <w:rsid w:val="002402A9"/>
    <w:rsid w:val="00246606"/>
    <w:rsid w:val="00247427"/>
    <w:rsid w:val="00252386"/>
    <w:rsid w:val="00252857"/>
    <w:rsid w:val="002565CF"/>
    <w:rsid w:val="0025677C"/>
    <w:rsid w:val="00256C3A"/>
    <w:rsid w:val="00261378"/>
    <w:rsid w:val="002634E8"/>
    <w:rsid w:val="00264BF7"/>
    <w:rsid w:val="00267890"/>
    <w:rsid w:val="00270925"/>
    <w:rsid w:val="00270A6B"/>
    <w:rsid w:val="0027336C"/>
    <w:rsid w:val="002748C7"/>
    <w:rsid w:val="00275450"/>
    <w:rsid w:val="00281026"/>
    <w:rsid w:val="00282CA1"/>
    <w:rsid w:val="00283266"/>
    <w:rsid w:val="00283A87"/>
    <w:rsid w:val="00284B85"/>
    <w:rsid w:val="00285230"/>
    <w:rsid w:val="0028600B"/>
    <w:rsid w:val="00291028"/>
    <w:rsid w:val="00292C14"/>
    <w:rsid w:val="00294D3A"/>
    <w:rsid w:val="00294F4F"/>
    <w:rsid w:val="0029567D"/>
    <w:rsid w:val="002A11DC"/>
    <w:rsid w:val="002A19F4"/>
    <w:rsid w:val="002A31F8"/>
    <w:rsid w:val="002A3F22"/>
    <w:rsid w:val="002A787F"/>
    <w:rsid w:val="002A7B62"/>
    <w:rsid w:val="002B3749"/>
    <w:rsid w:val="002B4BF7"/>
    <w:rsid w:val="002B4E77"/>
    <w:rsid w:val="002B5075"/>
    <w:rsid w:val="002B5A1B"/>
    <w:rsid w:val="002B69DC"/>
    <w:rsid w:val="002C1315"/>
    <w:rsid w:val="002C166C"/>
    <w:rsid w:val="002C17CA"/>
    <w:rsid w:val="002C21D4"/>
    <w:rsid w:val="002C353A"/>
    <w:rsid w:val="002C65DF"/>
    <w:rsid w:val="002D1107"/>
    <w:rsid w:val="002D1CF6"/>
    <w:rsid w:val="002D29A6"/>
    <w:rsid w:val="002D38DC"/>
    <w:rsid w:val="002D523E"/>
    <w:rsid w:val="002D71ED"/>
    <w:rsid w:val="002D7633"/>
    <w:rsid w:val="002E2022"/>
    <w:rsid w:val="002E22FB"/>
    <w:rsid w:val="002E477E"/>
    <w:rsid w:val="002E4C24"/>
    <w:rsid w:val="002E6D39"/>
    <w:rsid w:val="002E7977"/>
    <w:rsid w:val="002F4B2B"/>
    <w:rsid w:val="002F4D22"/>
    <w:rsid w:val="002F5E1E"/>
    <w:rsid w:val="002F60C1"/>
    <w:rsid w:val="002F66EA"/>
    <w:rsid w:val="002F7C12"/>
    <w:rsid w:val="00301D43"/>
    <w:rsid w:val="0030383A"/>
    <w:rsid w:val="0030462E"/>
    <w:rsid w:val="003049FB"/>
    <w:rsid w:val="00317F21"/>
    <w:rsid w:val="00321472"/>
    <w:rsid w:val="0033542B"/>
    <w:rsid w:val="003375C9"/>
    <w:rsid w:val="00341411"/>
    <w:rsid w:val="00344869"/>
    <w:rsid w:val="00344CF5"/>
    <w:rsid w:val="0034781F"/>
    <w:rsid w:val="00350D14"/>
    <w:rsid w:val="00351881"/>
    <w:rsid w:val="00353173"/>
    <w:rsid w:val="00353F2A"/>
    <w:rsid w:val="00355290"/>
    <w:rsid w:val="00357847"/>
    <w:rsid w:val="00363551"/>
    <w:rsid w:val="003635ED"/>
    <w:rsid w:val="00365445"/>
    <w:rsid w:val="00367C2C"/>
    <w:rsid w:val="00370B05"/>
    <w:rsid w:val="00370F78"/>
    <w:rsid w:val="00371101"/>
    <w:rsid w:val="00372EDD"/>
    <w:rsid w:val="00373335"/>
    <w:rsid w:val="003743E9"/>
    <w:rsid w:val="00381943"/>
    <w:rsid w:val="00381B80"/>
    <w:rsid w:val="00381CE2"/>
    <w:rsid w:val="00384E88"/>
    <w:rsid w:val="00384F3C"/>
    <w:rsid w:val="0038595D"/>
    <w:rsid w:val="003866EA"/>
    <w:rsid w:val="00391AC2"/>
    <w:rsid w:val="00392798"/>
    <w:rsid w:val="003928FB"/>
    <w:rsid w:val="003937B8"/>
    <w:rsid w:val="003940CB"/>
    <w:rsid w:val="00395384"/>
    <w:rsid w:val="00397C25"/>
    <w:rsid w:val="003A05DF"/>
    <w:rsid w:val="003A1403"/>
    <w:rsid w:val="003A1C9F"/>
    <w:rsid w:val="003A4111"/>
    <w:rsid w:val="003A4667"/>
    <w:rsid w:val="003A5C80"/>
    <w:rsid w:val="003B0DE2"/>
    <w:rsid w:val="003B2BBD"/>
    <w:rsid w:val="003B30CF"/>
    <w:rsid w:val="003B601A"/>
    <w:rsid w:val="003B6730"/>
    <w:rsid w:val="003B6B96"/>
    <w:rsid w:val="003C085C"/>
    <w:rsid w:val="003C15E4"/>
    <w:rsid w:val="003C6C18"/>
    <w:rsid w:val="003C6F00"/>
    <w:rsid w:val="003C7425"/>
    <w:rsid w:val="003D00F1"/>
    <w:rsid w:val="003D0373"/>
    <w:rsid w:val="003D1A52"/>
    <w:rsid w:val="003D2A2D"/>
    <w:rsid w:val="003E00BB"/>
    <w:rsid w:val="003E471E"/>
    <w:rsid w:val="003E49E2"/>
    <w:rsid w:val="003E591F"/>
    <w:rsid w:val="003E6BDF"/>
    <w:rsid w:val="003E6E9D"/>
    <w:rsid w:val="003F04EB"/>
    <w:rsid w:val="003F3123"/>
    <w:rsid w:val="003F4821"/>
    <w:rsid w:val="003F69DB"/>
    <w:rsid w:val="00400270"/>
    <w:rsid w:val="00400272"/>
    <w:rsid w:val="004005B9"/>
    <w:rsid w:val="00401E2E"/>
    <w:rsid w:val="004022DB"/>
    <w:rsid w:val="004030BC"/>
    <w:rsid w:val="0040313B"/>
    <w:rsid w:val="0040464C"/>
    <w:rsid w:val="00404734"/>
    <w:rsid w:val="00404AE8"/>
    <w:rsid w:val="0040745E"/>
    <w:rsid w:val="00407B58"/>
    <w:rsid w:val="00410D53"/>
    <w:rsid w:val="00411062"/>
    <w:rsid w:val="00412E2D"/>
    <w:rsid w:val="004139E9"/>
    <w:rsid w:val="00417D9E"/>
    <w:rsid w:val="00421D80"/>
    <w:rsid w:val="00421F75"/>
    <w:rsid w:val="004233D6"/>
    <w:rsid w:val="00423413"/>
    <w:rsid w:val="00424A78"/>
    <w:rsid w:val="00425221"/>
    <w:rsid w:val="00427109"/>
    <w:rsid w:val="0043090D"/>
    <w:rsid w:val="0043224D"/>
    <w:rsid w:val="004346B3"/>
    <w:rsid w:val="00435DBC"/>
    <w:rsid w:val="00440B2F"/>
    <w:rsid w:val="004410DA"/>
    <w:rsid w:val="004454E5"/>
    <w:rsid w:val="00446C4D"/>
    <w:rsid w:val="00446DD7"/>
    <w:rsid w:val="00447B40"/>
    <w:rsid w:val="00450054"/>
    <w:rsid w:val="0045053F"/>
    <w:rsid w:val="004519E3"/>
    <w:rsid w:val="00451D42"/>
    <w:rsid w:val="00452472"/>
    <w:rsid w:val="00452A26"/>
    <w:rsid w:val="004530C6"/>
    <w:rsid w:val="00456145"/>
    <w:rsid w:val="00457703"/>
    <w:rsid w:val="00460AC2"/>
    <w:rsid w:val="00460E6E"/>
    <w:rsid w:val="004616B3"/>
    <w:rsid w:val="004626B5"/>
    <w:rsid w:val="004701FC"/>
    <w:rsid w:val="004723E1"/>
    <w:rsid w:val="004732F5"/>
    <w:rsid w:val="0047349D"/>
    <w:rsid w:val="00475F84"/>
    <w:rsid w:val="00476FBF"/>
    <w:rsid w:val="004815F5"/>
    <w:rsid w:val="00482DE1"/>
    <w:rsid w:val="004845C7"/>
    <w:rsid w:val="00486321"/>
    <w:rsid w:val="004872A6"/>
    <w:rsid w:val="004876E8"/>
    <w:rsid w:val="00487756"/>
    <w:rsid w:val="00490BB6"/>
    <w:rsid w:val="0049308E"/>
    <w:rsid w:val="00494138"/>
    <w:rsid w:val="00494D03"/>
    <w:rsid w:val="004A1C13"/>
    <w:rsid w:val="004A4FE0"/>
    <w:rsid w:val="004A78D5"/>
    <w:rsid w:val="004A7A37"/>
    <w:rsid w:val="004A7E4F"/>
    <w:rsid w:val="004B56A8"/>
    <w:rsid w:val="004B5D35"/>
    <w:rsid w:val="004C23A4"/>
    <w:rsid w:val="004C285B"/>
    <w:rsid w:val="004C2A5F"/>
    <w:rsid w:val="004C2A67"/>
    <w:rsid w:val="004C31DD"/>
    <w:rsid w:val="004C498E"/>
    <w:rsid w:val="004C523B"/>
    <w:rsid w:val="004C66A0"/>
    <w:rsid w:val="004C79F1"/>
    <w:rsid w:val="004D00C4"/>
    <w:rsid w:val="004D14C9"/>
    <w:rsid w:val="004D1EDD"/>
    <w:rsid w:val="004D2830"/>
    <w:rsid w:val="004D355D"/>
    <w:rsid w:val="004D428D"/>
    <w:rsid w:val="004E0580"/>
    <w:rsid w:val="004E1819"/>
    <w:rsid w:val="004E31BE"/>
    <w:rsid w:val="004E3ACB"/>
    <w:rsid w:val="004E5B8A"/>
    <w:rsid w:val="004E5FE8"/>
    <w:rsid w:val="004E63AB"/>
    <w:rsid w:val="004E767A"/>
    <w:rsid w:val="004E7B27"/>
    <w:rsid w:val="004F023B"/>
    <w:rsid w:val="004F2502"/>
    <w:rsid w:val="004F384F"/>
    <w:rsid w:val="004F5B78"/>
    <w:rsid w:val="004F65E7"/>
    <w:rsid w:val="004F6C10"/>
    <w:rsid w:val="005012E2"/>
    <w:rsid w:val="00502E05"/>
    <w:rsid w:val="00504269"/>
    <w:rsid w:val="0050485A"/>
    <w:rsid w:val="005062F0"/>
    <w:rsid w:val="00506BE6"/>
    <w:rsid w:val="00506E57"/>
    <w:rsid w:val="0050733F"/>
    <w:rsid w:val="00510AB2"/>
    <w:rsid w:val="0051374F"/>
    <w:rsid w:val="0051601C"/>
    <w:rsid w:val="005210CC"/>
    <w:rsid w:val="00521ED8"/>
    <w:rsid w:val="005222AE"/>
    <w:rsid w:val="00523549"/>
    <w:rsid w:val="00523B84"/>
    <w:rsid w:val="00523C72"/>
    <w:rsid w:val="005242EC"/>
    <w:rsid w:val="00527A5A"/>
    <w:rsid w:val="00530520"/>
    <w:rsid w:val="005318FF"/>
    <w:rsid w:val="005334BE"/>
    <w:rsid w:val="00536D21"/>
    <w:rsid w:val="00541420"/>
    <w:rsid w:val="0054171A"/>
    <w:rsid w:val="005427E2"/>
    <w:rsid w:val="00544EAB"/>
    <w:rsid w:val="005463B4"/>
    <w:rsid w:val="005467B8"/>
    <w:rsid w:val="00546EB6"/>
    <w:rsid w:val="00550923"/>
    <w:rsid w:val="005557AA"/>
    <w:rsid w:val="00555E4C"/>
    <w:rsid w:val="0055740A"/>
    <w:rsid w:val="005601F9"/>
    <w:rsid w:val="0056242A"/>
    <w:rsid w:val="005643E9"/>
    <w:rsid w:val="00567199"/>
    <w:rsid w:val="005677F2"/>
    <w:rsid w:val="00570306"/>
    <w:rsid w:val="00572C35"/>
    <w:rsid w:val="00572C3E"/>
    <w:rsid w:val="005731BF"/>
    <w:rsid w:val="00573833"/>
    <w:rsid w:val="00575FA8"/>
    <w:rsid w:val="005760E1"/>
    <w:rsid w:val="005767BE"/>
    <w:rsid w:val="0057760A"/>
    <w:rsid w:val="00584F29"/>
    <w:rsid w:val="00590750"/>
    <w:rsid w:val="00590944"/>
    <w:rsid w:val="00590D7D"/>
    <w:rsid w:val="005916EF"/>
    <w:rsid w:val="00591D0D"/>
    <w:rsid w:val="00592D38"/>
    <w:rsid w:val="005934B2"/>
    <w:rsid w:val="005935D2"/>
    <w:rsid w:val="005940AF"/>
    <w:rsid w:val="005A382C"/>
    <w:rsid w:val="005A39F1"/>
    <w:rsid w:val="005A4664"/>
    <w:rsid w:val="005A54A1"/>
    <w:rsid w:val="005A5F9A"/>
    <w:rsid w:val="005A6C11"/>
    <w:rsid w:val="005A7C9F"/>
    <w:rsid w:val="005B0ABD"/>
    <w:rsid w:val="005B175D"/>
    <w:rsid w:val="005B38D5"/>
    <w:rsid w:val="005B3E70"/>
    <w:rsid w:val="005B60E2"/>
    <w:rsid w:val="005C14A8"/>
    <w:rsid w:val="005C2C67"/>
    <w:rsid w:val="005C426C"/>
    <w:rsid w:val="005C5046"/>
    <w:rsid w:val="005D0B6E"/>
    <w:rsid w:val="005D3707"/>
    <w:rsid w:val="005D4CEC"/>
    <w:rsid w:val="005D4E28"/>
    <w:rsid w:val="005D6578"/>
    <w:rsid w:val="005D74DC"/>
    <w:rsid w:val="005E0F26"/>
    <w:rsid w:val="005E2DA9"/>
    <w:rsid w:val="005E3B29"/>
    <w:rsid w:val="005E4948"/>
    <w:rsid w:val="005E518E"/>
    <w:rsid w:val="005F0559"/>
    <w:rsid w:val="005F0829"/>
    <w:rsid w:val="005F1013"/>
    <w:rsid w:val="005F4861"/>
    <w:rsid w:val="005F58C2"/>
    <w:rsid w:val="005F765B"/>
    <w:rsid w:val="006031C0"/>
    <w:rsid w:val="00603824"/>
    <w:rsid w:val="006042AD"/>
    <w:rsid w:val="0060548A"/>
    <w:rsid w:val="0060565C"/>
    <w:rsid w:val="006057A4"/>
    <w:rsid w:val="00605D9E"/>
    <w:rsid w:val="006066D5"/>
    <w:rsid w:val="00607539"/>
    <w:rsid w:val="00610FA6"/>
    <w:rsid w:val="006119BF"/>
    <w:rsid w:val="006125FB"/>
    <w:rsid w:val="00613D9E"/>
    <w:rsid w:val="0061407F"/>
    <w:rsid w:val="00616CAA"/>
    <w:rsid w:val="00616D19"/>
    <w:rsid w:val="00620CC5"/>
    <w:rsid w:val="0062381C"/>
    <w:rsid w:val="00623892"/>
    <w:rsid w:val="00624771"/>
    <w:rsid w:val="00626A65"/>
    <w:rsid w:val="00630544"/>
    <w:rsid w:val="00631CD3"/>
    <w:rsid w:val="00631FBF"/>
    <w:rsid w:val="00632000"/>
    <w:rsid w:val="006331A7"/>
    <w:rsid w:val="006364AF"/>
    <w:rsid w:val="006375D0"/>
    <w:rsid w:val="00637CEC"/>
    <w:rsid w:val="006427BE"/>
    <w:rsid w:val="00642A5B"/>
    <w:rsid w:val="00642BD7"/>
    <w:rsid w:val="00643933"/>
    <w:rsid w:val="00643F91"/>
    <w:rsid w:val="00644F7E"/>
    <w:rsid w:val="00645860"/>
    <w:rsid w:val="00646AB8"/>
    <w:rsid w:val="00647708"/>
    <w:rsid w:val="006530E7"/>
    <w:rsid w:val="00653567"/>
    <w:rsid w:val="0065366A"/>
    <w:rsid w:val="00653A97"/>
    <w:rsid w:val="00653B0B"/>
    <w:rsid w:val="00653C5B"/>
    <w:rsid w:val="00654AFB"/>
    <w:rsid w:val="0065688F"/>
    <w:rsid w:val="00656DBD"/>
    <w:rsid w:val="00657AF5"/>
    <w:rsid w:val="00661208"/>
    <w:rsid w:val="006615B9"/>
    <w:rsid w:val="00661923"/>
    <w:rsid w:val="00661A5D"/>
    <w:rsid w:val="00661EC6"/>
    <w:rsid w:val="00663A27"/>
    <w:rsid w:val="00666F02"/>
    <w:rsid w:val="006722BA"/>
    <w:rsid w:val="006735D9"/>
    <w:rsid w:val="00675CA4"/>
    <w:rsid w:val="00675DF4"/>
    <w:rsid w:val="00676766"/>
    <w:rsid w:val="0068222D"/>
    <w:rsid w:val="00682697"/>
    <w:rsid w:val="00683A00"/>
    <w:rsid w:val="006845BE"/>
    <w:rsid w:val="00685302"/>
    <w:rsid w:val="00685AC2"/>
    <w:rsid w:val="00690C47"/>
    <w:rsid w:val="006959EE"/>
    <w:rsid w:val="00696211"/>
    <w:rsid w:val="006965F4"/>
    <w:rsid w:val="00696BFC"/>
    <w:rsid w:val="006A0A3A"/>
    <w:rsid w:val="006A6561"/>
    <w:rsid w:val="006A6B5E"/>
    <w:rsid w:val="006A6E7F"/>
    <w:rsid w:val="006A769F"/>
    <w:rsid w:val="006B1D1A"/>
    <w:rsid w:val="006B1F9B"/>
    <w:rsid w:val="006B2273"/>
    <w:rsid w:val="006B275F"/>
    <w:rsid w:val="006B5854"/>
    <w:rsid w:val="006B7367"/>
    <w:rsid w:val="006B7CBB"/>
    <w:rsid w:val="006C0A3B"/>
    <w:rsid w:val="006C3E6F"/>
    <w:rsid w:val="006C4975"/>
    <w:rsid w:val="006C7BAA"/>
    <w:rsid w:val="006D23E2"/>
    <w:rsid w:val="006D4CAB"/>
    <w:rsid w:val="006D78B0"/>
    <w:rsid w:val="006D78D2"/>
    <w:rsid w:val="006E0052"/>
    <w:rsid w:val="006E0DBB"/>
    <w:rsid w:val="006E1714"/>
    <w:rsid w:val="006E17F3"/>
    <w:rsid w:val="006E3F23"/>
    <w:rsid w:val="006E4508"/>
    <w:rsid w:val="006E4820"/>
    <w:rsid w:val="006E5309"/>
    <w:rsid w:val="006F2202"/>
    <w:rsid w:val="006F22E5"/>
    <w:rsid w:val="006F24AF"/>
    <w:rsid w:val="006F2E05"/>
    <w:rsid w:val="006F41C4"/>
    <w:rsid w:val="006F47B3"/>
    <w:rsid w:val="006F5714"/>
    <w:rsid w:val="006F5811"/>
    <w:rsid w:val="00701069"/>
    <w:rsid w:val="007017F6"/>
    <w:rsid w:val="00703F87"/>
    <w:rsid w:val="00711EBE"/>
    <w:rsid w:val="007135CD"/>
    <w:rsid w:val="00713D34"/>
    <w:rsid w:val="007144DF"/>
    <w:rsid w:val="00716CA2"/>
    <w:rsid w:val="00720AD0"/>
    <w:rsid w:val="00721439"/>
    <w:rsid w:val="0072295E"/>
    <w:rsid w:val="00726A3B"/>
    <w:rsid w:val="0073239D"/>
    <w:rsid w:val="0073252F"/>
    <w:rsid w:val="0073258A"/>
    <w:rsid w:val="00733D4E"/>
    <w:rsid w:val="00734259"/>
    <w:rsid w:val="00735E0F"/>
    <w:rsid w:val="00736C64"/>
    <w:rsid w:val="00737A8C"/>
    <w:rsid w:val="00737AFD"/>
    <w:rsid w:val="0074007A"/>
    <w:rsid w:val="007402ED"/>
    <w:rsid w:val="00744C4D"/>
    <w:rsid w:val="00746E48"/>
    <w:rsid w:val="00747881"/>
    <w:rsid w:val="0075585A"/>
    <w:rsid w:val="00755C90"/>
    <w:rsid w:val="007607DD"/>
    <w:rsid w:val="00760A52"/>
    <w:rsid w:val="00763A0F"/>
    <w:rsid w:val="00764008"/>
    <w:rsid w:val="00764378"/>
    <w:rsid w:val="00765E56"/>
    <w:rsid w:val="0076644D"/>
    <w:rsid w:val="00766DCE"/>
    <w:rsid w:val="00767C23"/>
    <w:rsid w:val="00770702"/>
    <w:rsid w:val="007711A6"/>
    <w:rsid w:val="00773385"/>
    <w:rsid w:val="0077445E"/>
    <w:rsid w:val="00774ACA"/>
    <w:rsid w:val="00774B63"/>
    <w:rsid w:val="00777089"/>
    <w:rsid w:val="00777227"/>
    <w:rsid w:val="00781841"/>
    <w:rsid w:val="00782ED9"/>
    <w:rsid w:val="00783706"/>
    <w:rsid w:val="00783987"/>
    <w:rsid w:val="007856ED"/>
    <w:rsid w:val="00785F96"/>
    <w:rsid w:val="0078749E"/>
    <w:rsid w:val="00790CE7"/>
    <w:rsid w:val="0079168B"/>
    <w:rsid w:val="00794414"/>
    <w:rsid w:val="0079598B"/>
    <w:rsid w:val="0079736E"/>
    <w:rsid w:val="007A0483"/>
    <w:rsid w:val="007A2AB9"/>
    <w:rsid w:val="007A5048"/>
    <w:rsid w:val="007A56CB"/>
    <w:rsid w:val="007A6DE6"/>
    <w:rsid w:val="007B0692"/>
    <w:rsid w:val="007B0A65"/>
    <w:rsid w:val="007B14C3"/>
    <w:rsid w:val="007B2102"/>
    <w:rsid w:val="007B28ED"/>
    <w:rsid w:val="007B434B"/>
    <w:rsid w:val="007B5320"/>
    <w:rsid w:val="007B5881"/>
    <w:rsid w:val="007B7DFF"/>
    <w:rsid w:val="007C2638"/>
    <w:rsid w:val="007C2B5C"/>
    <w:rsid w:val="007C3734"/>
    <w:rsid w:val="007C4C94"/>
    <w:rsid w:val="007C79A0"/>
    <w:rsid w:val="007D0D40"/>
    <w:rsid w:val="007D1377"/>
    <w:rsid w:val="007D1866"/>
    <w:rsid w:val="007D1EFF"/>
    <w:rsid w:val="007D2A5F"/>
    <w:rsid w:val="007D5127"/>
    <w:rsid w:val="007E01E6"/>
    <w:rsid w:val="007E083E"/>
    <w:rsid w:val="007E417C"/>
    <w:rsid w:val="007E5BF9"/>
    <w:rsid w:val="007E5E6D"/>
    <w:rsid w:val="007E7F20"/>
    <w:rsid w:val="007F0B5F"/>
    <w:rsid w:val="007F4EFF"/>
    <w:rsid w:val="007F75C3"/>
    <w:rsid w:val="00801A00"/>
    <w:rsid w:val="00802CD1"/>
    <w:rsid w:val="008049CD"/>
    <w:rsid w:val="00804E8A"/>
    <w:rsid w:val="00805630"/>
    <w:rsid w:val="00805F4D"/>
    <w:rsid w:val="008064E8"/>
    <w:rsid w:val="008065EC"/>
    <w:rsid w:val="00807176"/>
    <w:rsid w:val="00807DB9"/>
    <w:rsid w:val="00807EFE"/>
    <w:rsid w:val="008100BE"/>
    <w:rsid w:val="008141E4"/>
    <w:rsid w:val="0081424E"/>
    <w:rsid w:val="00814691"/>
    <w:rsid w:val="008146A5"/>
    <w:rsid w:val="008148C6"/>
    <w:rsid w:val="00814AC0"/>
    <w:rsid w:val="008154EA"/>
    <w:rsid w:val="008158D3"/>
    <w:rsid w:val="00815BDC"/>
    <w:rsid w:val="00816CE8"/>
    <w:rsid w:val="008229B5"/>
    <w:rsid w:val="00822C6A"/>
    <w:rsid w:val="00823A95"/>
    <w:rsid w:val="00824EB1"/>
    <w:rsid w:val="00824FB9"/>
    <w:rsid w:val="00825264"/>
    <w:rsid w:val="008271E6"/>
    <w:rsid w:val="00830042"/>
    <w:rsid w:val="00832F20"/>
    <w:rsid w:val="00833FF5"/>
    <w:rsid w:val="00834976"/>
    <w:rsid w:val="00835B0D"/>
    <w:rsid w:val="008362EC"/>
    <w:rsid w:val="00837518"/>
    <w:rsid w:val="00837715"/>
    <w:rsid w:val="008405AF"/>
    <w:rsid w:val="00842F17"/>
    <w:rsid w:val="00843D73"/>
    <w:rsid w:val="008448BA"/>
    <w:rsid w:val="00851F51"/>
    <w:rsid w:val="008533D7"/>
    <w:rsid w:val="00854416"/>
    <w:rsid w:val="008551CB"/>
    <w:rsid w:val="00855A64"/>
    <w:rsid w:val="00855C62"/>
    <w:rsid w:val="00856482"/>
    <w:rsid w:val="00856503"/>
    <w:rsid w:val="008601F3"/>
    <w:rsid w:val="00861E0C"/>
    <w:rsid w:val="008624CA"/>
    <w:rsid w:val="00865262"/>
    <w:rsid w:val="008713E5"/>
    <w:rsid w:val="008751DD"/>
    <w:rsid w:val="00875566"/>
    <w:rsid w:val="00875CEA"/>
    <w:rsid w:val="00876899"/>
    <w:rsid w:val="00877948"/>
    <w:rsid w:val="00880CE5"/>
    <w:rsid w:val="008810A7"/>
    <w:rsid w:val="00882AB4"/>
    <w:rsid w:val="0088395C"/>
    <w:rsid w:val="00884126"/>
    <w:rsid w:val="008850BD"/>
    <w:rsid w:val="00887537"/>
    <w:rsid w:val="00890720"/>
    <w:rsid w:val="00893871"/>
    <w:rsid w:val="00894BFC"/>
    <w:rsid w:val="00894F87"/>
    <w:rsid w:val="008978A8"/>
    <w:rsid w:val="008A0365"/>
    <w:rsid w:val="008A09AB"/>
    <w:rsid w:val="008A1038"/>
    <w:rsid w:val="008A6201"/>
    <w:rsid w:val="008A6891"/>
    <w:rsid w:val="008A6B7C"/>
    <w:rsid w:val="008B1E56"/>
    <w:rsid w:val="008B4B7C"/>
    <w:rsid w:val="008B574B"/>
    <w:rsid w:val="008B625E"/>
    <w:rsid w:val="008C0A31"/>
    <w:rsid w:val="008C2F42"/>
    <w:rsid w:val="008C36D5"/>
    <w:rsid w:val="008C39AC"/>
    <w:rsid w:val="008C3F25"/>
    <w:rsid w:val="008C73C3"/>
    <w:rsid w:val="008D1C8D"/>
    <w:rsid w:val="008D2692"/>
    <w:rsid w:val="008D361B"/>
    <w:rsid w:val="008D4298"/>
    <w:rsid w:val="008D5BF5"/>
    <w:rsid w:val="008D5C39"/>
    <w:rsid w:val="008D62CF"/>
    <w:rsid w:val="008D656C"/>
    <w:rsid w:val="008D68E2"/>
    <w:rsid w:val="008D7D55"/>
    <w:rsid w:val="008E11BE"/>
    <w:rsid w:val="008E1CEB"/>
    <w:rsid w:val="008E369A"/>
    <w:rsid w:val="008E3917"/>
    <w:rsid w:val="008E7346"/>
    <w:rsid w:val="008E7EDB"/>
    <w:rsid w:val="008F03EC"/>
    <w:rsid w:val="008F13DA"/>
    <w:rsid w:val="008F1C1F"/>
    <w:rsid w:val="008F2D1D"/>
    <w:rsid w:val="008F46F5"/>
    <w:rsid w:val="008F674F"/>
    <w:rsid w:val="008F6A1C"/>
    <w:rsid w:val="00900ED5"/>
    <w:rsid w:val="00901FF8"/>
    <w:rsid w:val="00904909"/>
    <w:rsid w:val="00904CED"/>
    <w:rsid w:val="00905D26"/>
    <w:rsid w:val="00906572"/>
    <w:rsid w:val="00906623"/>
    <w:rsid w:val="00907EA9"/>
    <w:rsid w:val="009103D3"/>
    <w:rsid w:val="009113EE"/>
    <w:rsid w:val="00912F0B"/>
    <w:rsid w:val="00916516"/>
    <w:rsid w:val="00916E6C"/>
    <w:rsid w:val="00916ECA"/>
    <w:rsid w:val="00917212"/>
    <w:rsid w:val="00917A4E"/>
    <w:rsid w:val="00921140"/>
    <w:rsid w:val="009215ED"/>
    <w:rsid w:val="00921637"/>
    <w:rsid w:val="009229CD"/>
    <w:rsid w:val="00924498"/>
    <w:rsid w:val="009302BD"/>
    <w:rsid w:val="009317BE"/>
    <w:rsid w:val="00931AE8"/>
    <w:rsid w:val="009332B1"/>
    <w:rsid w:val="009345EF"/>
    <w:rsid w:val="00934737"/>
    <w:rsid w:val="0093554E"/>
    <w:rsid w:val="00935D7D"/>
    <w:rsid w:val="00936B36"/>
    <w:rsid w:val="0094071C"/>
    <w:rsid w:val="00940F9A"/>
    <w:rsid w:val="00942850"/>
    <w:rsid w:val="00943270"/>
    <w:rsid w:val="0094431A"/>
    <w:rsid w:val="00944A64"/>
    <w:rsid w:val="009451DD"/>
    <w:rsid w:val="009451FE"/>
    <w:rsid w:val="00945A10"/>
    <w:rsid w:val="00950D55"/>
    <w:rsid w:val="00951221"/>
    <w:rsid w:val="009512A8"/>
    <w:rsid w:val="009635AA"/>
    <w:rsid w:val="00965D95"/>
    <w:rsid w:val="00967152"/>
    <w:rsid w:val="00967C1A"/>
    <w:rsid w:val="00970CDE"/>
    <w:rsid w:val="00973161"/>
    <w:rsid w:val="00974C48"/>
    <w:rsid w:val="0097524C"/>
    <w:rsid w:val="00982D34"/>
    <w:rsid w:val="009839DA"/>
    <w:rsid w:val="00985118"/>
    <w:rsid w:val="00985C1B"/>
    <w:rsid w:val="00986C6A"/>
    <w:rsid w:val="009905F4"/>
    <w:rsid w:val="00990868"/>
    <w:rsid w:val="00993521"/>
    <w:rsid w:val="00993D13"/>
    <w:rsid w:val="00995202"/>
    <w:rsid w:val="009A19D6"/>
    <w:rsid w:val="009A2860"/>
    <w:rsid w:val="009A3182"/>
    <w:rsid w:val="009A3A7D"/>
    <w:rsid w:val="009A52A1"/>
    <w:rsid w:val="009A627D"/>
    <w:rsid w:val="009A7755"/>
    <w:rsid w:val="009B01F7"/>
    <w:rsid w:val="009B02D8"/>
    <w:rsid w:val="009B0D36"/>
    <w:rsid w:val="009B2918"/>
    <w:rsid w:val="009B3805"/>
    <w:rsid w:val="009B3EAE"/>
    <w:rsid w:val="009B6620"/>
    <w:rsid w:val="009B6D42"/>
    <w:rsid w:val="009B7768"/>
    <w:rsid w:val="009C087F"/>
    <w:rsid w:val="009C15D9"/>
    <w:rsid w:val="009C2238"/>
    <w:rsid w:val="009C301E"/>
    <w:rsid w:val="009C456F"/>
    <w:rsid w:val="009C4841"/>
    <w:rsid w:val="009C4C49"/>
    <w:rsid w:val="009C508D"/>
    <w:rsid w:val="009C5E92"/>
    <w:rsid w:val="009C605E"/>
    <w:rsid w:val="009C74BA"/>
    <w:rsid w:val="009C7E8D"/>
    <w:rsid w:val="009D1043"/>
    <w:rsid w:val="009D1BB4"/>
    <w:rsid w:val="009D2962"/>
    <w:rsid w:val="009D487A"/>
    <w:rsid w:val="009D6755"/>
    <w:rsid w:val="009D6D15"/>
    <w:rsid w:val="009D7D1D"/>
    <w:rsid w:val="009E0760"/>
    <w:rsid w:val="009E2A0A"/>
    <w:rsid w:val="009E32A0"/>
    <w:rsid w:val="009E6A07"/>
    <w:rsid w:val="009E72FF"/>
    <w:rsid w:val="009E74C2"/>
    <w:rsid w:val="009E7569"/>
    <w:rsid w:val="009F5565"/>
    <w:rsid w:val="009F6FA9"/>
    <w:rsid w:val="00A0290A"/>
    <w:rsid w:val="00A03436"/>
    <w:rsid w:val="00A07A99"/>
    <w:rsid w:val="00A07F03"/>
    <w:rsid w:val="00A1105F"/>
    <w:rsid w:val="00A11747"/>
    <w:rsid w:val="00A15539"/>
    <w:rsid w:val="00A15B1D"/>
    <w:rsid w:val="00A15C08"/>
    <w:rsid w:val="00A15FE0"/>
    <w:rsid w:val="00A16290"/>
    <w:rsid w:val="00A164DD"/>
    <w:rsid w:val="00A20F13"/>
    <w:rsid w:val="00A21EC3"/>
    <w:rsid w:val="00A24E1C"/>
    <w:rsid w:val="00A251CF"/>
    <w:rsid w:val="00A26A2E"/>
    <w:rsid w:val="00A33234"/>
    <w:rsid w:val="00A336D0"/>
    <w:rsid w:val="00A36C88"/>
    <w:rsid w:val="00A44634"/>
    <w:rsid w:val="00A450B4"/>
    <w:rsid w:val="00A45AD2"/>
    <w:rsid w:val="00A46F2B"/>
    <w:rsid w:val="00A47616"/>
    <w:rsid w:val="00A502B1"/>
    <w:rsid w:val="00A52014"/>
    <w:rsid w:val="00A52159"/>
    <w:rsid w:val="00A54EA4"/>
    <w:rsid w:val="00A561A2"/>
    <w:rsid w:val="00A57097"/>
    <w:rsid w:val="00A60DAE"/>
    <w:rsid w:val="00A612DE"/>
    <w:rsid w:val="00A62690"/>
    <w:rsid w:val="00A63E2C"/>
    <w:rsid w:val="00A6554B"/>
    <w:rsid w:val="00A65729"/>
    <w:rsid w:val="00A658C4"/>
    <w:rsid w:val="00A65DE9"/>
    <w:rsid w:val="00A7045B"/>
    <w:rsid w:val="00A708D9"/>
    <w:rsid w:val="00A70C42"/>
    <w:rsid w:val="00A72D43"/>
    <w:rsid w:val="00A74475"/>
    <w:rsid w:val="00A74998"/>
    <w:rsid w:val="00A752B9"/>
    <w:rsid w:val="00A75ADD"/>
    <w:rsid w:val="00A80562"/>
    <w:rsid w:val="00A83051"/>
    <w:rsid w:val="00A8463B"/>
    <w:rsid w:val="00A8747E"/>
    <w:rsid w:val="00A877D0"/>
    <w:rsid w:val="00A87E34"/>
    <w:rsid w:val="00A913CA"/>
    <w:rsid w:val="00A91DD1"/>
    <w:rsid w:val="00A93479"/>
    <w:rsid w:val="00A93C5F"/>
    <w:rsid w:val="00A96886"/>
    <w:rsid w:val="00AA0DED"/>
    <w:rsid w:val="00AA1E12"/>
    <w:rsid w:val="00AA33B3"/>
    <w:rsid w:val="00AA79B7"/>
    <w:rsid w:val="00AB1412"/>
    <w:rsid w:val="00AB1941"/>
    <w:rsid w:val="00AB2C0F"/>
    <w:rsid w:val="00AB3572"/>
    <w:rsid w:val="00AB41FD"/>
    <w:rsid w:val="00AB62DC"/>
    <w:rsid w:val="00AC13E5"/>
    <w:rsid w:val="00AC1C5D"/>
    <w:rsid w:val="00AC1C91"/>
    <w:rsid w:val="00AC2225"/>
    <w:rsid w:val="00AC29BB"/>
    <w:rsid w:val="00AC7EFF"/>
    <w:rsid w:val="00AD0731"/>
    <w:rsid w:val="00AD0EA5"/>
    <w:rsid w:val="00AD126C"/>
    <w:rsid w:val="00AD16CD"/>
    <w:rsid w:val="00AD2CCF"/>
    <w:rsid w:val="00AD3125"/>
    <w:rsid w:val="00AD3D8F"/>
    <w:rsid w:val="00AD4416"/>
    <w:rsid w:val="00AD55AA"/>
    <w:rsid w:val="00AD5FF9"/>
    <w:rsid w:val="00AD79A3"/>
    <w:rsid w:val="00AE4569"/>
    <w:rsid w:val="00AE6FB2"/>
    <w:rsid w:val="00AE707C"/>
    <w:rsid w:val="00AF0C85"/>
    <w:rsid w:val="00AF2B93"/>
    <w:rsid w:val="00AF2DEF"/>
    <w:rsid w:val="00AF5288"/>
    <w:rsid w:val="00B00295"/>
    <w:rsid w:val="00B0087A"/>
    <w:rsid w:val="00B0088E"/>
    <w:rsid w:val="00B0270A"/>
    <w:rsid w:val="00B03246"/>
    <w:rsid w:val="00B0614F"/>
    <w:rsid w:val="00B136B8"/>
    <w:rsid w:val="00B148C8"/>
    <w:rsid w:val="00B14B42"/>
    <w:rsid w:val="00B163AB"/>
    <w:rsid w:val="00B163D4"/>
    <w:rsid w:val="00B208E6"/>
    <w:rsid w:val="00B21D7C"/>
    <w:rsid w:val="00B23483"/>
    <w:rsid w:val="00B23AFD"/>
    <w:rsid w:val="00B2553E"/>
    <w:rsid w:val="00B259E3"/>
    <w:rsid w:val="00B319F3"/>
    <w:rsid w:val="00B31BC3"/>
    <w:rsid w:val="00B346D6"/>
    <w:rsid w:val="00B371AB"/>
    <w:rsid w:val="00B40023"/>
    <w:rsid w:val="00B416EC"/>
    <w:rsid w:val="00B41D12"/>
    <w:rsid w:val="00B43B83"/>
    <w:rsid w:val="00B43F23"/>
    <w:rsid w:val="00B455B3"/>
    <w:rsid w:val="00B46662"/>
    <w:rsid w:val="00B50069"/>
    <w:rsid w:val="00B507EC"/>
    <w:rsid w:val="00B53D87"/>
    <w:rsid w:val="00B54E77"/>
    <w:rsid w:val="00B56628"/>
    <w:rsid w:val="00B57606"/>
    <w:rsid w:val="00B6260F"/>
    <w:rsid w:val="00B647DB"/>
    <w:rsid w:val="00B65E39"/>
    <w:rsid w:val="00B67ACE"/>
    <w:rsid w:val="00B703FA"/>
    <w:rsid w:val="00B71ABE"/>
    <w:rsid w:val="00B74E5A"/>
    <w:rsid w:val="00B7534F"/>
    <w:rsid w:val="00B75AEB"/>
    <w:rsid w:val="00B75B33"/>
    <w:rsid w:val="00B7618F"/>
    <w:rsid w:val="00B801CC"/>
    <w:rsid w:val="00B8161A"/>
    <w:rsid w:val="00B82357"/>
    <w:rsid w:val="00B82BF0"/>
    <w:rsid w:val="00B86D7A"/>
    <w:rsid w:val="00B92171"/>
    <w:rsid w:val="00B94321"/>
    <w:rsid w:val="00B9477F"/>
    <w:rsid w:val="00B95FA3"/>
    <w:rsid w:val="00B966B4"/>
    <w:rsid w:val="00B967D6"/>
    <w:rsid w:val="00B96EBA"/>
    <w:rsid w:val="00B97A87"/>
    <w:rsid w:val="00B97E6B"/>
    <w:rsid w:val="00BA124B"/>
    <w:rsid w:val="00BA1DA7"/>
    <w:rsid w:val="00BA3C4F"/>
    <w:rsid w:val="00BA4999"/>
    <w:rsid w:val="00BB029F"/>
    <w:rsid w:val="00BB1220"/>
    <w:rsid w:val="00BB2231"/>
    <w:rsid w:val="00BB6193"/>
    <w:rsid w:val="00BB718B"/>
    <w:rsid w:val="00BB7849"/>
    <w:rsid w:val="00BC175E"/>
    <w:rsid w:val="00BC2D63"/>
    <w:rsid w:val="00BC62EE"/>
    <w:rsid w:val="00BC65F5"/>
    <w:rsid w:val="00BC6811"/>
    <w:rsid w:val="00BD1F2B"/>
    <w:rsid w:val="00BD242B"/>
    <w:rsid w:val="00BD6BAA"/>
    <w:rsid w:val="00BE1138"/>
    <w:rsid w:val="00BE2034"/>
    <w:rsid w:val="00BE35AB"/>
    <w:rsid w:val="00BE3E32"/>
    <w:rsid w:val="00BE431B"/>
    <w:rsid w:val="00BE6188"/>
    <w:rsid w:val="00BE7AA0"/>
    <w:rsid w:val="00BF0136"/>
    <w:rsid w:val="00BF4608"/>
    <w:rsid w:val="00BF73F7"/>
    <w:rsid w:val="00C01CA1"/>
    <w:rsid w:val="00C02A74"/>
    <w:rsid w:val="00C03F53"/>
    <w:rsid w:val="00C0406A"/>
    <w:rsid w:val="00C04B56"/>
    <w:rsid w:val="00C0510A"/>
    <w:rsid w:val="00C10520"/>
    <w:rsid w:val="00C119FD"/>
    <w:rsid w:val="00C12055"/>
    <w:rsid w:val="00C12651"/>
    <w:rsid w:val="00C126F2"/>
    <w:rsid w:val="00C12A4B"/>
    <w:rsid w:val="00C15693"/>
    <w:rsid w:val="00C17494"/>
    <w:rsid w:val="00C17694"/>
    <w:rsid w:val="00C20657"/>
    <w:rsid w:val="00C2286A"/>
    <w:rsid w:val="00C258FA"/>
    <w:rsid w:val="00C30902"/>
    <w:rsid w:val="00C32BDC"/>
    <w:rsid w:val="00C334F9"/>
    <w:rsid w:val="00C335D9"/>
    <w:rsid w:val="00C33666"/>
    <w:rsid w:val="00C367A9"/>
    <w:rsid w:val="00C3714A"/>
    <w:rsid w:val="00C42B93"/>
    <w:rsid w:val="00C43185"/>
    <w:rsid w:val="00C44649"/>
    <w:rsid w:val="00C44F7F"/>
    <w:rsid w:val="00C4729B"/>
    <w:rsid w:val="00C47BCB"/>
    <w:rsid w:val="00C52CA1"/>
    <w:rsid w:val="00C53A5D"/>
    <w:rsid w:val="00C551B6"/>
    <w:rsid w:val="00C552FA"/>
    <w:rsid w:val="00C57C27"/>
    <w:rsid w:val="00C57C4B"/>
    <w:rsid w:val="00C61296"/>
    <w:rsid w:val="00C62ED8"/>
    <w:rsid w:val="00C66D5D"/>
    <w:rsid w:val="00C67CAE"/>
    <w:rsid w:val="00C71489"/>
    <w:rsid w:val="00C7400A"/>
    <w:rsid w:val="00C74819"/>
    <w:rsid w:val="00C754C6"/>
    <w:rsid w:val="00C768AB"/>
    <w:rsid w:val="00C76DC0"/>
    <w:rsid w:val="00C76DF2"/>
    <w:rsid w:val="00C77EB5"/>
    <w:rsid w:val="00C77F8F"/>
    <w:rsid w:val="00C8409B"/>
    <w:rsid w:val="00C8412A"/>
    <w:rsid w:val="00C903FD"/>
    <w:rsid w:val="00C90900"/>
    <w:rsid w:val="00C90B0F"/>
    <w:rsid w:val="00C91046"/>
    <w:rsid w:val="00C92176"/>
    <w:rsid w:val="00C92833"/>
    <w:rsid w:val="00C92C32"/>
    <w:rsid w:val="00C95F74"/>
    <w:rsid w:val="00C961D4"/>
    <w:rsid w:val="00C9711A"/>
    <w:rsid w:val="00C97371"/>
    <w:rsid w:val="00C97F60"/>
    <w:rsid w:val="00CA12AF"/>
    <w:rsid w:val="00CA2951"/>
    <w:rsid w:val="00CA2E9A"/>
    <w:rsid w:val="00CA3F6F"/>
    <w:rsid w:val="00CA4BD9"/>
    <w:rsid w:val="00CB057A"/>
    <w:rsid w:val="00CB0A83"/>
    <w:rsid w:val="00CB4472"/>
    <w:rsid w:val="00CB4541"/>
    <w:rsid w:val="00CB4C04"/>
    <w:rsid w:val="00CB4C4A"/>
    <w:rsid w:val="00CB54C4"/>
    <w:rsid w:val="00CB63AC"/>
    <w:rsid w:val="00CB6527"/>
    <w:rsid w:val="00CB7209"/>
    <w:rsid w:val="00CC2656"/>
    <w:rsid w:val="00CC5DB0"/>
    <w:rsid w:val="00CD0BC7"/>
    <w:rsid w:val="00CD3D97"/>
    <w:rsid w:val="00CE0067"/>
    <w:rsid w:val="00CE0DDA"/>
    <w:rsid w:val="00CE2AF5"/>
    <w:rsid w:val="00CE2E33"/>
    <w:rsid w:val="00CE3A53"/>
    <w:rsid w:val="00CE42DE"/>
    <w:rsid w:val="00CE462D"/>
    <w:rsid w:val="00CE55D5"/>
    <w:rsid w:val="00CE77DC"/>
    <w:rsid w:val="00CE7E2A"/>
    <w:rsid w:val="00CF18BA"/>
    <w:rsid w:val="00CF232A"/>
    <w:rsid w:val="00CF2E2A"/>
    <w:rsid w:val="00CF45BF"/>
    <w:rsid w:val="00D027CE"/>
    <w:rsid w:val="00D02E2A"/>
    <w:rsid w:val="00D03169"/>
    <w:rsid w:val="00D034E8"/>
    <w:rsid w:val="00D036A4"/>
    <w:rsid w:val="00D12F63"/>
    <w:rsid w:val="00D13C97"/>
    <w:rsid w:val="00D144CC"/>
    <w:rsid w:val="00D148DC"/>
    <w:rsid w:val="00D14E67"/>
    <w:rsid w:val="00D155CF"/>
    <w:rsid w:val="00D16CF1"/>
    <w:rsid w:val="00D1745F"/>
    <w:rsid w:val="00D20CB3"/>
    <w:rsid w:val="00D2273E"/>
    <w:rsid w:val="00D237B0"/>
    <w:rsid w:val="00D23B8F"/>
    <w:rsid w:val="00D2649F"/>
    <w:rsid w:val="00D2665F"/>
    <w:rsid w:val="00D27888"/>
    <w:rsid w:val="00D306F4"/>
    <w:rsid w:val="00D31AD8"/>
    <w:rsid w:val="00D34302"/>
    <w:rsid w:val="00D36596"/>
    <w:rsid w:val="00D3668C"/>
    <w:rsid w:val="00D3683D"/>
    <w:rsid w:val="00D36D4F"/>
    <w:rsid w:val="00D372D6"/>
    <w:rsid w:val="00D4181C"/>
    <w:rsid w:val="00D41FEF"/>
    <w:rsid w:val="00D44A25"/>
    <w:rsid w:val="00D45604"/>
    <w:rsid w:val="00D51793"/>
    <w:rsid w:val="00D51EDD"/>
    <w:rsid w:val="00D540A5"/>
    <w:rsid w:val="00D5554D"/>
    <w:rsid w:val="00D575C4"/>
    <w:rsid w:val="00D603B5"/>
    <w:rsid w:val="00D60E16"/>
    <w:rsid w:val="00D62B1C"/>
    <w:rsid w:val="00D63BBC"/>
    <w:rsid w:val="00D6407E"/>
    <w:rsid w:val="00D651B9"/>
    <w:rsid w:val="00D65A3B"/>
    <w:rsid w:val="00D65BC5"/>
    <w:rsid w:val="00D66F0E"/>
    <w:rsid w:val="00D70BA6"/>
    <w:rsid w:val="00D72D77"/>
    <w:rsid w:val="00D755ED"/>
    <w:rsid w:val="00D760F4"/>
    <w:rsid w:val="00D81CB5"/>
    <w:rsid w:val="00D836DF"/>
    <w:rsid w:val="00D84229"/>
    <w:rsid w:val="00D84BDE"/>
    <w:rsid w:val="00D87A41"/>
    <w:rsid w:val="00D9078B"/>
    <w:rsid w:val="00D91003"/>
    <w:rsid w:val="00D92D1F"/>
    <w:rsid w:val="00D9335B"/>
    <w:rsid w:val="00D942DB"/>
    <w:rsid w:val="00D96699"/>
    <w:rsid w:val="00D96D89"/>
    <w:rsid w:val="00DA221A"/>
    <w:rsid w:val="00DA2CAE"/>
    <w:rsid w:val="00DA2EFA"/>
    <w:rsid w:val="00DA4E70"/>
    <w:rsid w:val="00DA5AE3"/>
    <w:rsid w:val="00DA61E4"/>
    <w:rsid w:val="00DA69D9"/>
    <w:rsid w:val="00DA7E3C"/>
    <w:rsid w:val="00DB0B4B"/>
    <w:rsid w:val="00DB4706"/>
    <w:rsid w:val="00DB57B5"/>
    <w:rsid w:val="00DB5AEB"/>
    <w:rsid w:val="00DC108D"/>
    <w:rsid w:val="00DC1AE3"/>
    <w:rsid w:val="00DC534A"/>
    <w:rsid w:val="00DC74B0"/>
    <w:rsid w:val="00DD0289"/>
    <w:rsid w:val="00DD03FF"/>
    <w:rsid w:val="00DD0A79"/>
    <w:rsid w:val="00DD1268"/>
    <w:rsid w:val="00DD222D"/>
    <w:rsid w:val="00DD22EE"/>
    <w:rsid w:val="00DD25F5"/>
    <w:rsid w:val="00DD3CE9"/>
    <w:rsid w:val="00DD5140"/>
    <w:rsid w:val="00DD53AB"/>
    <w:rsid w:val="00DD5EEF"/>
    <w:rsid w:val="00DD6792"/>
    <w:rsid w:val="00DD6AEC"/>
    <w:rsid w:val="00DD7E66"/>
    <w:rsid w:val="00DD7FC2"/>
    <w:rsid w:val="00DD7FCA"/>
    <w:rsid w:val="00DE1D47"/>
    <w:rsid w:val="00DE2212"/>
    <w:rsid w:val="00DE3487"/>
    <w:rsid w:val="00DE3794"/>
    <w:rsid w:val="00DE58DD"/>
    <w:rsid w:val="00DE611D"/>
    <w:rsid w:val="00DE7452"/>
    <w:rsid w:val="00DE7722"/>
    <w:rsid w:val="00DE7A00"/>
    <w:rsid w:val="00DF0B9B"/>
    <w:rsid w:val="00DF12C3"/>
    <w:rsid w:val="00DF2028"/>
    <w:rsid w:val="00DF4F8C"/>
    <w:rsid w:val="00DF5F1E"/>
    <w:rsid w:val="00DF6CD0"/>
    <w:rsid w:val="00E0076D"/>
    <w:rsid w:val="00E02945"/>
    <w:rsid w:val="00E029BB"/>
    <w:rsid w:val="00E03283"/>
    <w:rsid w:val="00E032BC"/>
    <w:rsid w:val="00E03E3A"/>
    <w:rsid w:val="00E107EB"/>
    <w:rsid w:val="00E11AFD"/>
    <w:rsid w:val="00E139A2"/>
    <w:rsid w:val="00E14B9A"/>
    <w:rsid w:val="00E14D47"/>
    <w:rsid w:val="00E14E80"/>
    <w:rsid w:val="00E16D07"/>
    <w:rsid w:val="00E178FA"/>
    <w:rsid w:val="00E2234A"/>
    <w:rsid w:val="00E23225"/>
    <w:rsid w:val="00E24EA8"/>
    <w:rsid w:val="00E250A2"/>
    <w:rsid w:val="00E25216"/>
    <w:rsid w:val="00E26096"/>
    <w:rsid w:val="00E26FFF"/>
    <w:rsid w:val="00E30B69"/>
    <w:rsid w:val="00E31631"/>
    <w:rsid w:val="00E32B2C"/>
    <w:rsid w:val="00E32B64"/>
    <w:rsid w:val="00E33A3E"/>
    <w:rsid w:val="00E41A3E"/>
    <w:rsid w:val="00E4474B"/>
    <w:rsid w:val="00E4581D"/>
    <w:rsid w:val="00E53EDD"/>
    <w:rsid w:val="00E54583"/>
    <w:rsid w:val="00E55671"/>
    <w:rsid w:val="00E55B94"/>
    <w:rsid w:val="00E577A2"/>
    <w:rsid w:val="00E57DD6"/>
    <w:rsid w:val="00E57F02"/>
    <w:rsid w:val="00E63D65"/>
    <w:rsid w:val="00E6436E"/>
    <w:rsid w:val="00E64A54"/>
    <w:rsid w:val="00E6573C"/>
    <w:rsid w:val="00E65CF9"/>
    <w:rsid w:val="00E70BE4"/>
    <w:rsid w:val="00E71147"/>
    <w:rsid w:val="00E7177B"/>
    <w:rsid w:val="00E723EC"/>
    <w:rsid w:val="00E73F3D"/>
    <w:rsid w:val="00E74EC9"/>
    <w:rsid w:val="00E7606C"/>
    <w:rsid w:val="00E8347E"/>
    <w:rsid w:val="00E84CF9"/>
    <w:rsid w:val="00E91DF1"/>
    <w:rsid w:val="00E92776"/>
    <w:rsid w:val="00E944AE"/>
    <w:rsid w:val="00E96E17"/>
    <w:rsid w:val="00E96ED1"/>
    <w:rsid w:val="00EA27B8"/>
    <w:rsid w:val="00EB2C28"/>
    <w:rsid w:val="00EB320C"/>
    <w:rsid w:val="00EB3C05"/>
    <w:rsid w:val="00EB46E6"/>
    <w:rsid w:val="00EB4798"/>
    <w:rsid w:val="00EB7C4D"/>
    <w:rsid w:val="00EC0248"/>
    <w:rsid w:val="00EC108D"/>
    <w:rsid w:val="00EC1515"/>
    <w:rsid w:val="00EC47CA"/>
    <w:rsid w:val="00ED0A50"/>
    <w:rsid w:val="00ED1E58"/>
    <w:rsid w:val="00ED2627"/>
    <w:rsid w:val="00ED5233"/>
    <w:rsid w:val="00ED612A"/>
    <w:rsid w:val="00ED7070"/>
    <w:rsid w:val="00ED7B38"/>
    <w:rsid w:val="00EE21C1"/>
    <w:rsid w:val="00EE2421"/>
    <w:rsid w:val="00EE300A"/>
    <w:rsid w:val="00EE46B5"/>
    <w:rsid w:val="00EE4EF0"/>
    <w:rsid w:val="00EF0B09"/>
    <w:rsid w:val="00EF170E"/>
    <w:rsid w:val="00EF2571"/>
    <w:rsid w:val="00EF2FC1"/>
    <w:rsid w:val="00EF45DA"/>
    <w:rsid w:val="00EF49E8"/>
    <w:rsid w:val="00EF583E"/>
    <w:rsid w:val="00EF7C98"/>
    <w:rsid w:val="00F00935"/>
    <w:rsid w:val="00F01132"/>
    <w:rsid w:val="00F0115A"/>
    <w:rsid w:val="00F04C05"/>
    <w:rsid w:val="00F04F24"/>
    <w:rsid w:val="00F07AB1"/>
    <w:rsid w:val="00F101D4"/>
    <w:rsid w:val="00F10EAB"/>
    <w:rsid w:val="00F119DB"/>
    <w:rsid w:val="00F12174"/>
    <w:rsid w:val="00F13B58"/>
    <w:rsid w:val="00F13E50"/>
    <w:rsid w:val="00F141EF"/>
    <w:rsid w:val="00F167E8"/>
    <w:rsid w:val="00F2022D"/>
    <w:rsid w:val="00F21271"/>
    <w:rsid w:val="00F2353B"/>
    <w:rsid w:val="00F2549A"/>
    <w:rsid w:val="00F25EA1"/>
    <w:rsid w:val="00F26F69"/>
    <w:rsid w:val="00F31912"/>
    <w:rsid w:val="00F31F00"/>
    <w:rsid w:val="00F32AC8"/>
    <w:rsid w:val="00F34443"/>
    <w:rsid w:val="00F358DA"/>
    <w:rsid w:val="00F37816"/>
    <w:rsid w:val="00F37E2B"/>
    <w:rsid w:val="00F40294"/>
    <w:rsid w:val="00F41ACF"/>
    <w:rsid w:val="00F42C4C"/>
    <w:rsid w:val="00F4448C"/>
    <w:rsid w:val="00F50ACE"/>
    <w:rsid w:val="00F51B88"/>
    <w:rsid w:val="00F53DEE"/>
    <w:rsid w:val="00F53F4E"/>
    <w:rsid w:val="00F5481D"/>
    <w:rsid w:val="00F62A42"/>
    <w:rsid w:val="00F72B77"/>
    <w:rsid w:val="00F7306F"/>
    <w:rsid w:val="00F739AB"/>
    <w:rsid w:val="00F76F51"/>
    <w:rsid w:val="00F77475"/>
    <w:rsid w:val="00F775B6"/>
    <w:rsid w:val="00F8318B"/>
    <w:rsid w:val="00F8539D"/>
    <w:rsid w:val="00F876FF"/>
    <w:rsid w:val="00F93739"/>
    <w:rsid w:val="00F93E8D"/>
    <w:rsid w:val="00F9435E"/>
    <w:rsid w:val="00F953E4"/>
    <w:rsid w:val="00F96A86"/>
    <w:rsid w:val="00FA0DF5"/>
    <w:rsid w:val="00FA0F05"/>
    <w:rsid w:val="00FA0FEE"/>
    <w:rsid w:val="00FA1EEE"/>
    <w:rsid w:val="00FA29C8"/>
    <w:rsid w:val="00FA4723"/>
    <w:rsid w:val="00FA6674"/>
    <w:rsid w:val="00FA7B3F"/>
    <w:rsid w:val="00FA7F72"/>
    <w:rsid w:val="00FB26E3"/>
    <w:rsid w:val="00FB3A9B"/>
    <w:rsid w:val="00FB5E15"/>
    <w:rsid w:val="00FB7C73"/>
    <w:rsid w:val="00FC1400"/>
    <w:rsid w:val="00FC1813"/>
    <w:rsid w:val="00FC1E80"/>
    <w:rsid w:val="00FC321C"/>
    <w:rsid w:val="00FC4F2E"/>
    <w:rsid w:val="00FC6876"/>
    <w:rsid w:val="00FC768E"/>
    <w:rsid w:val="00FC78B7"/>
    <w:rsid w:val="00FD07D3"/>
    <w:rsid w:val="00FD154B"/>
    <w:rsid w:val="00FD3360"/>
    <w:rsid w:val="00FD3FCA"/>
    <w:rsid w:val="00FD4CBD"/>
    <w:rsid w:val="00FD6CA3"/>
    <w:rsid w:val="00FD7173"/>
    <w:rsid w:val="00FD798A"/>
    <w:rsid w:val="00FD7D6B"/>
    <w:rsid w:val="00FE3089"/>
    <w:rsid w:val="00FE7149"/>
    <w:rsid w:val="00FF0991"/>
    <w:rsid w:val="00FF45E1"/>
    <w:rsid w:val="00FF497A"/>
    <w:rsid w:val="00FF5412"/>
    <w:rsid w:val="00FF5997"/>
    <w:rsid w:val="00FF65D8"/>
    <w:rsid w:val="00FF6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D278"/>
  <w15:docId w15:val="{07D4A3E3-244A-4984-87DC-FA00B7B2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E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F2E05"/>
    <w:rPr>
      <w:rFonts w:ascii="Consolas" w:hAnsi="Consolas"/>
      <w:sz w:val="20"/>
      <w:szCs w:val="20"/>
    </w:rPr>
  </w:style>
  <w:style w:type="paragraph" w:styleId="NoSpacing">
    <w:name w:val="No Spacing"/>
    <w:uiPriority w:val="1"/>
    <w:qFormat/>
    <w:rsid w:val="00B346D6"/>
    <w:pPr>
      <w:spacing w:after="0" w:line="240" w:lineRule="auto"/>
    </w:pPr>
  </w:style>
  <w:style w:type="paragraph" w:styleId="NormalWeb">
    <w:name w:val="Normal (Web)"/>
    <w:basedOn w:val="Normal"/>
    <w:uiPriority w:val="99"/>
    <w:semiHidden/>
    <w:unhideWhenUsed/>
    <w:rsid w:val="00E223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294">
      <w:bodyDiv w:val="1"/>
      <w:marLeft w:val="0"/>
      <w:marRight w:val="0"/>
      <w:marTop w:val="0"/>
      <w:marBottom w:val="0"/>
      <w:divBdr>
        <w:top w:val="none" w:sz="0" w:space="0" w:color="auto"/>
        <w:left w:val="none" w:sz="0" w:space="0" w:color="auto"/>
        <w:bottom w:val="none" w:sz="0" w:space="0" w:color="auto"/>
        <w:right w:val="none" w:sz="0" w:space="0" w:color="auto"/>
      </w:divBdr>
    </w:div>
    <w:div w:id="5980163">
      <w:bodyDiv w:val="1"/>
      <w:marLeft w:val="0"/>
      <w:marRight w:val="0"/>
      <w:marTop w:val="0"/>
      <w:marBottom w:val="0"/>
      <w:divBdr>
        <w:top w:val="none" w:sz="0" w:space="0" w:color="auto"/>
        <w:left w:val="none" w:sz="0" w:space="0" w:color="auto"/>
        <w:bottom w:val="none" w:sz="0" w:space="0" w:color="auto"/>
        <w:right w:val="none" w:sz="0" w:space="0" w:color="auto"/>
      </w:divBdr>
    </w:div>
    <w:div w:id="22099903">
      <w:bodyDiv w:val="1"/>
      <w:marLeft w:val="0"/>
      <w:marRight w:val="0"/>
      <w:marTop w:val="0"/>
      <w:marBottom w:val="0"/>
      <w:divBdr>
        <w:top w:val="none" w:sz="0" w:space="0" w:color="auto"/>
        <w:left w:val="none" w:sz="0" w:space="0" w:color="auto"/>
        <w:bottom w:val="none" w:sz="0" w:space="0" w:color="auto"/>
        <w:right w:val="none" w:sz="0" w:space="0" w:color="auto"/>
      </w:divBdr>
    </w:div>
    <w:div w:id="30157098">
      <w:bodyDiv w:val="1"/>
      <w:marLeft w:val="0"/>
      <w:marRight w:val="0"/>
      <w:marTop w:val="0"/>
      <w:marBottom w:val="0"/>
      <w:divBdr>
        <w:top w:val="none" w:sz="0" w:space="0" w:color="auto"/>
        <w:left w:val="none" w:sz="0" w:space="0" w:color="auto"/>
        <w:bottom w:val="none" w:sz="0" w:space="0" w:color="auto"/>
        <w:right w:val="none" w:sz="0" w:space="0" w:color="auto"/>
      </w:divBdr>
    </w:div>
    <w:div w:id="34546928">
      <w:bodyDiv w:val="1"/>
      <w:marLeft w:val="0"/>
      <w:marRight w:val="0"/>
      <w:marTop w:val="0"/>
      <w:marBottom w:val="0"/>
      <w:divBdr>
        <w:top w:val="none" w:sz="0" w:space="0" w:color="auto"/>
        <w:left w:val="none" w:sz="0" w:space="0" w:color="auto"/>
        <w:bottom w:val="none" w:sz="0" w:space="0" w:color="auto"/>
        <w:right w:val="none" w:sz="0" w:space="0" w:color="auto"/>
      </w:divBdr>
    </w:div>
    <w:div w:id="46876560">
      <w:bodyDiv w:val="1"/>
      <w:marLeft w:val="0"/>
      <w:marRight w:val="0"/>
      <w:marTop w:val="0"/>
      <w:marBottom w:val="0"/>
      <w:divBdr>
        <w:top w:val="none" w:sz="0" w:space="0" w:color="auto"/>
        <w:left w:val="none" w:sz="0" w:space="0" w:color="auto"/>
        <w:bottom w:val="none" w:sz="0" w:space="0" w:color="auto"/>
        <w:right w:val="none" w:sz="0" w:space="0" w:color="auto"/>
      </w:divBdr>
    </w:div>
    <w:div w:id="58940140">
      <w:bodyDiv w:val="1"/>
      <w:marLeft w:val="0"/>
      <w:marRight w:val="0"/>
      <w:marTop w:val="0"/>
      <w:marBottom w:val="0"/>
      <w:divBdr>
        <w:top w:val="none" w:sz="0" w:space="0" w:color="auto"/>
        <w:left w:val="none" w:sz="0" w:space="0" w:color="auto"/>
        <w:bottom w:val="none" w:sz="0" w:space="0" w:color="auto"/>
        <w:right w:val="none" w:sz="0" w:space="0" w:color="auto"/>
      </w:divBdr>
    </w:div>
    <w:div w:id="202836432">
      <w:bodyDiv w:val="1"/>
      <w:marLeft w:val="0"/>
      <w:marRight w:val="0"/>
      <w:marTop w:val="0"/>
      <w:marBottom w:val="0"/>
      <w:divBdr>
        <w:top w:val="none" w:sz="0" w:space="0" w:color="auto"/>
        <w:left w:val="none" w:sz="0" w:space="0" w:color="auto"/>
        <w:bottom w:val="none" w:sz="0" w:space="0" w:color="auto"/>
        <w:right w:val="none" w:sz="0" w:space="0" w:color="auto"/>
      </w:divBdr>
    </w:div>
    <w:div w:id="205795679">
      <w:bodyDiv w:val="1"/>
      <w:marLeft w:val="0"/>
      <w:marRight w:val="0"/>
      <w:marTop w:val="0"/>
      <w:marBottom w:val="0"/>
      <w:divBdr>
        <w:top w:val="none" w:sz="0" w:space="0" w:color="auto"/>
        <w:left w:val="none" w:sz="0" w:space="0" w:color="auto"/>
        <w:bottom w:val="none" w:sz="0" w:space="0" w:color="auto"/>
        <w:right w:val="none" w:sz="0" w:space="0" w:color="auto"/>
      </w:divBdr>
    </w:div>
    <w:div w:id="244144278">
      <w:bodyDiv w:val="1"/>
      <w:marLeft w:val="0"/>
      <w:marRight w:val="0"/>
      <w:marTop w:val="0"/>
      <w:marBottom w:val="0"/>
      <w:divBdr>
        <w:top w:val="none" w:sz="0" w:space="0" w:color="auto"/>
        <w:left w:val="none" w:sz="0" w:space="0" w:color="auto"/>
        <w:bottom w:val="none" w:sz="0" w:space="0" w:color="auto"/>
        <w:right w:val="none" w:sz="0" w:space="0" w:color="auto"/>
      </w:divBdr>
    </w:div>
    <w:div w:id="273710483">
      <w:bodyDiv w:val="1"/>
      <w:marLeft w:val="0"/>
      <w:marRight w:val="0"/>
      <w:marTop w:val="0"/>
      <w:marBottom w:val="0"/>
      <w:divBdr>
        <w:top w:val="none" w:sz="0" w:space="0" w:color="auto"/>
        <w:left w:val="none" w:sz="0" w:space="0" w:color="auto"/>
        <w:bottom w:val="none" w:sz="0" w:space="0" w:color="auto"/>
        <w:right w:val="none" w:sz="0" w:space="0" w:color="auto"/>
      </w:divBdr>
    </w:div>
    <w:div w:id="304699172">
      <w:bodyDiv w:val="1"/>
      <w:marLeft w:val="0"/>
      <w:marRight w:val="0"/>
      <w:marTop w:val="0"/>
      <w:marBottom w:val="0"/>
      <w:divBdr>
        <w:top w:val="none" w:sz="0" w:space="0" w:color="auto"/>
        <w:left w:val="none" w:sz="0" w:space="0" w:color="auto"/>
        <w:bottom w:val="none" w:sz="0" w:space="0" w:color="auto"/>
        <w:right w:val="none" w:sz="0" w:space="0" w:color="auto"/>
      </w:divBdr>
    </w:div>
    <w:div w:id="305818128">
      <w:bodyDiv w:val="1"/>
      <w:marLeft w:val="0"/>
      <w:marRight w:val="0"/>
      <w:marTop w:val="0"/>
      <w:marBottom w:val="0"/>
      <w:divBdr>
        <w:top w:val="none" w:sz="0" w:space="0" w:color="auto"/>
        <w:left w:val="none" w:sz="0" w:space="0" w:color="auto"/>
        <w:bottom w:val="none" w:sz="0" w:space="0" w:color="auto"/>
        <w:right w:val="none" w:sz="0" w:space="0" w:color="auto"/>
      </w:divBdr>
    </w:div>
    <w:div w:id="346834651">
      <w:bodyDiv w:val="1"/>
      <w:marLeft w:val="0"/>
      <w:marRight w:val="0"/>
      <w:marTop w:val="0"/>
      <w:marBottom w:val="0"/>
      <w:divBdr>
        <w:top w:val="none" w:sz="0" w:space="0" w:color="auto"/>
        <w:left w:val="none" w:sz="0" w:space="0" w:color="auto"/>
        <w:bottom w:val="none" w:sz="0" w:space="0" w:color="auto"/>
        <w:right w:val="none" w:sz="0" w:space="0" w:color="auto"/>
      </w:divBdr>
    </w:div>
    <w:div w:id="377751382">
      <w:bodyDiv w:val="1"/>
      <w:marLeft w:val="0"/>
      <w:marRight w:val="0"/>
      <w:marTop w:val="0"/>
      <w:marBottom w:val="0"/>
      <w:divBdr>
        <w:top w:val="none" w:sz="0" w:space="0" w:color="auto"/>
        <w:left w:val="none" w:sz="0" w:space="0" w:color="auto"/>
        <w:bottom w:val="none" w:sz="0" w:space="0" w:color="auto"/>
        <w:right w:val="none" w:sz="0" w:space="0" w:color="auto"/>
      </w:divBdr>
    </w:div>
    <w:div w:id="380717340">
      <w:bodyDiv w:val="1"/>
      <w:marLeft w:val="0"/>
      <w:marRight w:val="0"/>
      <w:marTop w:val="0"/>
      <w:marBottom w:val="0"/>
      <w:divBdr>
        <w:top w:val="none" w:sz="0" w:space="0" w:color="auto"/>
        <w:left w:val="none" w:sz="0" w:space="0" w:color="auto"/>
        <w:bottom w:val="none" w:sz="0" w:space="0" w:color="auto"/>
        <w:right w:val="none" w:sz="0" w:space="0" w:color="auto"/>
      </w:divBdr>
    </w:div>
    <w:div w:id="395124603">
      <w:bodyDiv w:val="1"/>
      <w:marLeft w:val="0"/>
      <w:marRight w:val="0"/>
      <w:marTop w:val="0"/>
      <w:marBottom w:val="0"/>
      <w:divBdr>
        <w:top w:val="none" w:sz="0" w:space="0" w:color="auto"/>
        <w:left w:val="none" w:sz="0" w:space="0" w:color="auto"/>
        <w:bottom w:val="none" w:sz="0" w:space="0" w:color="auto"/>
        <w:right w:val="none" w:sz="0" w:space="0" w:color="auto"/>
      </w:divBdr>
    </w:div>
    <w:div w:id="402916405">
      <w:bodyDiv w:val="1"/>
      <w:marLeft w:val="0"/>
      <w:marRight w:val="0"/>
      <w:marTop w:val="0"/>
      <w:marBottom w:val="0"/>
      <w:divBdr>
        <w:top w:val="none" w:sz="0" w:space="0" w:color="auto"/>
        <w:left w:val="none" w:sz="0" w:space="0" w:color="auto"/>
        <w:bottom w:val="none" w:sz="0" w:space="0" w:color="auto"/>
        <w:right w:val="none" w:sz="0" w:space="0" w:color="auto"/>
      </w:divBdr>
    </w:div>
    <w:div w:id="526870296">
      <w:bodyDiv w:val="1"/>
      <w:marLeft w:val="0"/>
      <w:marRight w:val="0"/>
      <w:marTop w:val="0"/>
      <w:marBottom w:val="0"/>
      <w:divBdr>
        <w:top w:val="none" w:sz="0" w:space="0" w:color="auto"/>
        <w:left w:val="none" w:sz="0" w:space="0" w:color="auto"/>
        <w:bottom w:val="none" w:sz="0" w:space="0" w:color="auto"/>
        <w:right w:val="none" w:sz="0" w:space="0" w:color="auto"/>
      </w:divBdr>
      <w:divsChild>
        <w:div w:id="418991311">
          <w:marLeft w:val="0"/>
          <w:marRight w:val="0"/>
          <w:marTop w:val="0"/>
          <w:marBottom w:val="0"/>
          <w:divBdr>
            <w:top w:val="none" w:sz="0" w:space="0" w:color="auto"/>
            <w:left w:val="none" w:sz="0" w:space="0" w:color="auto"/>
            <w:bottom w:val="none" w:sz="0" w:space="0" w:color="auto"/>
            <w:right w:val="none" w:sz="0" w:space="0" w:color="auto"/>
          </w:divBdr>
        </w:div>
        <w:div w:id="831487267">
          <w:marLeft w:val="0"/>
          <w:marRight w:val="0"/>
          <w:marTop w:val="0"/>
          <w:marBottom w:val="0"/>
          <w:divBdr>
            <w:top w:val="none" w:sz="0" w:space="0" w:color="auto"/>
            <w:left w:val="none" w:sz="0" w:space="0" w:color="auto"/>
            <w:bottom w:val="none" w:sz="0" w:space="0" w:color="auto"/>
            <w:right w:val="none" w:sz="0" w:space="0" w:color="auto"/>
          </w:divBdr>
        </w:div>
        <w:div w:id="1700080850">
          <w:marLeft w:val="0"/>
          <w:marRight w:val="0"/>
          <w:marTop w:val="0"/>
          <w:marBottom w:val="0"/>
          <w:divBdr>
            <w:top w:val="none" w:sz="0" w:space="0" w:color="auto"/>
            <w:left w:val="none" w:sz="0" w:space="0" w:color="auto"/>
            <w:bottom w:val="none" w:sz="0" w:space="0" w:color="auto"/>
            <w:right w:val="none" w:sz="0" w:space="0" w:color="auto"/>
          </w:divBdr>
        </w:div>
      </w:divsChild>
    </w:div>
    <w:div w:id="557009309">
      <w:bodyDiv w:val="1"/>
      <w:marLeft w:val="0"/>
      <w:marRight w:val="0"/>
      <w:marTop w:val="0"/>
      <w:marBottom w:val="0"/>
      <w:divBdr>
        <w:top w:val="none" w:sz="0" w:space="0" w:color="auto"/>
        <w:left w:val="none" w:sz="0" w:space="0" w:color="auto"/>
        <w:bottom w:val="none" w:sz="0" w:space="0" w:color="auto"/>
        <w:right w:val="none" w:sz="0" w:space="0" w:color="auto"/>
      </w:divBdr>
    </w:div>
    <w:div w:id="563756430">
      <w:bodyDiv w:val="1"/>
      <w:marLeft w:val="0"/>
      <w:marRight w:val="0"/>
      <w:marTop w:val="0"/>
      <w:marBottom w:val="0"/>
      <w:divBdr>
        <w:top w:val="none" w:sz="0" w:space="0" w:color="auto"/>
        <w:left w:val="none" w:sz="0" w:space="0" w:color="auto"/>
        <w:bottom w:val="none" w:sz="0" w:space="0" w:color="auto"/>
        <w:right w:val="none" w:sz="0" w:space="0" w:color="auto"/>
      </w:divBdr>
    </w:div>
    <w:div w:id="577598448">
      <w:bodyDiv w:val="1"/>
      <w:marLeft w:val="0"/>
      <w:marRight w:val="0"/>
      <w:marTop w:val="0"/>
      <w:marBottom w:val="0"/>
      <w:divBdr>
        <w:top w:val="none" w:sz="0" w:space="0" w:color="auto"/>
        <w:left w:val="none" w:sz="0" w:space="0" w:color="auto"/>
        <w:bottom w:val="none" w:sz="0" w:space="0" w:color="auto"/>
        <w:right w:val="none" w:sz="0" w:space="0" w:color="auto"/>
      </w:divBdr>
    </w:div>
    <w:div w:id="649797692">
      <w:bodyDiv w:val="1"/>
      <w:marLeft w:val="0"/>
      <w:marRight w:val="0"/>
      <w:marTop w:val="0"/>
      <w:marBottom w:val="0"/>
      <w:divBdr>
        <w:top w:val="none" w:sz="0" w:space="0" w:color="auto"/>
        <w:left w:val="none" w:sz="0" w:space="0" w:color="auto"/>
        <w:bottom w:val="none" w:sz="0" w:space="0" w:color="auto"/>
        <w:right w:val="none" w:sz="0" w:space="0" w:color="auto"/>
      </w:divBdr>
    </w:div>
    <w:div w:id="655113451">
      <w:bodyDiv w:val="1"/>
      <w:marLeft w:val="0"/>
      <w:marRight w:val="0"/>
      <w:marTop w:val="0"/>
      <w:marBottom w:val="0"/>
      <w:divBdr>
        <w:top w:val="none" w:sz="0" w:space="0" w:color="auto"/>
        <w:left w:val="none" w:sz="0" w:space="0" w:color="auto"/>
        <w:bottom w:val="none" w:sz="0" w:space="0" w:color="auto"/>
        <w:right w:val="none" w:sz="0" w:space="0" w:color="auto"/>
      </w:divBdr>
    </w:div>
    <w:div w:id="693187155">
      <w:bodyDiv w:val="1"/>
      <w:marLeft w:val="0"/>
      <w:marRight w:val="0"/>
      <w:marTop w:val="0"/>
      <w:marBottom w:val="0"/>
      <w:divBdr>
        <w:top w:val="none" w:sz="0" w:space="0" w:color="auto"/>
        <w:left w:val="none" w:sz="0" w:space="0" w:color="auto"/>
        <w:bottom w:val="none" w:sz="0" w:space="0" w:color="auto"/>
        <w:right w:val="none" w:sz="0" w:space="0" w:color="auto"/>
      </w:divBdr>
    </w:div>
    <w:div w:id="740100121">
      <w:bodyDiv w:val="1"/>
      <w:marLeft w:val="0"/>
      <w:marRight w:val="0"/>
      <w:marTop w:val="0"/>
      <w:marBottom w:val="0"/>
      <w:divBdr>
        <w:top w:val="none" w:sz="0" w:space="0" w:color="auto"/>
        <w:left w:val="none" w:sz="0" w:space="0" w:color="auto"/>
        <w:bottom w:val="none" w:sz="0" w:space="0" w:color="auto"/>
        <w:right w:val="none" w:sz="0" w:space="0" w:color="auto"/>
      </w:divBdr>
    </w:div>
    <w:div w:id="740568034">
      <w:bodyDiv w:val="1"/>
      <w:marLeft w:val="0"/>
      <w:marRight w:val="0"/>
      <w:marTop w:val="0"/>
      <w:marBottom w:val="0"/>
      <w:divBdr>
        <w:top w:val="none" w:sz="0" w:space="0" w:color="auto"/>
        <w:left w:val="none" w:sz="0" w:space="0" w:color="auto"/>
        <w:bottom w:val="none" w:sz="0" w:space="0" w:color="auto"/>
        <w:right w:val="none" w:sz="0" w:space="0" w:color="auto"/>
      </w:divBdr>
    </w:div>
    <w:div w:id="744304488">
      <w:bodyDiv w:val="1"/>
      <w:marLeft w:val="0"/>
      <w:marRight w:val="0"/>
      <w:marTop w:val="0"/>
      <w:marBottom w:val="0"/>
      <w:divBdr>
        <w:top w:val="none" w:sz="0" w:space="0" w:color="auto"/>
        <w:left w:val="none" w:sz="0" w:space="0" w:color="auto"/>
        <w:bottom w:val="none" w:sz="0" w:space="0" w:color="auto"/>
        <w:right w:val="none" w:sz="0" w:space="0" w:color="auto"/>
      </w:divBdr>
    </w:div>
    <w:div w:id="756826451">
      <w:bodyDiv w:val="1"/>
      <w:marLeft w:val="0"/>
      <w:marRight w:val="0"/>
      <w:marTop w:val="0"/>
      <w:marBottom w:val="0"/>
      <w:divBdr>
        <w:top w:val="none" w:sz="0" w:space="0" w:color="auto"/>
        <w:left w:val="none" w:sz="0" w:space="0" w:color="auto"/>
        <w:bottom w:val="none" w:sz="0" w:space="0" w:color="auto"/>
        <w:right w:val="none" w:sz="0" w:space="0" w:color="auto"/>
      </w:divBdr>
    </w:div>
    <w:div w:id="771245720">
      <w:bodyDiv w:val="1"/>
      <w:marLeft w:val="0"/>
      <w:marRight w:val="0"/>
      <w:marTop w:val="0"/>
      <w:marBottom w:val="0"/>
      <w:divBdr>
        <w:top w:val="none" w:sz="0" w:space="0" w:color="auto"/>
        <w:left w:val="none" w:sz="0" w:space="0" w:color="auto"/>
        <w:bottom w:val="none" w:sz="0" w:space="0" w:color="auto"/>
        <w:right w:val="none" w:sz="0" w:space="0" w:color="auto"/>
      </w:divBdr>
    </w:div>
    <w:div w:id="775254074">
      <w:bodyDiv w:val="1"/>
      <w:marLeft w:val="0"/>
      <w:marRight w:val="0"/>
      <w:marTop w:val="0"/>
      <w:marBottom w:val="0"/>
      <w:divBdr>
        <w:top w:val="none" w:sz="0" w:space="0" w:color="auto"/>
        <w:left w:val="none" w:sz="0" w:space="0" w:color="auto"/>
        <w:bottom w:val="none" w:sz="0" w:space="0" w:color="auto"/>
        <w:right w:val="none" w:sz="0" w:space="0" w:color="auto"/>
      </w:divBdr>
    </w:div>
    <w:div w:id="779839017">
      <w:bodyDiv w:val="1"/>
      <w:marLeft w:val="0"/>
      <w:marRight w:val="0"/>
      <w:marTop w:val="0"/>
      <w:marBottom w:val="0"/>
      <w:divBdr>
        <w:top w:val="none" w:sz="0" w:space="0" w:color="auto"/>
        <w:left w:val="none" w:sz="0" w:space="0" w:color="auto"/>
        <w:bottom w:val="none" w:sz="0" w:space="0" w:color="auto"/>
        <w:right w:val="none" w:sz="0" w:space="0" w:color="auto"/>
      </w:divBdr>
    </w:div>
    <w:div w:id="887301412">
      <w:bodyDiv w:val="1"/>
      <w:marLeft w:val="0"/>
      <w:marRight w:val="0"/>
      <w:marTop w:val="0"/>
      <w:marBottom w:val="0"/>
      <w:divBdr>
        <w:top w:val="none" w:sz="0" w:space="0" w:color="auto"/>
        <w:left w:val="none" w:sz="0" w:space="0" w:color="auto"/>
        <w:bottom w:val="none" w:sz="0" w:space="0" w:color="auto"/>
        <w:right w:val="none" w:sz="0" w:space="0" w:color="auto"/>
      </w:divBdr>
    </w:div>
    <w:div w:id="906887683">
      <w:bodyDiv w:val="1"/>
      <w:marLeft w:val="0"/>
      <w:marRight w:val="0"/>
      <w:marTop w:val="0"/>
      <w:marBottom w:val="0"/>
      <w:divBdr>
        <w:top w:val="none" w:sz="0" w:space="0" w:color="auto"/>
        <w:left w:val="none" w:sz="0" w:space="0" w:color="auto"/>
        <w:bottom w:val="none" w:sz="0" w:space="0" w:color="auto"/>
        <w:right w:val="none" w:sz="0" w:space="0" w:color="auto"/>
      </w:divBdr>
    </w:div>
    <w:div w:id="914827199">
      <w:bodyDiv w:val="1"/>
      <w:marLeft w:val="0"/>
      <w:marRight w:val="0"/>
      <w:marTop w:val="0"/>
      <w:marBottom w:val="0"/>
      <w:divBdr>
        <w:top w:val="none" w:sz="0" w:space="0" w:color="auto"/>
        <w:left w:val="none" w:sz="0" w:space="0" w:color="auto"/>
        <w:bottom w:val="none" w:sz="0" w:space="0" w:color="auto"/>
        <w:right w:val="none" w:sz="0" w:space="0" w:color="auto"/>
      </w:divBdr>
    </w:div>
    <w:div w:id="943540990">
      <w:bodyDiv w:val="1"/>
      <w:marLeft w:val="0"/>
      <w:marRight w:val="0"/>
      <w:marTop w:val="0"/>
      <w:marBottom w:val="0"/>
      <w:divBdr>
        <w:top w:val="none" w:sz="0" w:space="0" w:color="auto"/>
        <w:left w:val="none" w:sz="0" w:space="0" w:color="auto"/>
        <w:bottom w:val="none" w:sz="0" w:space="0" w:color="auto"/>
        <w:right w:val="none" w:sz="0" w:space="0" w:color="auto"/>
      </w:divBdr>
    </w:div>
    <w:div w:id="971786870">
      <w:bodyDiv w:val="1"/>
      <w:marLeft w:val="0"/>
      <w:marRight w:val="0"/>
      <w:marTop w:val="0"/>
      <w:marBottom w:val="0"/>
      <w:divBdr>
        <w:top w:val="none" w:sz="0" w:space="0" w:color="auto"/>
        <w:left w:val="none" w:sz="0" w:space="0" w:color="auto"/>
        <w:bottom w:val="none" w:sz="0" w:space="0" w:color="auto"/>
        <w:right w:val="none" w:sz="0" w:space="0" w:color="auto"/>
      </w:divBdr>
    </w:div>
    <w:div w:id="974942938">
      <w:bodyDiv w:val="1"/>
      <w:marLeft w:val="0"/>
      <w:marRight w:val="0"/>
      <w:marTop w:val="0"/>
      <w:marBottom w:val="0"/>
      <w:divBdr>
        <w:top w:val="none" w:sz="0" w:space="0" w:color="auto"/>
        <w:left w:val="none" w:sz="0" w:space="0" w:color="auto"/>
        <w:bottom w:val="none" w:sz="0" w:space="0" w:color="auto"/>
        <w:right w:val="none" w:sz="0" w:space="0" w:color="auto"/>
      </w:divBdr>
    </w:div>
    <w:div w:id="977107198">
      <w:bodyDiv w:val="1"/>
      <w:marLeft w:val="0"/>
      <w:marRight w:val="0"/>
      <w:marTop w:val="0"/>
      <w:marBottom w:val="0"/>
      <w:divBdr>
        <w:top w:val="none" w:sz="0" w:space="0" w:color="auto"/>
        <w:left w:val="none" w:sz="0" w:space="0" w:color="auto"/>
        <w:bottom w:val="none" w:sz="0" w:space="0" w:color="auto"/>
        <w:right w:val="none" w:sz="0" w:space="0" w:color="auto"/>
      </w:divBdr>
    </w:div>
    <w:div w:id="1049650618">
      <w:bodyDiv w:val="1"/>
      <w:marLeft w:val="0"/>
      <w:marRight w:val="0"/>
      <w:marTop w:val="0"/>
      <w:marBottom w:val="0"/>
      <w:divBdr>
        <w:top w:val="none" w:sz="0" w:space="0" w:color="auto"/>
        <w:left w:val="none" w:sz="0" w:space="0" w:color="auto"/>
        <w:bottom w:val="none" w:sz="0" w:space="0" w:color="auto"/>
        <w:right w:val="none" w:sz="0" w:space="0" w:color="auto"/>
      </w:divBdr>
    </w:div>
    <w:div w:id="1052465525">
      <w:bodyDiv w:val="1"/>
      <w:marLeft w:val="0"/>
      <w:marRight w:val="0"/>
      <w:marTop w:val="0"/>
      <w:marBottom w:val="0"/>
      <w:divBdr>
        <w:top w:val="none" w:sz="0" w:space="0" w:color="auto"/>
        <w:left w:val="none" w:sz="0" w:space="0" w:color="auto"/>
        <w:bottom w:val="none" w:sz="0" w:space="0" w:color="auto"/>
        <w:right w:val="none" w:sz="0" w:space="0" w:color="auto"/>
      </w:divBdr>
    </w:div>
    <w:div w:id="1061103664">
      <w:bodyDiv w:val="1"/>
      <w:marLeft w:val="0"/>
      <w:marRight w:val="0"/>
      <w:marTop w:val="0"/>
      <w:marBottom w:val="0"/>
      <w:divBdr>
        <w:top w:val="none" w:sz="0" w:space="0" w:color="auto"/>
        <w:left w:val="none" w:sz="0" w:space="0" w:color="auto"/>
        <w:bottom w:val="none" w:sz="0" w:space="0" w:color="auto"/>
        <w:right w:val="none" w:sz="0" w:space="0" w:color="auto"/>
      </w:divBdr>
    </w:div>
    <w:div w:id="1081559678">
      <w:bodyDiv w:val="1"/>
      <w:marLeft w:val="0"/>
      <w:marRight w:val="0"/>
      <w:marTop w:val="0"/>
      <w:marBottom w:val="0"/>
      <w:divBdr>
        <w:top w:val="none" w:sz="0" w:space="0" w:color="auto"/>
        <w:left w:val="none" w:sz="0" w:space="0" w:color="auto"/>
        <w:bottom w:val="none" w:sz="0" w:space="0" w:color="auto"/>
        <w:right w:val="none" w:sz="0" w:space="0" w:color="auto"/>
      </w:divBdr>
    </w:div>
    <w:div w:id="1086532825">
      <w:bodyDiv w:val="1"/>
      <w:marLeft w:val="0"/>
      <w:marRight w:val="0"/>
      <w:marTop w:val="0"/>
      <w:marBottom w:val="0"/>
      <w:divBdr>
        <w:top w:val="none" w:sz="0" w:space="0" w:color="auto"/>
        <w:left w:val="none" w:sz="0" w:space="0" w:color="auto"/>
        <w:bottom w:val="none" w:sz="0" w:space="0" w:color="auto"/>
        <w:right w:val="none" w:sz="0" w:space="0" w:color="auto"/>
      </w:divBdr>
    </w:div>
    <w:div w:id="1113524949">
      <w:bodyDiv w:val="1"/>
      <w:marLeft w:val="0"/>
      <w:marRight w:val="0"/>
      <w:marTop w:val="0"/>
      <w:marBottom w:val="0"/>
      <w:divBdr>
        <w:top w:val="none" w:sz="0" w:space="0" w:color="auto"/>
        <w:left w:val="none" w:sz="0" w:space="0" w:color="auto"/>
        <w:bottom w:val="none" w:sz="0" w:space="0" w:color="auto"/>
        <w:right w:val="none" w:sz="0" w:space="0" w:color="auto"/>
      </w:divBdr>
    </w:div>
    <w:div w:id="1203441065">
      <w:bodyDiv w:val="1"/>
      <w:marLeft w:val="0"/>
      <w:marRight w:val="0"/>
      <w:marTop w:val="0"/>
      <w:marBottom w:val="0"/>
      <w:divBdr>
        <w:top w:val="none" w:sz="0" w:space="0" w:color="auto"/>
        <w:left w:val="none" w:sz="0" w:space="0" w:color="auto"/>
        <w:bottom w:val="none" w:sz="0" w:space="0" w:color="auto"/>
        <w:right w:val="none" w:sz="0" w:space="0" w:color="auto"/>
      </w:divBdr>
    </w:div>
    <w:div w:id="1251426547">
      <w:bodyDiv w:val="1"/>
      <w:marLeft w:val="0"/>
      <w:marRight w:val="0"/>
      <w:marTop w:val="0"/>
      <w:marBottom w:val="0"/>
      <w:divBdr>
        <w:top w:val="none" w:sz="0" w:space="0" w:color="auto"/>
        <w:left w:val="none" w:sz="0" w:space="0" w:color="auto"/>
        <w:bottom w:val="none" w:sz="0" w:space="0" w:color="auto"/>
        <w:right w:val="none" w:sz="0" w:space="0" w:color="auto"/>
      </w:divBdr>
    </w:div>
    <w:div w:id="1256327295">
      <w:bodyDiv w:val="1"/>
      <w:marLeft w:val="0"/>
      <w:marRight w:val="0"/>
      <w:marTop w:val="0"/>
      <w:marBottom w:val="0"/>
      <w:divBdr>
        <w:top w:val="none" w:sz="0" w:space="0" w:color="auto"/>
        <w:left w:val="none" w:sz="0" w:space="0" w:color="auto"/>
        <w:bottom w:val="none" w:sz="0" w:space="0" w:color="auto"/>
        <w:right w:val="none" w:sz="0" w:space="0" w:color="auto"/>
      </w:divBdr>
    </w:div>
    <w:div w:id="1258439569">
      <w:bodyDiv w:val="1"/>
      <w:marLeft w:val="0"/>
      <w:marRight w:val="0"/>
      <w:marTop w:val="0"/>
      <w:marBottom w:val="0"/>
      <w:divBdr>
        <w:top w:val="none" w:sz="0" w:space="0" w:color="auto"/>
        <w:left w:val="none" w:sz="0" w:space="0" w:color="auto"/>
        <w:bottom w:val="none" w:sz="0" w:space="0" w:color="auto"/>
        <w:right w:val="none" w:sz="0" w:space="0" w:color="auto"/>
      </w:divBdr>
    </w:div>
    <w:div w:id="1295788709">
      <w:bodyDiv w:val="1"/>
      <w:marLeft w:val="0"/>
      <w:marRight w:val="0"/>
      <w:marTop w:val="0"/>
      <w:marBottom w:val="0"/>
      <w:divBdr>
        <w:top w:val="none" w:sz="0" w:space="0" w:color="auto"/>
        <w:left w:val="none" w:sz="0" w:space="0" w:color="auto"/>
        <w:bottom w:val="none" w:sz="0" w:space="0" w:color="auto"/>
        <w:right w:val="none" w:sz="0" w:space="0" w:color="auto"/>
      </w:divBdr>
    </w:div>
    <w:div w:id="1319188142">
      <w:bodyDiv w:val="1"/>
      <w:marLeft w:val="0"/>
      <w:marRight w:val="0"/>
      <w:marTop w:val="0"/>
      <w:marBottom w:val="0"/>
      <w:divBdr>
        <w:top w:val="none" w:sz="0" w:space="0" w:color="auto"/>
        <w:left w:val="none" w:sz="0" w:space="0" w:color="auto"/>
        <w:bottom w:val="none" w:sz="0" w:space="0" w:color="auto"/>
        <w:right w:val="none" w:sz="0" w:space="0" w:color="auto"/>
      </w:divBdr>
    </w:div>
    <w:div w:id="1347825563">
      <w:bodyDiv w:val="1"/>
      <w:marLeft w:val="0"/>
      <w:marRight w:val="0"/>
      <w:marTop w:val="0"/>
      <w:marBottom w:val="0"/>
      <w:divBdr>
        <w:top w:val="none" w:sz="0" w:space="0" w:color="auto"/>
        <w:left w:val="none" w:sz="0" w:space="0" w:color="auto"/>
        <w:bottom w:val="none" w:sz="0" w:space="0" w:color="auto"/>
        <w:right w:val="none" w:sz="0" w:space="0" w:color="auto"/>
      </w:divBdr>
    </w:div>
    <w:div w:id="1353724999">
      <w:bodyDiv w:val="1"/>
      <w:marLeft w:val="0"/>
      <w:marRight w:val="0"/>
      <w:marTop w:val="0"/>
      <w:marBottom w:val="0"/>
      <w:divBdr>
        <w:top w:val="none" w:sz="0" w:space="0" w:color="auto"/>
        <w:left w:val="none" w:sz="0" w:space="0" w:color="auto"/>
        <w:bottom w:val="none" w:sz="0" w:space="0" w:color="auto"/>
        <w:right w:val="none" w:sz="0" w:space="0" w:color="auto"/>
      </w:divBdr>
    </w:div>
    <w:div w:id="1366981232">
      <w:bodyDiv w:val="1"/>
      <w:marLeft w:val="0"/>
      <w:marRight w:val="0"/>
      <w:marTop w:val="0"/>
      <w:marBottom w:val="0"/>
      <w:divBdr>
        <w:top w:val="none" w:sz="0" w:space="0" w:color="auto"/>
        <w:left w:val="none" w:sz="0" w:space="0" w:color="auto"/>
        <w:bottom w:val="none" w:sz="0" w:space="0" w:color="auto"/>
        <w:right w:val="none" w:sz="0" w:space="0" w:color="auto"/>
      </w:divBdr>
    </w:div>
    <w:div w:id="1391221935">
      <w:bodyDiv w:val="1"/>
      <w:marLeft w:val="0"/>
      <w:marRight w:val="0"/>
      <w:marTop w:val="0"/>
      <w:marBottom w:val="0"/>
      <w:divBdr>
        <w:top w:val="none" w:sz="0" w:space="0" w:color="auto"/>
        <w:left w:val="none" w:sz="0" w:space="0" w:color="auto"/>
        <w:bottom w:val="none" w:sz="0" w:space="0" w:color="auto"/>
        <w:right w:val="none" w:sz="0" w:space="0" w:color="auto"/>
      </w:divBdr>
    </w:div>
    <w:div w:id="1419014103">
      <w:bodyDiv w:val="1"/>
      <w:marLeft w:val="0"/>
      <w:marRight w:val="0"/>
      <w:marTop w:val="0"/>
      <w:marBottom w:val="0"/>
      <w:divBdr>
        <w:top w:val="none" w:sz="0" w:space="0" w:color="auto"/>
        <w:left w:val="none" w:sz="0" w:space="0" w:color="auto"/>
        <w:bottom w:val="none" w:sz="0" w:space="0" w:color="auto"/>
        <w:right w:val="none" w:sz="0" w:space="0" w:color="auto"/>
      </w:divBdr>
    </w:div>
    <w:div w:id="1450973794">
      <w:bodyDiv w:val="1"/>
      <w:marLeft w:val="0"/>
      <w:marRight w:val="0"/>
      <w:marTop w:val="0"/>
      <w:marBottom w:val="0"/>
      <w:divBdr>
        <w:top w:val="none" w:sz="0" w:space="0" w:color="auto"/>
        <w:left w:val="none" w:sz="0" w:space="0" w:color="auto"/>
        <w:bottom w:val="none" w:sz="0" w:space="0" w:color="auto"/>
        <w:right w:val="none" w:sz="0" w:space="0" w:color="auto"/>
      </w:divBdr>
    </w:div>
    <w:div w:id="1583641268">
      <w:bodyDiv w:val="1"/>
      <w:marLeft w:val="0"/>
      <w:marRight w:val="0"/>
      <w:marTop w:val="0"/>
      <w:marBottom w:val="0"/>
      <w:divBdr>
        <w:top w:val="none" w:sz="0" w:space="0" w:color="auto"/>
        <w:left w:val="none" w:sz="0" w:space="0" w:color="auto"/>
        <w:bottom w:val="none" w:sz="0" w:space="0" w:color="auto"/>
        <w:right w:val="none" w:sz="0" w:space="0" w:color="auto"/>
      </w:divBdr>
      <w:divsChild>
        <w:div w:id="1341009472">
          <w:marLeft w:val="0"/>
          <w:marRight w:val="0"/>
          <w:marTop w:val="0"/>
          <w:marBottom w:val="0"/>
          <w:divBdr>
            <w:top w:val="none" w:sz="0" w:space="0" w:color="auto"/>
            <w:left w:val="none" w:sz="0" w:space="0" w:color="auto"/>
            <w:bottom w:val="none" w:sz="0" w:space="0" w:color="auto"/>
            <w:right w:val="none" w:sz="0" w:space="0" w:color="auto"/>
          </w:divBdr>
        </w:div>
        <w:div w:id="1486971040">
          <w:marLeft w:val="0"/>
          <w:marRight w:val="0"/>
          <w:marTop w:val="0"/>
          <w:marBottom w:val="0"/>
          <w:divBdr>
            <w:top w:val="none" w:sz="0" w:space="0" w:color="auto"/>
            <w:left w:val="none" w:sz="0" w:space="0" w:color="auto"/>
            <w:bottom w:val="none" w:sz="0" w:space="0" w:color="auto"/>
            <w:right w:val="none" w:sz="0" w:space="0" w:color="auto"/>
          </w:divBdr>
        </w:div>
        <w:div w:id="1822698296">
          <w:marLeft w:val="0"/>
          <w:marRight w:val="0"/>
          <w:marTop w:val="0"/>
          <w:marBottom w:val="0"/>
          <w:divBdr>
            <w:top w:val="none" w:sz="0" w:space="0" w:color="auto"/>
            <w:left w:val="none" w:sz="0" w:space="0" w:color="auto"/>
            <w:bottom w:val="none" w:sz="0" w:space="0" w:color="auto"/>
            <w:right w:val="none" w:sz="0" w:space="0" w:color="auto"/>
          </w:divBdr>
        </w:div>
      </w:divsChild>
    </w:div>
    <w:div w:id="1590501646">
      <w:bodyDiv w:val="1"/>
      <w:marLeft w:val="0"/>
      <w:marRight w:val="0"/>
      <w:marTop w:val="0"/>
      <w:marBottom w:val="0"/>
      <w:divBdr>
        <w:top w:val="none" w:sz="0" w:space="0" w:color="auto"/>
        <w:left w:val="none" w:sz="0" w:space="0" w:color="auto"/>
        <w:bottom w:val="none" w:sz="0" w:space="0" w:color="auto"/>
        <w:right w:val="none" w:sz="0" w:space="0" w:color="auto"/>
      </w:divBdr>
    </w:div>
    <w:div w:id="1631354454">
      <w:bodyDiv w:val="1"/>
      <w:marLeft w:val="0"/>
      <w:marRight w:val="0"/>
      <w:marTop w:val="0"/>
      <w:marBottom w:val="0"/>
      <w:divBdr>
        <w:top w:val="none" w:sz="0" w:space="0" w:color="auto"/>
        <w:left w:val="none" w:sz="0" w:space="0" w:color="auto"/>
        <w:bottom w:val="none" w:sz="0" w:space="0" w:color="auto"/>
        <w:right w:val="none" w:sz="0" w:space="0" w:color="auto"/>
      </w:divBdr>
    </w:div>
    <w:div w:id="1669556968">
      <w:bodyDiv w:val="1"/>
      <w:marLeft w:val="0"/>
      <w:marRight w:val="0"/>
      <w:marTop w:val="0"/>
      <w:marBottom w:val="0"/>
      <w:divBdr>
        <w:top w:val="none" w:sz="0" w:space="0" w:color="auto"/>
        <w:left w:val="none" w:sz="0" w:space="0" w:color="auto"/>
        <w:bottom w:val="none" w:sz="0" w:space="0" w:color="auto"/>
        <w:right w:val="none" w:sz="0" w:space="0" w:color="auto"/>
      </w:divBdr>
    </w:div>
    <w:div w:id="1717393910">
      <w:bodyDiv w:val="1"/>
      <w:marLeft w:val="0"/>
      <w:marRight w:val="0"/>
      <w:marTop w:val="0"/>
      <w:marBottom w:val="0"/>
      <w:divBdr>
        <w:top w:val="none" w:sz="0" w:space="0" w:color="auto"/>
        <w:left w:val="none" w:sz="0" w:space="0" w:color="auto"/>
        <w:bottom w:val="none" w:sz="0" w:space="0" w:color="auto"/>
        <w:right w:val="none" w:sz="0" w:space="0" w:color="auto"/>
      </w:divBdr>
    </w:div>
    <w:div w:id="1836726443">
      <w:bodyDiv w:val="1"/>
      <w:marLeft w:val="0"/>
      <w:marRight w:val="0"/>
      <w:marTop w:val="0"/>
      <w:marBottom w:val="0"/>
      <w:divBdr>
        <w:top w:val="none" w:sz="0" w:space="0" w:color="auto"/>
        <w:left w:val="none" w:sz="0" w:space="0" w:color="auto"/>
        <w:bottom w:val="none" w:sz="0" w:space="0" w:color="auto"/>
        <w:right w:val="none" w:sz="0" w:space="0" w:color="auto"/>
      </w:divBdr>
    </w:div>
    <w:div w:id="1886409686">
      <w:bodyDiv w:val="1"/>
      <w:marLeft w:val="0"/>
      <w:marRight w:val="0"/>
      <w:marTop w:val="0"/>
      <w:marBottom w:val="0"/>
      <w:divBdr>
        <w:top w:val="none" w:sz="0" w:space="0" w:color="auto"/>
        <w:left w:val="none" w:sz="0" w:space="0" w:color="auto"/>
        <w:bottom w:val="none" w:sz="0" w:space="0" w:color="auto"/>
        <w:right w:val="none" w:sz="0" w:space="0" w:color="auto"/>
      </w:divBdr>
    </w:div>
    <w:div w:id="1927302974">
      <w:bodyDiv w:val="1"/>
      <w:marLeft w:val="0"/>
      <w:marRight w:val="0"/>
      <w:marTop w:val="0"/>
      <w:marBottom w:val="0"/>
      <w:divBdr>
        <w:top w:val="none" w:sz="0" w:space="0" w:color="auto"/>
        <w:left w:val="none" w:sz="0" w:space="0" w:color="auto"/>
        <w:bottom w:val="none" w:sz="0" w:space="0" w:color="auto"/>
        <w:right w:val="none" w:sz="0" w:space="0" w:color="auto"/>
      </w:divBdr>
    </w:div>
    <w:div w:id="1960841624">
      <w:bodyDiv w:val="1"/>
      <w:marLeft w:val="0"/>
      <w:marRight w:val="0"/>
      <w:marTop w:val="0"/>
      <w:marBottom w:val="0"/>
      <w:divBdr>
        <w:top w:val="none" w:sz="0" w:space="0" w:color="auto"/>
        <w:left w:val="none" w:sz="0" w:space="0" w:color="auto"/>
        <w:bottom w:val="none" w:sz="0" w:space="0" w:color="auto"/>
        <w:right w:val="none" w:sz="0" w:space="0" w:color="auto"/>
      </w:divBdr>
    </w:div>
    <w:div w:id="2038851689">
      <w:bodyDiv w:val="1"/>
      <w:marLeft w:val="0"/>
      <w:marRight w:val="0"/>
      <w:marTop w:val="0"/>
      <w:marBottom w:val="0"/>
      <w:divBdr>
        <w:top w:val="none" w:sz="0" w:space="0" w:color="auto"/>
        <w:left w:val="none" w:sz="0" w:space="0" w:color="auto"/>
        <w:bottom w:val="none" w:sz="0" w:space="0" w:color="auto"/>
        <w:right w:val="none" w:sz="0" w:space="0" w:color="auto"/>
      </w:divBdr>
    </w:div>
    <w:div w:id="2079479606">
      <w:bodyDiv w:val="1"/>
      <w:marLeft w:val="0"/>
      <w:marRight w:val="0"/>
      <w:marTop w:val="0"/>
      <w:marBottom w:val="0"/>
      <w:divBdr>
        <w:top w:val="none" w:sz="0" w:space="0" w:color="auto"/>
        <w:left w:val="none" w:sz="0" w:space="0" w:color="auto"/>
        <w:bottom w:val="none" w:sz="0" w:space="0" w:color="auto"/>
        <w:right w:val="none" w:sz="0" w:space="0" w:color="auto"/>
      </w:divBdr>
    </w:div>
    <w:div w:id="2136097758">
      <w:bodyDiv w:val="1"/>
      <w:marLeft w:val="0"/>
      <w:marRight w:val="0"/>
      <w:marTop w:val="0"/>
      <w:marBottom w:val="0"/>
      <w:divBdr>
        <w:top w:val="none" w:sz="0" w:space="0" w:color="auto"/>
        <w:left w:val="none" w:sz="0" w:space="0" w:color="auto"/>
        <w:bottom w:val="none" w:sz="0" w:space="0" w:color="auto"/>
        <w:right w:val="none" w:sz="0" w:space="0" w:color="auto"/>
      </w:divBdr>
    </w:div>
    <w:div w:id="2146048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3369</TotalTime>
  <Pages>5</Pages>
  <Words>1701</Words>
  <Characters>10127</Characters>
  <Application>Microsoft Office Word</Application>
  <DocSecurity>0</DocSecurity>
  <Lines>220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Zoe Quick</cp:lastModifiedBy>
  <cp:revision>946</cp:revision>
  <dcterms:created xsi:type="dcterms:W3CDTF">2024-10-09T15:58:00Z</dcterms:created>
  <dcterms:modified xsi:type="dcterms:W3CDTF">2025-10-08T11:45:00Z</dcterms:modified>
</cp:coreProperties>
</file>