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ADEB" w14:textId="69D1EF48" w:rsidR="00E0619E" w:rsidRDefault="00C242C7">
      <w:pPr>
        <w:rPr>
          <w:rFonts w:eastAsia="Aptos" w:cs="Times New Roman"/>
          <w:kern w:val="0"/>
          <w14:ligatures w14:val="none"/>
        </w:rPr>
      </w:pPr>
      <w:r w:rsidRPr="00C242C7">
        <w:rPr>
          <w:rFonts w:eastAsia="Aptos" w:cs="Times New Roman"/>
          <w:b/>
          <w:bCs/>
          <w:kern w:val="0"/>
          <w14:ligatures w14:val="none"/>
        </w:rPr>
        <w:t>Recommendations:</w:t>
      </w:r>
      <w:r w:rsidRPr="00C242C7">
        <w:rPr>
          <w:rFonts w:eastAsia="Aptos" w:cs="Times New Roman"/>
          <w:kern w:val="0"/>
          <w14:ligatures w14:val="none"/>
        </w:rPr>
        <w:br/>
      </w:r>
      <w:r w:rsidRPr="00C242C7">
        <w:rPr>
          <w:rFonts w:ascii="Segoe UI Emoji" w:eastAsia="Aptos" w:hAnsi="Segoe UI Emoji" w:cs="Segoe UI Emoji"/>
          <w:kern w:val="0"/>
          <w14:ligatures w14:val="none"/>
        </w:rPr>
        <w:t>✔️</w:t>
      </w:r>
      <w:r w:rsidRPr="00C242C7">
        <w:rPr>
          <w:rFonts w:eastAsia="Aptos" w:cs="Times New Roman"/>
          <w:kern w:val="0"/>
          <w14:ligatures w14:val="none"/>
        </w:rPr>
        <w:t xml:space="preserve"> </w:t>
      </w:r>
      <w:r w:rsidRPr="00C242C7">
        <w:rPr>
          <w:rFonts w:eastAsia="Aptos" w:cs="Times New Roman"/>
          <w:b/>
          <w:bCs/>
          <w:kern w:val="0"/>
          <w14:ligatures w14:val="none"/>
        </w:rPr>
        <w:t>Monitor late payment patterns</w:t>
      </w:r>
      <w:r w:rsidRPr="00C242C7">
        <w:rPr>
          <w:rFonts w:eastAsia="Aptos" w:cs="Times New Roman"/>
          <w:kern w:val="0"/>
          <w14:ligatures w14:val="none"/>
        </w:rPr>
        <w:t xml:space="preserve"> – customers who consistently pay late but do not default could benefit from proactive engagement.</w:t>
      </w:r>
      <w:r w:rsidRPr="00C242C7">
        <w:rPr>
          <w:rFonts w:eastAsia="Aptos" w:cs="Times New Roman"/>
          <w:kern w:val="0"/>
          <w14:ligatures w14:val="none"/>
        </w:rPr>
        <w:br/>
      </w:r>
      <w:r w:rsidRPr="00C242C7">
        <w:rPr>
          <w:rFonts w:ascii="Segoe UI Emoji" w:eastAsia="Aptos" w:hAnsi="Segoe UI Emoji" w:cs="Segoe UI Emoji"/>
          <w:kern w:val="0"/>
          <w14:ligatures w14:val="none"/>
        </w:rPr>
        <w:t>✔️</w:t>
      </w:r>
      <w:r w:rsidRPr="00C242C7">
        <w:rPr>
          <w:rFonts w:eastAsia="Aptos" w:cs="Times New Roman"/>
          <w:kern w:val="0"/>
          <w14:ligatures w14:val="none"/>
        </w:rPr>
        <w:t xml:space="preserve"> </w:t>
      </w:r>
      <w:r w:rsidRPr="00C242C7">
        <w:rPr>
          <w:rFonts w:eastAsia="Aptos" w:cs="Times New Roman"/>
          <w:b/>
          <w:bCs/>
          <w:kern w:val="0"/>
          <w14:ligatures w14:val="none"/>
        </w:rPr>
        <w:t>Identify high-risk customer interactions</w:t>
      </w:r>
      <w:r w:rsidRPr="00C242C7">
        <w:rPr>
          <w:rFonts w:eastAsia="Aptos" w:cs="Times New Roman"/>
          <w:kern w:val="0"/>
          <w14:ligatures w14:val="none"/>
        </w:rPr>
        <w:t xml:space="preserve"> – frequent account logins or repeated payment extension requests may indicate financial strain</w:t>
      </w:r>
    </w:p>
    <w:p w14:paraId="6CEFA161" w14:textId="77777777" w:rsidR="00C242C7" w:rsidRDefault="00C242C7">
      <w:pPr>
        <w:rPr>
          <w:rFonts w:eastAsia="Aptos" w:cs="Times New Roman"/>
          <w:kern w:val="0"/>
          <w14:ligatures w14:val="none"/>
        </w:rPr>
      </w:pPr>
    </w:p>
    <w:p w14:paraId="242A2500" w14:textId="77777777" w:rsidR="00C242C7" w:rsidRPr="00C242C7" w:rsidRDefault="00C242C7" w:rsidP="00C242C7">
      <w:pPr>
        <w:spacing w:line="256" w:lineRule="auto"/>
        <w:rPr>
          <w:rFonts w:eastAsia="Aptos" w:cs="Sans Serif Collection"/>
          <w:color w:val="262626"/>
        </w:rPr>
      </w:pPr>
      <w:r w:rsidRPr="00C242C7">
        <w:rPr>
          <w:rFonts w:eastAsia="Aptos" w:cs="Sans Serif Collection"/>
          <w:b/>
          <w:bCs/>
          <w:color w:val="262626"/>
        </w:rPr>
        <w:t>Recommendations:</w:t>
      </w:r>
      <w:r w:rsidRPr="00C242C7">
        <w:rPr>
          <w:rFonts w:eastAsia="Aptos" w:cs="Sans Serif Collection"/>
          <w:color w:val="262626"/>
        </w:rPr>
        <w:br/>
      </w:r>
      <w:r w:rsidRPr="00C242C7">
        <w:rPr>
          <w:rFonts w:ascii="Segoe UI Emoji" w:eastAsia="Aptos" w:hAnsi="Segoe UI Emoji" w:cs="Segoe UI Emoji"/>
          <w:color w:val="262626"/>
        </w:rPr>
        <w:t>✔️</w:t>
      </w:r>
      <w:r w:rsidRPr="00C242C7">
        <w:rPr>
          <w:rFonts w:eastAsia="Aptos" w:cs="Sans Serif Collection"/>
          <w:color w:val="262626"/>
        </w:rPr>
        <w:t xml:space="preserve"> </w:t>
      </w:r>
      <w:r w:rsidRPr="00C242C7">
        <w:rPr>
          <w:rFonts w:eastAsia="Aptos" w:cs="Sans Serif Collection"/>
          <w:b/>
          <w:bCs/>
          <w:color w:val="262626"/>
        </w:rPr>
        <w:t>Analyse arrears rates for vulnerable customers</w:t>
      </w:r>
      <w:r w:rsidRPr="00C242C7">
        <w:rPr>
          <w:rFonts w:eastAsia="Aptos" w:cs="Sans Serif Collection"/>
          <w:color w:val="262626"/>
        </w:rPr>
        <w:t xml:space="preserve"> – do they enter arrears at higher rates than others?</w:t>
      </w:r>
      <w:r w:rsidRPr="00C242C7">
        <w:rPr>
          <w:rFonts w:eastAsia="Aptos" w:cs="Sans Serif Collection"/>
          <w:color w:val="262626"/>
        </w:rPr>
        <w:br/>
      </w:r>
      <w:r w:rsidRPr="00C242C7">
        <w:rPr>
          <w:rFonts w:ascii="Segoe UI Emoji" w:eastAsia="Aptos" w:hAnsi="Segoe UI Emoji" w:cs="Segoe UI Emoji"/>
          <w:color w:val="262626"/>
        </w:rPr>
        <w:t>✔️</w:t>
      </w:r>
      <w:r w:rsidRPr="00C242C7">
        <w:rPr>
          <w:rFonts w:eastAsia="Aptos" w:cs="Sans Serif Collection"/>
          <w:color w:val="262626"/>
        </w:rPr>
        <w:t xml:space="preserve"> </w:t>
      </w:r>
      <w:r w:rsidRPr="00C242C7">
        <w:rPr>
          <w:rFonts w:eastAsia="Aptos" w:cs="Sans Serif Collection"/>
          <w:b/>
          <w:bCs/>
          <w:color w:val="262626"/>
        </w:rPr>
        <w:t>Assess complaint resolution times</w:t>
      </w:r>
      <w:r w:rsidRPr="00C242C7">
        <w:rPr>
          <w:rFonts w:eastAsia="Aptos" w:cs="Sans Serif Collection"/>
          <w:color w:val="262626"/>
        </w:rPr>
        <w:t xml:space="preserve"> – ensure vulnerable customers are not waiting longer for responses.</w:t>
      </w:r>
      <w:r w:rsidRPr="00C242C7">
        <w:rPr>
          <w:rFonts w:eastAsia="Aptos" w:cs="Sans Serif Collection"/>
          <w:color w:val="262626"/>
        </w:rPr>
        <w:br/>
      </w:r>
      <w:r w:rsidRPr="00C242C7">
        <w:rPr>
          <w:rFonts w:ascii="Segoe UI Emoji" w:eastAsia="Aptos" w:hAnsi="Segoe UI Emoji" w:cs="Segoe UI Emoji"/>
          <w:color w:val="262626"/>
        </w:rPr>
        <w:t>✔️</w:t>
      </w:r>
      <w:r w:rsidRPr="00C242C7">
        <w:rPr>
          <w:rFonts w:eastAsia="Aptos" w:cs="Sans Serif Collection"/>
          <w:color w:val="262626"/>
        </w:rPr>
        <w:t xml:space="preserve"> </w:t>
      </w:r>
      <w:r w:rsidRPr="00C242C7">
        <w:rPr>
          <w:rFonts w:eastAsia="Aptos" w:cs="Sans Serif Collection"/>
          <w:b/>
          <w:bCs/>
          <w:color w:val="262626"/>
        </w:rPr>
        <w:t>Introduce a quarterly review of vulnerable customer cases</w:t>
      </w:r>
      <w:r w:rsidRPr="00C242C7">
        <w:rPr>
          <w:rFonts w:eastAsia="Aptos" w:cs="Sans Serif Collection"/>
          <w:color w:val="262626"/>
        </w:rPr>
        <w:t xml:space="preserve"> to track progress and identify any required policy adjustments.</w:t>
      </w:r>
    </w:p>
    <w:p w14:paraId="1B882E06" w14:textId="77777777" w:rsidR="00C242C7" w:rsidRDefault="00C242C7"/>
    <w:p w14:paraId="49C28861" w14:textId="0CD17A2B" w:rsidR="00C242C7" w:rsidRDefault="00C242C7">
      <w:pPr>
        <w:rPr>
          <w:rFonts w:eastAsia="Aptos" w:cs="Times New Roman"/>
          <w:kern w:val="0"/>
          <w14:ligatures w14:val="none"/>
        </w:rPr>
      </w:pPr>
      <w:r w:rsidRPr="00C242C7">
        <w:rPr>
          <w:rFonts w:eastAsia="Aptos" w:cs="Times New Roman"/>
          <w:b/>
          <w:bCs/>
          <w:kern w:val="0"/>
          <w14:ligatures w14:val="none"/>
        </w:rPr>
        <w:t>Recommendations:</w:t>
      </w:r>
      <w:r w:rsidRPr="00C242C7">
        <w:rPr>
          <w:rFonts w:eastAsia="Aptos" w:cs="Times New Roman"/>
          <w:kern w:val="0"/>
          <w14:ligatures w14:val="none"/>
        </w:rPr>
        <w:br/>
      </w:r>
      <w:r w:rsidRPr="00C242C7">
        <w:rPr>
          <w:rFonts w:ascii="Segoe UI Emoji" w:eastAsia="Aptos" w:hAnsi="Segoe UI Emoji" w:cs="Segoe UI Emoji"/>
          <w:kern w:val="0"/>
          <w14:ligatures w14:val="none"/>
        </w:rPr>
        <w:t>✔️</w:t>
      </w:r>
      <w:r w:rsidRPr="00C242C7">
        <w:rPr>
          <w:rFonts w:eastAsia="Aptos" w:cs="Times New Roman"/>
          <w:kern w:val="0"/>
          <w14:ligatures w14:val="none"/>
        </w:rPr>
        <w:t xml:space="preserve"> </w:t>
      </w:r>
      <w:r w:rsidRPr="00C242C7">
        <w:rPr>
          <w:rFonts w:eastAsia="Aptos" w:cs="Times New Roman"/>
          <w:b/>
          <w:bCs/>
          <w:kern w:val="0"/>
          <w14:ligatures w14:val="none"/>
        </w:rPr>
        <w:t>Introduce annual refresher training</w:t>
      </w:r>
      <w:r w:rsidRPr="00C242C7">
        <w:rPr>
          <w:rFonts w:eastAsia="Aptos" w:cs="Times New Roman"/>
          <w:kern w:val="0"/>
          <w14:ligatures w14:val="none"/>
        </w:rPr>
        <w:t xml:space="preserve"> – including assessments or case study reviews.</w:t>
      </w:r>
      <w:r w:rsidRPr="00C242C7">
        <w:rPr>
          <w:rFonts w:eastAsia="Aptos" w:cs="Times New Roman"/>
          <w:kern w:val="0"/>
          <w14:ligatures w14:val="none"/>
        </w:rPr>
        <w:br/>
      </w:r>
      <w:r w:rsidRPr="00C242C7">
        <w:rPr>
          <w:rFonts w:ascii="Segoe UI Emoji" w:eastAsia="Aptos" w:hAnsi="Segoe UI Emoji" w:cs="Segoe UI Emoji"/>
          <w:kern w:val="0"/>
          <w14:ligatures w14:val="none"/>
        </w:rPr>
        <w:t>✔️</w:t>
      </w:r>
      <w:r w:rsidRPr="00C242C7">
        <w:rPr>
          <w:rFonts w:eastAsia="Aptos" w:cs="Times New Roman"/>
          <w:kern w:val="0"/>
          <w14:ligatures w14:val="none"/>
        </w:rPr>
        <w:t xml:space="preserve"> </w:t>
      </w:r>
      <w:r w:rsidRPr="00C242C7">
        <w:rPr>
          <w:rFonts w:eastAsia="Aptos" w:cs="Times New Roman"/>
          <w:b/>
          <w:bCs/>
          <w:kern w:val="0"/>
          <w14:ligatures w14:val="none"/>
        </w:rPr>
        <w:t>Expand real-life case study training</w:t>
      </w:r>
      <w:r w:rsidRPr="00C242C7">
        <w:rPr>
          <w:rFonts w:eastAsia="Aptos" w:cs="Times New Roman"/>
          <w:kern w:val="0"/>
          <w14:ligatures w14:val="none"/>
        </w:rPr>
        <w:t xml:space="preserve"> – anonymised customer interactions could provide deeper insights</w:t>
      </w:r>
    </w:p>
    <w:p w14:paraId="4FBCD247" w14:textId="77777777" w:rsidR="00C242C7" w:rsidRDefault="00C242C7">
      <w:pPr>
        <w:rPr>
          <w:rFonts w:eastAsia="Aptos" w:cs="Times New Roman"/>
          <w:kern w:val="0"/>
          <w14:ligatures w14:val="none"/>
        </w:rPr>
      </w:pPr>
    </w:p>
    <w:p w14:paraId="207053F4" w14:textId="77777777" w:rsidR="00C242C7" w:rsidRPr="00C242C7" w:rsidRDefault="00C242C7" w:rsidP="00C242C7">
      <w:pPr>
        <w:spacing w:line="256" w:lineRule="auto"/>
        <w:rPr>
          <w:rFonts w:eastAsia="Aptos" w:cs="Sans Serif Collection"/>
          <w:b/>
          <w:bCs/>
          <w:color w:val="262626"/>
        </w:rPr>
      </w:pPr>
      <w:r w:rsidRPr="00C242C7">
        <w:rPr>
          <w:rFonts w:eastAsia="Aptos" w:cs="Sans Serif Collection"/>
          <w:b/>
          <w:bCs/>
          <w:color w:val="262626"/>
        </w:rPr>
        <w:t>Next Steps for SLPL</w:t>
      </w:r>
    </w:p>
    <w:p w14:paraId="10517503" w14:textId="77777777" w:rsidR="00C242C7" w:rsidRPr="00C242C7" w:rsidRDefault="00C242C7" w:rsidP="00C242C7">
      <w:pPr>
        <w:spacing w:line="256" w:lineRule="auto"/>
        <w:rPr>
          <w:rFonts w:eastAsia="Aptos" w:cs="Sans Serif Collection"/>
          <w:b/>
          <w:bCs/>
          <w:color w:val="262626"/>
        </w:rPr>
      </w:pPr>
      <w:r w:rsidRPr="00C242C7">
        <w:rPr>
          <w:rFonts w:eastAsia="Aptos" w:cs="Sans Serif Collection"/>
          <w:b/>
          <w:bCs/>
          <w:color w:val="262626"/>
        </w:rPr>
        <w:t>Immediate (Next 3 Months)</w:t>
      </w:r>
    </w:p>
    <w:p w14:paraId="20029E80" w14:textId="77777777" w:rsidR="00C242C7" w:rsidRPr="00C242C7" w:rsidRDefault="00C242C7" w:rsidP="00C242C7">
      <w:pPr>
        <w:spacing w:line="256" w:lineRule="auto"/>
        <w:rPr>
          <w:rFonts w:eastAsia="Aptos" w:cs="Sans Serif Collection"/>
          <w:color w:val="262626"/>
        </w:rPr>
      </w:pPr>
      <w:r w:rsidRPr="00C242C7">
        <w:rPr>
          <w:rFonts w:ascii="Segoe UI Emoji" w:eastAsia="Aptos" w:hAnsi="Segoe UI Emoji" w:cs="Segoe UI Emoji"/>
          <w:color w:val="262626"/>
        </w:rPr>
        <w:t>✔️</w:t>
      </w:r>
      <w:r w:rsidRPr="00C242C7">
        <w:rPr>
          <w:rFonts w:eastAsia="Aptos" w:cs="Sans Serif Collection"/>
          <w:color w:val="262626"/>
        </w:rPr>
        <w:t xml:space="preserve"> </w:t>
      </w:r>
      <w:r w:rsidRPr="00C242C7">
        <w:rPr>
          <w:rFonts w:eastAsia="Aptos" w:cs="Sans Serif Collection"/>
          <w:b/>
          <w:bCs/>
          <w:color w:val="262626"/>
        </w:rPr>
        <w:t>Review vulnerable customer outcomes</w:t>
      </w:r>
      <w:r w:rsidRPr="00C242C7">
        <w:rPr>
          <w:rFonts w:eastAsia="Aptos" w:cs="Sans Serif Collection"/>
          <w:color w:val="262626"/>
        </w:rPr>
        <w:t xml:space="preserve"> – compare arrears and complaint resolution data for vulnerable vs. non-vulnerable customers.</w:t>
      </w:r>
      <w:r w:rsidRPr="00C242C7">
        <w:rPr>
          <w:rFonts w:eastAsia="Aptos" w:cs="Sans Serif Collection"/>
          <w:color w:val="262626"/>
        </w:rPr>
        <w:br/>
      </w:r>
      <w:r w:rsidRPr="00C242C7">
        <w:rPr>
          <w:rFonts w:ascii="Segoe UI Emoji" w:eastAsia="Aptos" w:hAnsi="Segoe UI Emoji" w:cs="Segoe UI Emoji"/>
          <w:color w:val="262626"/>
        </w:rPr>
        <w:t>✔️</w:t>
      </w:r>
      <w:r w:rsidRPr="00C242C7">
        <w:rPr>
          <w:rFonts w:eastAsia="Aptos" w:cs="Sans Serif Collection"/>
          <w:color w:val="262626"/>
        </w:rPr>
        <w:t xml:space="preserve"> </w:t>
      </w:r>
      <w:r w:rsidRPr="00C242C7">
        <w:rPr>
          <w:rFonts w:eastAsia="Aptos" w:cs="Sans Serif Collection"/>
          <w:b/>
          <w:bCs/>
          <w:color w:val="262626"/>
        </w:rPr>
        <w:t>Enhance internal data monitoring</w:t>
      </w:r>
      <w:r w:rsidRPr="00C242C7">
        <w:rPr>
          <w:rFonts w:eastAsia="Aptos" w:cs="Sans Serif Collection"/>
          <w:color w:val="262626"/>
        </w:rPr>
        <w:t xml:space="preserve"> – flag early distress signals based on </w:t>
      </w:r>
      <w:r w:rsidRPr="00C242C7">
        <w:rPr>
          <w:rFonts w:eastAsia="Aptos" w:cs="Sans Serif Collection"/>
          <w:b/>
          <w:bCs/>
          <w:color w:val="262626"/>
        </w:rPr>
        <w:t>late payments, payment extensions, or increased customer interactions</w:t>
      </w:r>
      <w:r w:rsidRPr="00C242C7">
        <w:rPr>
          <w:rFonts w:eastAsia="Aptos" w:cs="Sans Serif Collection"/>
          <w:color w:val="262626"/>
        </w:rPr>
        <w:t>.</w:t>
      </w:r>
      <w:r w:rsidRPr="00C242C7">
        <w:rPr>
          <w:rFonts w:eastAsia="Aptos" w:cs="Sans Serif Collection"/>
          <w:color w:val="262626"/>
        </w:rPr>
        <w:br/>
      </w:r>
      <w:r w:rsidRPr="00C242C7">
        <w:rPr>
          <w:rFonts w:ascii="Segoe UI Emoji" w:eastAsia="Aptos" w:hAnsi="Segoe UI Emoji" w:cs="Segoe UI Emoji"/>
          <w:color w:val="262626"/>
        </w:rPr>
        <w:t>✔️</w:t>
      </w:r>
      <w:r w:rsidRPr="00C242C7">
        <w:rPr>
          <w:rFonts w:eastAsia="Aptos" w:cs="Sans Serif Collection"/>
          <w:color w:val="262626"/>
        </w:rPr>
        <w:t xml:space="preserve"> </w:t>
      </w:r>
      <w:r w:rsidRPr="00C242C7">
        <w:rPr>
          <w:rFonts w:eastAsia="Aptos" w:cs="Sans Serif Collection"/>
          <w:b/>
          <w:bCs/>
          <w:color w:val="262626"/>
        </w:rPr>
        <w:t>Improve training impact measurement</w:t>
      </w:r>
      <w:r w:rsidRPr="00C242C7">
        <w:rPr>
          <w:rFonts w:eastAsia="Aptos" w:cs="Sans Serif Collection"/>
          <w:color w:val="262626"/>
        </w:rPr>
        <w:t xml:space="preserve"> – introduce knowledge assessments or scenario-based testing.</w:t>
      </w:r>
    </w:p>
    <w:p w14:paraId="1F876700" w14:textId="77777777" w:rsidR="00C242C7" w:rsidRPr="00C242C7" w:rsidRDefault="00C242C7" w:rsidP="00C242C7">
      <w:pPr>
        <w:spacing w:line="256" w:lineRule="auto"/>
        <w:rPr>
          <w:rFonts w:eastAsia="Aptos" w:cs="Sans Serif Collection"/>
          <w:b/>
          <w:bCs/>
          <w:color w:val="262626"/>
        </w:rPr>
      </w:pPr>
      <w:r w:rsidRPr="00C242C7">
        <w:rPr>
          <w:rFonts w:eastAsia="Aptos" w:cs="Sans Serif Collection"/>
          <w:b/>
          <w:bCs/>
          <w:color w:val="262626"/>
        </w:rPr>
        <w:t>Medium-Term (6–12 Months)</w:t>
      </w:r>
    </w:p>
    <w:p w14:paraId="1FFC3E39" w14:textId="28871DF4" w:rsidR="00C242C7" w:rsidRDefault="00C242C7" w:rsidP="00C242C7">
      <w:pPr>
        <w:rPr>
          <w:rFonts w:eastAsia="Aptos" w:cs="Sans Serif Collection"/>
          <w:kern w:val="0"/>
          <w14:ligatures w14:val="none"/>
        </w:rPr>
      </w:pPr>
      <w:r w:rsidRPr="00C242C7">
        <w:rPr>
          <w:rFonts w:ascii="Segoe UI Emoji" w:eastAsia="Aptos" w:hAnsi="Segoe UI Emoji" w:cs="Segoe UI Emoji"/>
          <w:kern w:val="0"/>
          <w14:ligatures w14:val="none"/>
        </w:rPr>
        <w:t>✔️</w:t>
      </w:r>
      <w:r w:rsidRPr="00C242C7">
        <w:rPr>
          <w:rFonts w:eastAsia="Aptos" w:cs="Sans Serif Collection"/>
          <w:kern w:val="0"/>
          <w14:ligatures w14:val="none"/>
        </w:rPr>
        <w:t xml:space="preserve"> </w:t>
      </w:r>
      <w:r w:rsidRPr="00C242C7">
        <w:rPr>
          <w:rFonts w:eastAsia="Aptos" w:cs="Sans Serif Collection"/>
          <w:b/>
          <w:bCs/>
          <w:kern w:val="0"/>
          <w14:ligatures w14:val="none"/>
        </w:rPr>
        <w:t>Embed vulnerability considerations into operational processes</w:t>
      </w:r>
      <w:r w:rsidRPr="00C242C7">
        <w:rPr>
          <w:rFonts w:eastAsia="Aptos" w:cs="Sans Serif Collection"/>
          <w:kern w:val="0"/>
          <w14:ligatures w14:val="none"/>
        </w:rPr>
        <w:t xml:space="preserve"> – ensure policies are reviewed with vulnerable customers in mind.</w:t>
      </w:r>
      <w:r w:rsidRPr="00C242C7">
        <w:rPr>
          <w:rFonts w:eastAsia="Aptos" w:cs="Sans Serif Collection"/>
          <w:kern w:val="0"/>
          <w14:ligatures w14:val="none"/>
        </w:rPr>
        <w:br/>
      </w:r>
      <w:r w:rsidRPr="00C242C7">
        <w:rPr>
          <w:rFonts w:ascii="Segoe UI Emoji" w:eastAsia="Aptos" w:hAnsi="Segoe UI Emoji" w:cs="Segoe UI Emoji"/>
          <w:kern w:val="0"/>
          <w14:ligatures w14:val="none"/>
        </w:rPr>
        <w:t>✔️</w:t>
      </w:r>
      <w:r w:rsidRPr="00C242C7">
        <w:rPr>
          <w:rFonts w:eastAsia="Aptos" w:cs="Sans Serif Collection"/>
          <w:kern w:val="0"/>
          <w14:ligatures w14:val="none"/>
        </w:rPr>
        <w:t xml:space="preserve"> </w:t>
      </w:r>
      <w:r w:rsidRPr="00C242C7">
        <w:rPr>
          <w:rFonts w:eastAsia="Aptos" w:cs="Sans Serif Collection"/>
          <w:b/>
          <w:bCs/>
          <w:kern w:val="0"/>
          <w14:ligatures w14:val="none"/>
        </w:rPr>
        <w:t>Develop a structured feedback loop</w:t>
      </w:r>
      <w:r w:rsidRPr="00C242C7">
        <w:rPr>
          <w:rFonts w:eastAsia="Aptos" w:cs="Sans Serif Collection"/>
          <w:kern w:val="0"/>
          <w14:ligatures w14:val="none"/>
        </w:rPr>
        <w:t xml:space="preserve"> – use surveys or post-support reviews to track customer experiences after receiving help</w:t>
      </w:r>
    </w:p>
    <w:p w14:paraId="232D8098" w14:textId="77777777" w:rsidR="004C498B" w:rsidRDefault="004C498B" w:rsidP="00C242C7">
      <w:pPr>
        <w:rPr>
          <w:rFonts w:eastAsia="Aptos" w:cs="Sans Serif Collection"/>
          <w:kern w:val="0"/>
          <w14:ligatures w14:val="none"/>
        </w:rPr>
      </w:pPr>
    </w:p>
    <w:p w14:paraId="607BB1C1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Compliance Feedback Review</w:t>
      </w:r>
    </w:p>
    <w:p w14:paraId="4F780007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lastRenderedPageBreak/>
        <w:t>1. Repayment Plan Review Triggers</w:t>
      </w:r>
    </w:p>
    <w:p w14:paraId="49A5DE11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Missing scheduled review tasks for repayment plans.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Without automated review tasks, customers may experience inconsistent monitoring, leading to potential financial risks.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Implement CRM-based automated review triggers or set up scheduled reminder emails every three months to review repayment plans.</w:t>
      </w:r>
    </w:p>
    <w:p w14:paraId="7B44FDA0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3. Outdated Email Signatures</w:t>
      </w:r>
    </w:p>
    <w:p w14:paraId="20C2DFF5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Some email templates still include signatures from an ex-employee.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This may cause confusion among customers and potential reputational risks.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Conduct regular audits of all email templates to ensure they reflect current employee details.</w:t>
      </w:r>
    </w:p>
    <w:p w14:paraId="6F168528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5. Income Evidence Requests</w:t>
      </w:r>
    </w:p>
    <w:p w14:paraId="4DFF307D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Lack of clear guidance on acceptable income verification documents.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Customers are uncertain about what documents to submit, leading to unnecessary delays.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Update request templates to specify acceptable documents (e.g., payslips, bank statements) and provide clear submission instructions.</w:t>
      </w:r>
    </w:p>
    <w:p w14:paraId="51F4070C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6. Vulnerable Customers &amp; Forbearance Failures</w:t>
      </w:r>
    </w:p>
    <w:p w14:paraId="19BF36D2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Cases of delayed follow-ups, inconsistent application of breathing space, and generic responses to vulnerable customers.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These issues raise concerns about compliance with FCA regulations and customer treatment.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Recommendations:</w:t>
      </w:r>
    </w:p>
    <w:p w14:paraId="57A6D980" w14:textId="77777777" w:rsidR="004C498B" w:rsidRPr="004C498B" w:rsidRDefault="004C498B" w:rsidP="004C498B">
      <w:pPr>
        <w:numPr>
          <w:ilvl w:val="0"/>
          <w:numId w:val="1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Automatically apply a 30-day breathing space hold when a vulnerability flag is raised.</w:t>
      </w:r>
    </w:p>
    <w:p w14:paraId="36F2DAB8" w14:textId="77777777" w:rsidR="004C498B" w:rsidRPr="004C498B" w:rsidRDefault="004C498B" w:rsidP="004C498B">
      <w:pPr>
        <w:numPr>
          <w:ilvl w:val="0"/>
          <w:numId w:val="1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Train agents to deliver tailored responses for vulnerable customers.</w:t>
      </w:r>
    </w:p>
    <w:p w14:paraId="1DBD88CE" w14:textId="77777777" w:rsidR="004C498B" w:rsidRPr="004C498B" w:rsidRDefault="004C498B" w:rsidP="004C498B">
      <w:pPr>
        <w:numPr>
          <w:ilvl w:val="0"/>
          <w:numId w:val="1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Strengthen tracking mechanisms for vulnerable customer support to ensure timely follow-ups.</w:t>
      </w:r>
    </w:p>
    <w:p w14:paraId="0B361703" w14:textId="77777777" w:rsidR="004C498B" w:rsidRPr="004C498B" w:rsidRDefault="004C498B" w:rsidP="004C498B">
      <w:pPr>
        <w:numPr>
          <w:ilvl w:val="0"/>
          <w:numId w:val="1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Ensure the Debt &amp; Mental Health Evidence Form (DMHEF) is provided when mental health concerns are raised.</w:t>
      </w:r>
    </w:p>
    <w:p w14:paraId="351D8F34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7. Debt Management &amp; Payment Arrangements</w:t>
      </w:r>
    </w:p>
    <w:p w14:paraId="4A0B91CF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Inconsistent handling of Debt Management Plans (DMPs) and unrecorded partial settlements.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These inconsistencies could result in non-compliant processes and customer confusion.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Standardise DMP processes and ensure all partial settlements are properly recorded.</w:t>
      </w:r>
    </w:p>
    <w:p w14:paraId="38E59CD3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lastRenderedPageBreak/>
        <w:t>8. Statutory Notice Failures (NOSIA)</w:t>
      </w:r>
    </w:p>
    <w:p w14:paraId="5BBE1056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Some statutory notices (NOSIA) are sent late or not at all.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This creates potential legal and regulatory risks.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Improve automation of NOSIA notices within the CRM and implement periodic audits to ensure compliance.</w:t>
      </w:r>
    </w:p>
    <w:p w14:paraId="25858A3C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9. Right to be Forgotten (RTBF) &amp; Subject Access Requests (SAR)</w:t>
      </w:r>
    </w:p>
    <w:p w14:paraId="0F14F538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RTBF accounts remain visible in CRM; SAR cases are misclassified as complaints.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This may lead to GDPR breaches and potential penalties.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Automate the RTBF removal process and introduce a structured checklist for SAR handling.</w:t>
      </w:r>
    </w:p>
    <w:p w14:paraId="32101B85" w14:textId="77777777" w:rsidR="004C498B" w:rsidRPr="004C498B" w:rsidRDefault="004C498B" w:rsidP="004C498B">
      <w:pPr>
        <w:spacing w:line="259" w:lineRule="auto"/>
        <w:rPr>
          <w:rFonts w:eastAsia="Aptos" w:cs="Times New Roman"/>
          <w:b/>
          <w:bCs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10. Treating Customers Fairly (TCF) &amp; Transparency Issues</w:t>
      </w:r>
    </w:p>
    <w:p w14:paraId="2EFC7D4E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Issue: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Misleading SMS wording and unclear income verification requests.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Analysis:</w:t>
      </w:r>
      <w:r w:rsidRPr="004C498B">
        <w:rPr>
          <w:rFonts w:eastAsia="Aptos" w:cs="Times New Roman"/>
          <w:kern w:val="0"/>
          <w:szCs w:val="32"/>
          <w14:ligatures w14:val="none"/>
        </w:rPr>
        <w:t xml:space="preserve"> Communication gaps may mislead customers and erode trust.</w:t>
      </w:r>
      <w:r w:rsidRPr="004C498B">
        <w:rPr>
          <w:rFonts w:eastAsia="Aptos" w:cs="Times New Roman"/>
          <w:kern w:val="0"/>
          <w:szCs w:val="32"/>
          <w14:ligatures w14:val="none"/>
        </w:rPr>
        <w:br/>
      </w:r>
      <w:r w:rsidRPr="004C498B">
        <w:rPr>
          <w:rFonts w:eastAsia="Aptos" w:cs="Times New Roman"/>
          <w:b/>
          <w:bCs/>
          <w:kern w:val="0"/>
          <w:szCs w:val="32"/>
          <w14:ligatures w14:val="none"/>
        </w:rPr>
        <w:t>Recommendations:</w:t>
      </w:r>
    </w:p>
    <w:p w14:paraId="275FF7D3" w14:textId="77777777" w:rsidR="004C498B" w:rsidRPr="004C498B" w:rsidRDefault="004C498B" w:rsidP="004C498B">
      <w:pPr>
        <w:numPr>
          <w:ilvl w:val="0"/>
          <w:numId w:val="2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Optimise the e-sign process to prevent redundant communications.</w:t>
      </w:r>
    </w:p>
    <w:p w14:paraId="27B30F01" w14:textId="77777777" w:rsidR="004C498B" w:rsidRPr="004C498B" w:rsidRDefault="004C498B" w:rsidP="004C498B">
      <w:pPr>
        <w:numPr>
          <w:ilvl w:val="0"/>
          <w:numId w:val="2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Revise SMS messages for clarity to avoid misinterpretation.</w:t>
      </w:r>
    </w:p>
    <w:p w14:paraId="1B53596E" w14:textId="77777777" w:rsidR="004C498B" w:rsidRPr="004C498B" w:rsidRDefault="004C498B" w:rsidP="004C498B">
      <w:pPr>
        <w:numPr>
          <w:ilvl w:val="0"/>
          <w:numId w:val="2"/>
        </w:numPr>
        <w:spacing w:line="259" w:lineRule="auto"/>
        <w:rPr>
          <w:rFonts w:eastAsia="Aptos" w:cs="Times New Roman"/>
          <w:kern w:val="0"/>
          <w:szCs w:val="32"/>
          <w14:ligatures w14:val="none"/>
        </w:rPr>
      </w:pPr>
      <w:r w:rsidRPr="004C498B">
        <w:rPr>
          <w:rFonts w:eastAsia="Aptos" w:cs="Times New Roman"/>
          <w:kern w:val="0"/>
          <w:szCs w:val="32"/>
          <w14:ligatures w14:val="none"/>
        </w:rPr>
        <w:t>Clearly define and communicate acceptable income verification documents.</w:t>
      </w:r>
    </w:p>
    <w:p w14:paraId="679A900C" w14:textId="6FBB8415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</w:p>
    <w:p w14:paraId="2F951A51" w14:textId="77777777" w:rsidR="004C498B" w:rsidRPr="004C498B" w:rsidRDefault="004C498B" w:rsidP="004C498B">
      <w:pPr>
        <w:spacing w:line="259" w:lineRule="auto"/>
        <w:rPr>
          <w:rFonts w:eastAsia="Aptos" w:cs="Times New Roman"/>
          <w:kern w:val="0"/>
          <w:szCs w:val="32"/>
          <w14:ligatures w14:val="none"/>
        </w:rPr>
      </w:pPr>
    </w:p>
    <w:p w14:paraId="750C460B" w14:textId="77777777" w:rsidR="004C498B" w:rsidRDefault="004C498B" w:rsidP="00C242C7"/>
    <w:sectPr w:rsidR="004C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83B"/>
    <w:multiLevelType w:val="multilevel"/>
    <w:tmpl w:val="AD4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15E6B"/>
    <w:multiLevelType w:val="multilevel"/>
    <w:tmpl w:val="EB7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502055">
    <w:abstractNumId w:val="1"/>
  </w:num>
  <w:num w:numId="2" w16cid:durableId="44866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C7"/>
    <w:rsid w:val="002B3CB0"/>
    <w:rsid w:val="002D60CC"/>
    <w:rsid w:val="00461FE7"/>
    <w:rsid w:val="004C498B"/>
    <w:rsid w:val="00C242C7"/>
    <w:rsid w:val="00DD44D4"/>
    <w:rsid w:val="00E0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777"/>
  <w15:chartTrackingRefBased/>
  <w15:docId w15:val="{04AFEE7C-6E09-40BE-80F7-4F7A40E0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2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2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2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2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2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2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2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2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2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2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2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2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2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2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2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2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Cristi</dc:creator>
  <cp:keywords/>
  <dc:description/>
  <cp:lastModifiedBy>Massimo Cristi</cp:lastModifiedBy>
  <cp:revision>2</cp:revision>
  <dcterms:created xsi:type="dcterms:W3CDTF">2025-09-05T09:13:00Z</dcterms:created>
  <dcterms:modified xsi:type="dcterms:W3CDTF">2025-09-05T09:30:00Z</dcterms:modified>
</cp:coreProperties>
</file>