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RISKCORE GDPR &amp; Privacy Compliance</w:t>
      </w:r>
    </w:p>
    <w:p>
      <w:pPr>
        <w:jc w:val="center"/>
      </w:pPr>
      <w:r>
        <w:t>Findings, Analysis, and Recommendations for Self-Hosted Software</w:t>
      </w:r>
    </w:p>
    <w:p/>
    <w:p>
      <w:pPr>
        <w:pStyle w:val="Heading1"/>
      </w:pPr>
      <w:r>
        <w:t>Executive Summary</w:t>
      </w:r>
    </w:p>
    <w:p>
      <w:r>
        <w:rPr>
          <w:b/>
        </w:rPr>
        <w:t xml:space="preserve">Key Finding: </w:t>
      </w:r>
      <w:r>
        <w:t>RISKCORE's self-hosted, on-premises architecture fundamentally changes GDPR applicability. Since we never store or access client position/trade data, we face minimal GDPR obligations compared to cloud SaaS providers.</w:t>
      </w:r>
    </w:p>
    <w:p/>
    <w:p>
      <w:r>
        <w:t>This document analyzes GDPR, CCPA, and global privacy regulations as they apply to RISKCORE's unique deployment model.</w:t>
      </w:r>
    </w:p>
    <w:p>
      <w:pPr>
        <w:pStyle w:val="Heading1"/>
      </w:pPr>
      <w:r>
        <w:t>Understanding RISKCORE's Data Model</w:t>
      </w:r>
    </w:p>
    <w:p>
      <w:pPr>
        <w:pStyle w:val="Heading2"/>
      </w:pPr>
      <w:r>
        <w:t>What Data Does RISKCORE Process?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Personal Data?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GDPR Applies to RISKCORE?</w:t>
            </w:r>
          </w:p>
        </w:tc>
      </w:tr>
      <w:tr>
        <w:tc>
          <w:tcPr>
            <w:tcW w:type="dxa" w:w="2160"/>
          </w:tcPr>
          <w:p>
            <w:r>
              <w:t>Position data</w:t>
            </w:r>
          </w:p>
        </w:tc>
        <w:tc>
          <w:tcPr>
            <w:tcW w:type="dxa" w:w="2160"/>
          </w:tcPr>
          <w:p>
            <w:r>
              <w:t>Client's servers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Trade records</w:t>
            </w:r>
          </w:p>
        </w:tc>
        <w:tc>
          <w:tcPr>
            <w:tcW w:type="dxa" w:w="2160"/>
          </w:tcPr>
          <w:p>
            <w:r>
              <w:t>Client's servers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Risk metrics</w:t>
            </w:r>
          </w:p>
        </w:tc>
        <w:tc>
          <w:tcPr>
            <w:tcW w:type="dxa" w:w="2160"/>
          </w:tcPr>
          <w:p>
            <w:r>
              <w:t>Client's servers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User accounts</w:t>
            </w:r>
          </w:p>
        </w:tc>
        <w:tc>
          <w:tcPr>
            <w:tcW w:type="dxa" w:w="2160"/>
          </w:tcPr>
          <w:p>
            <w:r>
              <w:t>Client's servers</w:t>
            </w:r>
          </w:p>
        </w:tc>
        <w:tc>
          <w:tcPr>
            <w:tcW w:type="dxa" w:w="2160"/>
          </w:tcPr>
          <w:p>
            <w:r>
              <w:t>Yes (email, name)</w:t>
            </w:r>
          </w:p>
        </w:tc>
        <w:tc>
          <w:tcPr>
            <w:tcW w:type="dxa" w:w="2160"/>
          </w:tcPr>
          <w:p>
            <w:r>
              <w:t>No (client controls)</w:t>
            </w:r>
          </w:p>
        </w:tc>
      </w:tr>
      <w:tr>
        <w:tc>
          <w:tcPr>
            <w:tcW w:type="dxa" w:w="2160"/>
          </w:tcPr>
          <w:p>
            <w:r>
              <w:t>License validation</w:t>
            </w:r>
          </w:p>
        </w:tc>
        <w:tc>
          <w:tcPr>
            <w:tcW w:type="dxa" w:w="2160"/>
          </w:tcPr>
          <w:p>
            <w:r>
              <w:t>Our servers</w:t>
            </w:r>
          </w:p>
        </w:tc>
        <w:tc>
          <w:tcPr>
            <w:tcW w:type="dxa" w:w="2160"/>
          </w:tcPr>
          <w:p>
            <w:r>
              <w:t>Yes (company info)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Support tickets</w:t>
            </w:r>
          </w:p>
        </w:tc>
        <w:tc>
          <w:tcPr>
            <w:tcW w:type="dxa" w:w="2160"/>
          </w:tcPr>
          <w:p>
            <w:r>
              <w:t>Our systems</w:t>
            </w:r>
          </w:p>
        </w:tc>
        <w:tc>
          <w:tcPr>
            <w:tcW w:type="dxa" w:w="2160"/>
          </w:tcPr>
          <w:p>
            <w:r>
              <w:t>Yes (contact info)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/>
    <w:p>
      <w:pPr>
        <w:pStyle w:val="Heading1"/>
      </w:pPr>
      <w:r>
        <w:t>Key Finding: RISKCORE is NOT a Traditional Data Processor</w:t>
      </w:r>
    </w:p>
    <w:p>
      <w:r>
        <w:t>In traditional SaaS, the vendor is a 'Data Processor' under GDPR because they store and process client data on their servers. RISKCORE's model is different:</w:t>
      </w:r>
    </w:p>
    <w:p/>
    <w:p>
      <w:pPr>
        <w:pStyle w:val="Heading2"/>
      </w:pPr>
      <w:r>
        <w:t>Traditional SaaS Model</w:t>
      </w:r>
    </w:p>
    <w:p>
      <w:pPr>
        <w:pStyle w:val="ListBullet"/>
      </w:pPr>
      <w:r>
        <w:t>SaaS Vendor = Data Processor (holds client data)</w:t>
      </w:r>
    </w:p>
    <w:p>
      <w:pPr>
        <w:pStyle w:val="ListBullet"/>
      </w:pPr>
      <w:r>
        <w:t>Uses sub-processors (AWS, etc.)</w:t>
      </w:r>
    </w:p>
    <w:p>
      <w:pPr>
        <w:pStyle w:val="ListBullet"/>
      </w:pPr>
      <w:r>
        <w:t>Must comply with GDPR as processor</w:t>
      </w:r>
    </w:p>
    <w:p>
      <w:pPr>
        <w:pStyle w:val="Heading2"/>
      </w:pPr>
      <w:r>
        <w:t>RISKCORE Model (Self-Hosted)</w:t>
      </w:r>
    </w:p>
    <w:p>
      <w:pPr>
        <w:pStyle w:val="ListBullet"/>
      </w:pPr>
      <w:r>
        <w:t>Client = Data Controller AND Processor (owns their data)</w:t>
      </w:r>
    </w:p>
    <w:p>
      <w:pPr>
        <w:pStyle w:val="ListBullet"/>
      </w:pPr>
      <w:r>
        <w:t>RISKCORE = Software Provider (no data access)</w:t>
      </w:r>
    </w:p>
    <w:p>
      <w:pPr>
        <w:pStyle w:val="ListBullet"/>
      </w:pPr>
      <w:r>
        <w:t>RISKCORE is NOT a data processor for client position data</w:t>
      </w:r>
    </w:p>
    <w:p/>
    <w:p>
      <w:r>
        <w:rPr>
          <w:b/>
        </w:rPr>
        <w:t xml:space="preserve">Implication: </w:t>
      </w:r>
      <w:r>
        <w:t>We do NOT need a Data Processing Agreement (DPA) with clients for their position/trade data because we never process it. The client handles all GDPR obligations for their own data.</w:t>
      </w:r>
    </w:p>
    <w:p>
      <w:pPr>
        <w:pStyle w:val="Heading1"/>
      </w:pPr>
      <w:r>
        <w:t>What RISKCORE Must Do for GDPR</w:t>
      </w:r>
    </w:p>
    <w:p>
      <w:pPr>
        <w:pStyle w:val="Heading2"/>
      </w:pPr>
      <w:r>
        <w:t>For Our Own Systems (License, Support, Marketing)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Implementation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Legal basis for processing</w:t>
            </w:r>
          </w:p>
        </w:tc>
        <w:tc>
          <w:tcPr>
            <w:tcW w:type="dxa" w:w="2880"/>
          </w:tcPr>
          <w:p>
            <w:r>
              <w:t>Legitimate interest, contract, consent</w:t>
            </w:r>
          </w:p>
        </w:tc>
        <w:tc>
          <w:tcPr>
            <w:tcW w:type="dxa" w:w="2880"/>
          </w:tcPr>
          <w:p>
            <w:r>
              <w:t>Planned</w:t>
            </w:r>
          </w:p>
        </w:tc>
      </w:tr>
      <w:tr>
        <w:tc>
          <w:tcPr>
            <w:tcW w:type="dxa" w:w="2880"/>
          </w:tcPr>
          <w:p>
            <w:r>
              <w:t>Privacy policy</w:t>
            </w:r>
          </w:p>
        </w:tc>
        <w:tc>
          <w:tcPr>
            <w:tcW w:type="dxa" w:w="2880"/>
          </w:tcPr>
          <w:p>
            <w:r>
              <w:t>Website, clear language</w:t>
            </w:r>
          </w:p>
        </w:tc>
        <w:tc>
          <w:tcPr>
            <w:tcW w:type="dxa" w:w="2880"/>
          </w:tcPr>
          <w:p>
            <w:r>
              <w:t>Planned</w:t>
            </w:r>
          </w:p>
        </w:tc>
      </w:tr>
      <w:tr>
        <w:tc>
          <w:tcPr>
            <w:tcW w:type="dxa" w:w="2880"/>
          </w:tcPr>
          <w:p>
            <w:r>
              <w:t>Data subject rights</w:t>
            </w:r>
          </w:p>
        </w:tc>
        <w:tc>
          <w:tcPr>
            <w:tcW w:type="dxa" w:w="2880"/>
          </w:tcPr>
          <w:p>
            <w:r>
              <w:t>Delete account, export data</w:t>
            </w:r>
          </w:p>
        </w:tc>
        <w:tc>
          <w:tcPr>
            <w:tcW w:type="dxa" w:w="2880"/>
          </w:tcPr>
          <w:p>
            <w:r>
              <w:t>Planned</w:t>
            </w:r>
          </w:p>
        </w:tc>
      </w:tr>
      <w:tr>
        <w:tc>
          <w:tcPr>
            <w:tcW w:type="dxa" w:w="2880"/>
          </w:tcPr>
          <w:p>
            <w:r>
              <w:t>Breach notification</w:t>
            </w:r>
          </w:p>
        </w:tc>
        <w:tc>
          <w:tcPr>
            <w:tcW w:type="dxa" w:w="2880"/>
          </w:tcPr>
          <w:p>
            <w:r>
              <w:t>72-hour notification process</w:t>
            </w:r>
          </w:p>
        </w:tc>
        <w:tc>
          <w:tcPr>
            <w:tcW w:type="dxa" w:w="2880"/>
          </w:tcPr>
          <w:p>
            <w:r>
              <w:t>Planned</w:t>
            </w:r>
          </w:p>
        </w:tc>
      </w:tr>
      <w:tr>
        <w:tc>
          <w:tcPr>
            <w:tcW w:type="dxa" w:w="2880"/>
          </w:tcPr>
          <w:p>
            <w:r>
              <w:t>Records of processing</w:t>
            </w:r>
          </w:p>
        </w:tc>
        <w:tc>
          <w:tcPr>
            <w:tcW w:type="dxa" w:w="2880"/>
          </w:tcPr>
          <w:p>
            <w:r>
              <w:t>Processing activities log</w:t>
            </w:r>
          </w:p>
        </w:tc>
        <w:tc>
          <w:tcPr>
            <w:tcW w:type="dxa" w:w="2880"/>
          </w:tcPr>
          <w:p>
            <w:r>
              <w:t>Planned</w:t>
            </w:r>
          </w:p>
        </w:tc>
      </w:tr>
      <w:tr>
        <w:tc>
          <w:tcPr>
            <w:tcW w:type="dxa" w:w="2880"/>
          </w:tcPr>
          <w:p>
            <w:r>
              <w:t>DPO appointment</w:t>
            </w:r>
          </w:p>
        </w:tc>
        <w:tc>
          <w:tcPr>
            <w:tcW w:type="dxa" w:w="2880"/>
          </w:tcPr>
          <w:p>
            <w:r>
              <w:t>Not required (&lt; 250 employees)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</w:tbl>
    <w:p/>
    <w:p>
      <w:pPr>
        <w:pStyle w:val="Heading2"/>
      </w:pPr>
      <w:r>
        <w:t>For Client Deployments</w:t>
      </w:r>
    </w:p>
    <w:p>
      <w:r>
        <w:t>Since we don't access client data, our obligations are limited to providing tools and documentation:</w:t>
      </w:r>
    </w:p>
    <w:p>
      <w:pPr>
        <w:pStyle w:val="ListBullet"/>
      </w:pPr>
      <w:r>
        <w:t>Data subject access request functionality (export)</w:t>
      </w:r>
    </w:p>
    <w:p>
      <w:pPr>
        <w:pStyle w:val="ListBullet"/>
      </w:pPr>
      <w:r>
        <w:t>Right to erasure functionality (delete)</w:t>
      </w:r>
    </w:p>
    <w:p>
      <w:pPr>
        <w:pStyle w:val="ListBullet"/>
      </w:pPr>
      <w:r>
        <w:t>DPIA template (if clients need it)</w:t>
      </w:r>
    </w:p>
    <w:p>
      <w:pPr>
        <w:pStyle w:val="ListBullet"/>
      </w:pPr>
      <w:r>
        <w:t>Security documentation for their compliance</w:t>
      </w:r>
    </w:p>
    <w:p>
      <w:pPr>
        <w:pStyle w:val="ListBullet"/>
      </w:pPr>
      <w:r>
        <w:t>Incident response template</w:t>
      </w:r>
    </w:p>
    <w:p>
      <w:pPr>
        <w:pStyle w:val="Heading1"/>
      </w:pPr>
      <w:r>
        <w:t>Global Privacy Regulations</w:t>
      </w:r>
    </w:p>
    <w:p>
      <w:r>
        <w:t>Beyond GDPR, other privacy regulations may apply depending on client location: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Regulation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Jurisdiction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RISKCORE Applicability</w:t>
            </w:r>
          </w:p>
        </w:tc>
      </w:tr>
      <w:tr>
        <w:tc>
          <w:tcPr>
            <w:tcW w:type="dxa" w:w="2880"/>
          </w:tcPr>
          <w:p>
            <w:r>
              <w:t>GDPR</w:t>
            </w:r>
          </w:p>
        </w:tc>
        <w:tc>
          <w:tcPr>
            <w:tcW w:type="dxa" w:w="2880"/>
          </w:tcPr>
          <w:p>
            <w:r>
              <w:t>EU/EEA</w:t>
            </w:r>
          </w:p>
        </w:tc>
        <w:tc>
          <w:tcPr>
            <w:tcW w:type="dxa" w:w="2880"/>
          </w:tcPr>
          <w:p>
            <w:r>
              <w:t>License system, support only</w:t>
            </w:r>
          </w:p>
        </w:tc>
      </w:tr>
      <w:tr>
        <w:tc>
          <w:tcPr>
            <w:tcW w:type="dxa" w:w="2880"/>
          </w:tcPr>
          <w:p>
            <w:r>
              <w:t>CCPA/CPRA</w:t>
            </w:r>
          </w:p>
        </w:tc>
        <w:tc>
          <w:tcPr>
            <w:tcW w:type="dxa" w:w="2880"/>
          </w:tcPr>
          <w:p>
            <w:r>
              <w:t>California</w:t>
            </w:r>
          </w:p>
        </w:tc>
        <w:tc>
          <w:tcPr>
            <w:tcW w:type="dxa" w:w="2880"/>
          </w:tcPr>
          <w:p>
            <w:r>
              <w:t>If CA users use license system</w:t>
            </w:r>
          </w:p>
        </w:tc>
      </w:tr>
      <w:tr>
        <w:tc>
          <w:tcPr>
            <w:tcW w:type="dxa" w:w="2880"/>
          </w:tcPr>
          <w:p>
            <w:r>
              <w:t>UK GDPR</w:t>
            </w:r>
          </w:p>
        </w:tc>
        <w:tc>
          <w:tcPr>
            <w:tcW w:type="dxa" w:w="2880"/>
          </w:tcPr>
          <w:p>
            <w:r>
              <w:t>United Kingdom</w:t>
            </w:r>
          </w:p>
        </w:tc>
        <w:tc>
          <w:tcPr>
            <w:tcW w:type="dxa" w:w="2880"/>
          </w:tcPr>
          <w:p>
            <w:r>
              <w:t>UK customers</w:t>
            </w:r>
          </w:p>
        </w:tc>
      </w:tr>
      <w:tr>
        <w:tc>
          <w:tcPr>
            <w:tcW w:type="dxa" w:w="2880"/>
          </w:tcPr>
          <w:p>
            <w:r>
              <w:t>LGPD</w:t>
            </w:r>
          </w:p>
        </w:tc>
        <w:tc>
          <w:tcPr>
            <w:tcW w:type="dxa" w:w="2880"/>
          </w:tcPr>
          <w:p>
            <w:r>
              <w:t>Brazil</w:t>
            </w:r>
          </w:p>
        </w:tc>
        <w:tc>
          <w:tcPr>
            <w:tcW w:type="dxa" w:w="2880"/>
          </w:tcPr>
          <w:p>
            <w:r>
              <w:t>Brazilian customers</w:t>
            </w:r>
          </w:p>
        </w:tc>
      </w:tr>
      <w:tr>
        <w:tc>
          <w:tcPr>
            <w:tcW w:type="dxa" w:w="2880"/>
          </w:tcPr>
          <w:p>
            <w:r>
              <w:t>POPIA</w:t>
            </w:r>
          </w:p>
        </w:tc>
        <w:tc>
          <w:tcPr>
            <w:tcW w:type="dxa" w:w="2880"/>
          </w:tcPr>
          <w:p>
            <w:r>
              <w:t>South Africa</w:t>
            </w:r>
          </w:p>
        </w:tc>
        <w:tc>
          <w:tcPr>
            <w:tcW w:type="dxa" w:w="2880"/>
          </w:tcPr>
          <w:p>
            <w:r>
              <w:t>SA customers</w:t>
            </w:r>
          </w:p>
        </w:tc>
      </w:tr>
      <w:tr>
        <w:tc>
          <w:tcPr>
            <w:tcW w:type="dxa" w:w="2880"/>
          </w:tcPr>
          <w:p>
            <w:r>
              <w:t>PDPA</w:t>
            </w:r>
          </w:p>
        </w:tc>
        <w:tc>
          <w:tcPr>
            <w:tcW w:type="dxa" w:w="2880"/>
          </w:tcPr>
          <w:p>
            <w:r>
              <w:t>Singapore</w:t>
            </w:r>
          </w:p>
        </w:tc>
        <w:tc>
          <w:tcPr>
            <w:tcW w:type="dxa" w:w="2880"/>
          </w:tcPr>
          <w:p>
            <w:r>
              <w:t>Singapore customers</w:t>
            </w:r>
          </w:p>
        </w:tc>
      </w:tr>
      <w:tr>
        <w:tc>
          <w:tcPr>
            <w:tcW w:type="dxa" w:w="2880"/>
          </w:tcPr>
          <w:p>
            <w:r>
              <w:t>Privacy Act</w:t>
            </w:r>
          </w:p>
        </w:tc>
        <w:tc>
          <w:tcPr>
            <w:tcW w:type="dxa" w:w="2880"/>
          </w:tcPr>
          <w:p>
            <w:r>
              <w:t>Australia</w:t>
            </w:r>
          </w:p>
        </w:tc>
        <w:tc>
          <w:tcPr>
            <w:tcW w:type="dxa" w:w="2880"/>
          </w:tcPr>
          <w:p>
            <w:r>
              <w:t>Australian customers</w:t>
            </w:r>
          </w:p>
        </w:tc>
      </w:tr>
    </w:tbl>
    <w:p/>
    <w:p>
      <w:r>
        <w:rPr>
          <w:b/>
        </w:rPr>
        <w:t xml:space="preserve">Universal Principles: </w:t>
      </w:r>
      <w:r>
        <w:t>All major privacy laws share common principles: lawfulness, purpose limitation, data minimization, accuracy, storage limitation, security, and accountability. RISKCORE implements all of these.</w:t>
      </w:r>
    </w:p>
    <w:p>
      <w:pPr>
        <w:pStyle w:val="Heading1"/>
      </w:pPr>
      <w:r>
        <w:t>Financial Services Regulations</w:t>
      </w:r>
    </w:p>
    <w:p>
      <w:r>
        <w:t>Beyond general privacy, financial services have specific requirements: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Regulation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RISKCORE Support</w:t>
            </w:r>
          </w:p>
        </w:tc>
      </w:tr>
      <w:tr>
        <w:tc>
          <w:tcPr>
            <w:tcW w:type="dxa" w:w="2880"/>
          </w:tcPr>
          <w:p>
            <w:r>
              <w:t>SEC/FINRA</w:t>
            </w:r>
          </w:p>
        </w:tc>
        <w:tc>
          <w:tcPr>
            <w:tcW w:type="dxa" w:w="2880"/>
          </w:tcPr>
          <w:p>
            <w:r>
              <w:t>Books &amp; records retention</w:t>
            </w:r>
          </w:p>
        </w:tc>
        <w:tc>
          <w:tcPr>
            <w:tcW w:type="dxa" w:w="2880"/>
          </w:tcPr>
          <w:p>
            <w:r>
              <w:t>5-year position history, audit logs</w:t>
            </w:r>
          </w:p>
        </w:tc>
      </w:tr>
      <w:tr>
        <w:tc>
          <w:tcPr>
            <w:tcW w:type="dxa" w:w="2880"/>
          </w:tcPr>
          <w:p>
            <w:r>
              <w:t>MiFID II</w:t>
            </w:r>
          </w:p>
        </w:tc>
        <w:tc>
          <w:tcPr>
            <w:tcW w:type="dxa" w:w="2880"/>
          </w:tcPr>
          <w:p>
            <w:r>
              <w:t>Trade reporting, best execution</w:t>
            </w:r>
          </w:p>
        </w:tc>
        <w:tc>
          <w:tcPr>
            <w:tcW w:type="dxa" w:w="2880"/>
          </w:tcPr>
          <w:p>
            <w:r>
              <w:t>Export functionality, trade capture</w:t>
            </w:r>
          </w:p>
        </w:tc>
      </w:tr>
      <w:tr>
        <w:tc>
          <w:tcPr>
            <w:tcW w:type="dxa" w:w="2880"/>
          </w:tcPr>
          <w:p>
            <w:r>
              <w:t>AIFMD</w:t>
            </w:r>
          </w:p>
        </w:tc>
        <w:tc>
          <w:tcPr>
            <w:tcW w:type="dxa" w:w="2880"/>
          </w:tcPr>
          <w:p>
            <w:r>
              <w:t>Risk management, disclosure</w:t>
            </w:r>
          </w:p>
        </w:tc>
        <w:tc>
          <w:tcPr>
            <w:tcW w:type="dxa" w:w="2880"/>
          </w:tcPr>
          <w:p>
            <w:r>
              <w:t>VaR, CVaR, exposure reporting</w:t>
            </w:r>
          </w:p>
        </w:tc>
      </w:tr>
    </w:tbl>
    <w:p>
      <w:pPr>
        <w:pStyle w:val="Heading1"/>
      </w:pPr>
      <w:r>
        <w:t>Recommendations</w:t>
      </w:r>
    </w:p>
    <w:p>
      <w:pPr>
        <w:pStyle w:val="Heading2"/>
      </w:pPr>
      <w:r>
        <w:t>1. Emphasize Self-Hosted Advantage</w:t>
      </w:r>
    </w:p>
    <w:p>
      <w:r>
        <w:t>Our self-hosted model is a significant privacy advantage. Marketing should emphasize:</w:t>
      </w:r>
    </w:p>
    <w:p>
      <w:pPr>
        <w:pStyle w:val="ListBullet"/>
      </w:pPr>
      <w:r>
        <w:t>Your data never leaves your network</w:t>
      </w:r>
    </w:p>
    <w:p>
      <w:pPr>
        <w:pStyle w:val="ListBullet"/>
      </w:pPr>
      <w:r>
        <w:t>RISKCORE has zero access to your positions</w:t>
      </w:r>
    </w:p>
    <w:p>
      <w:pPr>
        <w:pStyle w:val="ListBullet"/>
      </w:pPr>
      <w:r>
        <w:t>You control your own GDPR compliance</w:t>
      </w:r>
    </w:p>
    <w:p>
      <w:pPr>
        <w:pStyle w:val="ListBullet"/>
      </w:pPr>
      <w:r>
        <w:t>Air-gapped deployment available</w:t>
      </w:r>
    </w:p>
    <w:p>
      <w:pPr>
        <w:pStyle w:val="ListBullet"/>
      </w:pPr>
      <w:r>
        <w:t>No cross-border data transfer concerns</w:t>
      </w:r>
    </w:p>
    <w:p>
      <w:pPr>
        <w:pStyle w:val="Heading2"/>
      </w:pPr>
      <w:r>
        <w:t>2. Create Privacy Documentation</w:t>
      </w:r>
    </w:p>
    <w:p>
      <w:r>
        <w:t>Develop the following documents:</w:t>
      </w:r>
    </w:p>
    <w:p>
      <w:pPr>
        <w:pStyle w:val="ListBullet"/>
      </w:pPr>
      <w:r>
        <w:t>Privacy policy for RISKCORE website/license system</w:t>
      </w:r>
    </w:p>
    <w:p>
      <w:pPr>
        <w:pStyle w:val="ListBullet"/>
      </w:pPr>
      <w:r>
        <w:t>Data processing information for marketing</w:t>
      </w:r>
    </w:p>
    <w:p>
      <w:pPr>
        <w:pStyle w:val="ListBullet"/>
      </w:pPr>
      <w:r>
        <w:t>Security whitepaper for client compliance teams</w:t>
      </w:r>
    </w:p>
    <w:p>
      <w:pPr>
        <w:pStyle w:val="ListBullet"/>
      </w:pPr>
      <w:r>
        <w:t>DPIA template for client use</w:t>
      </w:r>
    </w:p>
    <w:p>
      <w:pPr>
        <w:pStyle w:val="ListBullet"/>
      </w:pPr>
      <w:r>
        <w:t>Data subject request procedures</w:t>
      </w:r>
    </w:p>
    <w:p>
      <w:pPr>
        <w:pStyle w:val="Heading2"/>
      </w:pPr>
      <w:r>
        <w:t>3. Implement Privacy Features</w:t>
      </w:r>
    </w:p>
    <w:p>
      <w:r>
        <w:t>Build privacy-supporting features into RISKCORE:</w:t>
      </w:r>
    </w:p>
    <w:p>
      <w:pPr>
        <w:pStyle w:val="ListBullet"/>
      </w:pPr>
      <w:r>
        <w:t>User data export (for DSAR compliance)</w:t>
      </w:r>
    </w:p>
    <w:p>
      <w:pPr>
        <w:pStyle w:val="ListBullet"/>
      </w:pPr>
      <w:r>
        <w:t>User data deletion (for right to erasure)</w:t>
      </w:r>
    </w:p>
    <w:p>
      <w:pPr>
        <w:pStyle w:val="ListBullet"/>
      </w:pPr>
      <w:r>
        <w:t>Audit logging (for accountability)</w:t>
      </w:r>
    </w:p>
    <w:p>
      <w:pPr>
        <w:pStyle w:val="ListBullet"/>
      </w:pPr>
      <w:r>
        <w:t>Consent management (for terms acceptance)</w:t>
      </w:r>
    </w:p>
    <w:p>
      <w:pPr>
        <w:pStyle w:val="ListBullet"/>
      </w:pPr>
      <w:r>
        <w:t>Data retention controls (configurable for Enterprise)</w:t>
      </w:r>
    </w:p>
    <w:p>
      <w:pPr>
        <w:pStyle w:val="Heading2"/>
      </w:pPr>
      <w:r>
        <w:t>4. DPA Only When Needed</w:t>
      </w:r>
    </w:p>
    <w:p>
      <w:r>
        <w:t>Only provide a Data Processing Agreement in scenarios where RISKCORE actually accesses client data (e.g., support/debugging sessions). For standard self-hosted deployments, a DPA is not required.</w:t>
      </w:r>
    </w:p>
    <w:p>
      <w:pPr>
        <w:pStyle w:val="Heading1"/>
      </w:pPr>
      <w:r>
        <w:t>Conclusion</w:t>
      </w:r>
    </w:p>
    <w:p>
      <w:r>
        <w:t>RISKCORE's self-hosted architecture provides significant privacy advantages. Unlike cloud SaaS providers, we do not store or access client position/trade data, which means our GDPR obligations are minimal. Clients are responsible for their own data protection compliance, and we provide the tools to support them.</w:t>
      </w:r>
    </w:p>
    <w:p/>
    <w:p>
      <w:r>
        <w:rPr>
          <w:b/>
        </w:rPr>
        <w:t>Immediate Action Items:</w:t>
      </w:r>
    </w:p>
    <w:p>
      <w:pPr>
        <w:pStyle w:val="ListBullet"/>
      </w:pPr>
      <w:r>
        <w:t>Draft privacy policy for website</w:t>
      </w:r>
    </w:p>
    <w:p>
      <w:pPr>
        <w:pStyle w:val="ListBullet"/>
      </w:pPr>
      <w:r>
        <w:t>Create security whitepaper highlighting self-hosted benefits</w:t>
      </w:r>
    </w:p>
    <w:p>
      <w:pPr>
        <w:pStyle w:val="ListBullet"/>
      </w:pPr>
      <w:r>
        <w:t>Implement user data export functionality</w:t>
      </w:r>
    </w:p>
    <w:p>
      <w:pPr>
        <w:pStyle w:val="ListBullet"/>
      </w:pPr>
      <w:r>
        <w:t>Implement user account deletion</w:t>
      </w:r>
    </w:p>
    <w:p>
      <w:pPr>
        <w:pStyle w:val="ListBullet"/>
      </w:pPr>
      <w:r>
        <w:t>Document data retention policies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