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RISKCORE SOC 2 Compliance</w:t>
      </w:r>
    </w:p>
    <w:p>
      <w:pPr>
        <w:jc w:val="center"/>
      </w:pPr>
      <w:r>
        <w:t>Findings, Recommendations, and Implementation Strategy</w:t>
      </w:r>
    </w:p>
    <w:p/>
    <w:p>
      <w:pPr>
        <w:pStyle w:val="Heading1"/>
      </w:pPr>
      <w:r>
        <w:t>Executive Summary</w:t>
      </w:r>
    </w:p>
    <w:p>
      <w:r>
        <w:t>This document outlines RISKCORE's approach to SOC 2 compliance. As a self-hosted, on-premises risk analytics platform, RISKCORE has a unique compliance posture that differs significantly from traditional cloud SaaS providers.</w:t>
      </w:r>
    </w:p>
    <w:p/>
    <w:p>
      <w:r>
        <w:rPr>
          <w:b/>
        </w:rPr>
        <w:t xml:space="preserve">Key Strategic Decision: </w:t>
      </w:r>
      <w:r>
        <w:t>Build RISKCORE following all SOC 2 Trust Services Criteria from day 1, but pursue formal certification only after achieving sufficient revenue ($500K+ ARR) to justify the $55K-90K annual certification cost.</w:t>
      </w:r>
    </w:p>
    <w:p>
      <w:pPr>
        <w:pStyle w:val="Heading1"/>
      </w:pPr>
      <w:r>
        <w:t>What is SOC 2?</w:t>
      </w:r>
    </w:p>
    <w:p>
      <w:r>
        <w:t>SOC 2 (System and Organization Controls 2) is an auditing framework developed by the American Institute of CPAs (AICPA) that evaluates how organizations manage customer data based on five Trust Services Criteria.</w:t>
      </w:r>
    </w:p>
    <w:p>
      <w:pPr>
        <w:pStyle w:val="Heading2"/>
      </w:pPr>
      <w:r>
        <w:t>The 5 Trust Services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for RISKCORE?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Protection against unauthorized access</w:t>
            </w:r>
          </w:p>
        </w:tc>
        <w:tc>
          <w:tcPr>
            <w:tcW w:type="dxa" w:w="2880"/>
          </w:tcPr>
          <w:p>
            <w:r>
              <w:t>YES (Required)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System availability for operation</w:t>
            </w:r>
          </w:p>
        </w:tc>
        <w:tc>
          <w:tcPr>
            <w:tcW w:type="dxa" w:w="2880"/>
          </w:tcPr>
          <w:p>
            <w:r>
              <w:t>YES (Enterprise SLA)</w:t>
            </w:r>
          </w:p>
        </w:tc>
      </w:tr>
      <w:tr>
        <w:tc>
          <w:tcPr>
            <w:tcW w:type="dxa" w:w="2880"/>
          </w:tcPr>
          <w:p>
            <w:r>
              <w:t>Processing Integrity</w:t>
            </w:r>
          </w:p>
        </w:tc>
        <w:tc>
          <w:tcPr>
            <w:tcW w:type="dxa" w:w="2880"/>
          </w:tcPr>
          <w:p>
            <w:r>
              <w:t>System processing is complete, accurate, timely</w:t>
            </w:r>
          </w:p>
        </w:tc>
        <w:tc>
          <w:tcPr>
            <w:tcW w:type="dxa" w:w="2880"/>
          </w:tcPr>
          <w:p>
            <w:r>
              <w:t>YES (Risk calculations)</w:t>
            </w:r>
          </w:p>
        </w:tc>
      </w:tr>
      <w:tr>
        <w:tc>
          <w:tcPr>
            <w:tcW w:type="dxa" w:w="2880"/>
          </w:tcPr>
          <w:p>
            <w:r>
              <w:t>Confidentiality</w:t>
            </w:r>
          </w:p>
        </w:tc>
        <w:tc>
          <w:tcPr>
            <w:tcW w:type="dxa" w:w="2880"/>
          </w:tcPr>
          <w:p>
            <w:r>
              <w:t>Information designated confidential is protected</w:t>
            </w:r>
          </w:p>
        </w:tc>
        <w:tc>
          <w:tcPr>
            <w:tcW w:type="dxa" w:w="2880"/>
          </w:tcPr>
          <w:p>
            <w:r>
              <w:t>YES (Position/trade data)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Personal information collection, use, retention</w:t>
            </w:r>
          </w:p>
        </w:tc>
        <w:tc>
          <w:tcPr>
            <w:tcW w:type="dxa" w:w="2880"/>
          </w:tcPr>
          <w:p>
            <w:r>
              <w:t>Optional (B2B focus)</w:t>
            </w:r>
          </w:p>
        </w:tc>
      </w:tr>
    </w:tbl>
    <w:p/>
    <w:p>
      <w:pPr>
        <w:pStyle w:val="Heading1"/>
      </w:pPr>
      <w:r>
        <w:t>Key Finding #1: SOC 2 Requires External Audit</w:t>
      </w:r>
    </w:p>
    <w:p>
      <w:r>
        <w:rPr>
          <w:b/>
        </w:rPr>
        <w:t xml:space="preserve">You cannot self-certify SOC 2. </w:t>
      </w:r>
      <w:r>
        <w:t>Unlike GDPR compliance (which is a set of regulations you follow), SOC 2 requires an independent audit by a licensed CPA firm. Without an official audit report, you cannot claim "SOC 2 compliant" status.</w:t>
      </w:r>
    </w:p>
    <w:p/>
    <w:p>
      <w:r>
        <w:t>The audit process:</w:t>
      </w:r>
    </w:p>
    <w:p>
      <w:pPr>
        <w:pStyle w:val="ListBullet"/>
      </w:pPr>
      <w:r>
        <w:t>AICPA sets the standards</w:t>
      </w:r>
    </w:p>
    <w:p>
      <w:pPr>
        <w:pStyle w:val="ListBullet"/>
      </w:pPr>
      <w:r>
        <w:t>Licensed CPA firms perform audits (Schellman, A-LIGN, Coalfire, etc.)</w:t>
      </w:r>
    </w:p>
    <w:p>
      <w:pPr>
        <w:pStyle w:val="ListBullet"/>
      </w:pPr>
      <w:r>
        <w:t>Audits cost $15K-50K+ depending on scope</w:t>
      </w:r>
    </w:p>
    <w:p>
      <w:pPr>
        <w:pStyle w:val="ListBullet"/>
      </w:pPr>
      <w:r>
        <w:t>Type I: Point-in-time assessment of control design</w:t>
      </w:r>
    </w:p>
    <w:p>
      <w:pPr>
        <w:pStyle w:val="ListBullet"/>
      </w:pPr>
      <w:r>
        <w:t>Type II: Operating effectiveness over 6+ months (more valuable)</w:t>
      </w:r>
    </w:p>
    <w:p>
      <w:pPr>
        <w:pStyle w:val="Heading1"/>
      </w:pPr>
      <w:r>
        <w:t>Key Finding #2: RISKCORE's Self-Hosted Model is an Advantage</w:t>
      </w:r>
    </w:p>
    <w:p>
      <w:r>
        <w:t>RISKCORE's on-premises architecture fundamentally changes our compliance posture: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Location</w:t>
            </w:r>
          </w:p>
        </w:tc>
        <w:tc>
          <w:tcPr>
            <w:tcW w:type="dxa" w:w="4320"/>
          </w:tcPr>
          <w:p>
            <w:r>
              <w:t>Client's infrastructure - not our servers</w:t>
            </w:r>
          </w:p>
        </w:tc>
      </w:tr>
      <w:tr>
        <w:tc>
          <w:tcPr>
            <w:tcW w:type="dxa" w:w="4320"/>
          </w:tcPr>
          <w:p>
            <w:r>
              <w:t>Data Ownership</w:t>
            </w:r>
          </w:p>
        </w:tc>
        <w:tc>
          <w:tcPr>
            <w:tcW w:type="dxa" w:w="4320"/>
          </w:tcPr>
          <w:p>
            <w:r>
              <w:t>Client owns all data - we're not a data controller</w:t>
            </w:r>
          </w:p>
        </w:tc>
      </w:tr>
      <w:tr>
        <w:tc>
          <w:tcPr>
            <w:tcW w:type="dxa" w:w="4320"/>
          </w:tcPr>
          <w:p>
            <w:r>
              <w:t>Network Access</w:t>
            </w:r>
          </w:p>
        </w:tc>
        <w:tc>
          <w:tcPr>
            <w:tcW w:type="dxa" w:w="4320"/>
          </w:tcPr>
          <w:p>
            <w:r>
              <w:t>Air-gapped option available - reduced attack surface</w:t>
            </w:r>
          </w:p>
        </w:tc>
      </w:tr>
      <w:tr>
        <w:tc>
          <w:tcPr>
            <w:tcW w:type="dxa" w:w="4320"/>
          </w:tcPr>
          <w:p>
            <w:r>
              <w:t>Data Transmission</w:t>
            </w:r>
          </w:p>
        </w:tc>
        <w:tc>
          <w:tcPr>
            <w:tcW w:type="dxa" w:w="4320"/>
          </w:tcPr>
          <w:p>
            <w:r>
              <w:t>No data leaves client network - no cross-border issues</w:t>
            </w:r>
          </w:p>
        </w:tc>
      </w:tr>
      <w:tr>
        <w:tc>
          <w:tcPr>
            <w:tcW w:type="dxa" w:w="4320"/>
          </w:tcPr>
          <w:p>
            <w:r>
              <w:t>RISKCORE Access</w:t>
            </w:r>
          </w:p>
        </w:tc>
        <w:tc>
          <w:tcPr>
            <w:tcW w:type="dxa" w:w="4320"/>
          </w:tcPr>
          <w:p>
            <w:r>
              <w:t>Zero access to client position/trade data</w:t>
            </w:r>
          </w:p>
        </w:tc>
      </w:tr>
    </w:tbl>
    <w:p/>
    <w:p>
      <w:r>
        <w:t>This architecture means RISKCORE faces fewer compliance burdens than cloud SaaS providers. Clients are responsible for their own data security, and we provide the tools to help them.</w:t>
      </w:r>
    </w:p>
    <w:p>
      <w:pPr>
        <w:pStyle w:val="Heading1"/>
      </w:pPr>
      <w:r>
        <w:t>Cost Analysis: SOC 2 Certification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Low Estimate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 Estimate</w:t>
            </w:r>
          </w:p>
        </w:tc>
      </w:tr>
      <w:tr>
        <w:tc>
          <w:tcPr>
            <w:tcW w:type="dxa" w:w="2880"/>
          </w:tcPr>
          <w:p>
            <w:r>
              <w:t>Type I Audit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  <w:tc>
          <w:tcPr>
            <w:tcW w:type="dxa" w:w="2880"/>
          </w:tcPr>
          <w:p>
            <w:r>
              <w:t>$25,000</w:t>
            </w:r>
          </w:p>
        </w:tc>
      </w:tr>
      <w:tr>
        <w:tc>
          <w:tcPr>
            <w:tcW w:type="dxa" w:w="2880"/>
          </w:tcPr>
          <w:p>
            <w:r>
              <w:t>Type II Audit</w:t>
            </w:r>
          </w:p>
        </w:tc>
        <w:tc>
          <w:tcPr>
            <w:tcW w:type="dxa" w:w="2880"/>
          </w:tcPr>
          <w:p>
            <w:r>
              <w:t>$20,000</w:t>
            </w:r>
          </w:p>
        </w:tc>
        <w:tc>
          <w:tcPr>
            <w:tcW w:type="dxa" w:w="2880"/>
          </w:tcPr>
          <w:p>
            <w:r>
              <w:t>$35,000</w:t>
            </w:r>
          </w:p>
        </w:tc>
      </w:tr>
      <w:tr>
        <w:tc>
          <w:tcPr>
            <w:tcW w:type="dxa" w:w="2880"/>
          </w:tcPr>
          <w:p>
            <w:r>
              <w:t>SIEM/Logging Tools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</w:tr>
      <w:tr>
        <w:tc>
          <w:tcPr>
            <w:tcW w:type="dxa" w:w="2880"/>
          </w:tcPr>
          <w:p>
            <w:r>
              <w:t>Vulnerability Scanner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  <w:tr>
        <w:tc>
          <w:tcPr>
            <w:tcW w:type="dxa" w:w="2880"/>
          </w:tcPr>
          <w:p>
            <w:r>
              <w:t>MFA Solution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  <w:tr>
        <w:tc>
          <w:tcPr>
            <w:tcW w:type="dxa" w:w="2880"/>
          </w:tcPr>
          <w:p>
            <w:r>
              <w:t>GRC Platform (Vanta/Drata)</w:t>
            </w:r>
          </w:p>
        </w:tc>
        <w:tc>
          <w:tcPr>
            <w:tcW w:type="dxa" w:w="2880"/>
          </w:tcPr>
          <w:p>
            <w:r>
              <w:t>$8,000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</w:tr>
      <w:tr>
        <w:tc>
          <w:tcPr>
            <w:tcW w:type="dxa" w:w="2880"/>
          </w:tcPr>
          <w:p>
            <w:r>
              <w:t>Security Training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  <w:tr>
        <w:tc>
          <w:tcPr>
            <w:tcW w:type="dxa" w:w="2880"/>
          </w:tcPr>
          <w:p>
            <w:r>
              <w:t>Penetration Testing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YEAR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$59,000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$107,000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Heading2"/>
      </w:pPr>
      <w:r>
        <w:t>1. Build Compliant from Day 1</w:t>
      </w:r>
    </w:p>
    <w:p>
      <w:r>
        <w:t>Implement all SOC 2 controls in RISKCORE's architecture even without formal certification. This approach:</w:t>
      </w:r>
    </w:p>
    <w:p>
      <w:pPr>
        <w:pStyle w:val="ListBullet"/>
      </w:pPr>
      <w:r>
        <w:t>Creates a strong security foundation</w:t>
      </w:r>
    </w:p>
    <w:p>
      <w:pPr>
        <w:pStyle w:val="ListBullet"/>
      </w:pPr>
      <w:r>
        <w:t>Makes future certification easier</w:t>
      </w:r>
    </w:p>
    <w:p>
      <w:pPr>
        <w:pStyle w:val="ListBullet"/>
      </w:pPr>
      <w:r>
        <w:t>Allows us to say "built following SOC 2 principles"</w:t>
      </w:r>
    </w:p>
    <w:p>
      <w:pPr>
        <w:pStyle w:val="ListBullet"/>
      </w:pPr>
      <w:r>
        <w:t>Provides real security benefits to customers</w:t>
      </w:r>
    </w:p>
    <w:p>
      <w:pPr>
        <w:pStyle w:val="Heading2"/>
      </w:pPr>
      <w:r>
        <w:t>2. Certify After Revenue Threshold</w:t>
      </w:r>
    </w:p>
    <w:p>
      <w:r>
        <w:t>Pursue formal SOC 2 certification when ARR exceeds $500K. At this point:</w:t>
      </w:r>
    </w:p>
    <w:p>
      <w:pPr>
        <w:pStyle w:val="ListBullet"/>
      </w:pPr>
      <w:r>
        <w:t>Revenue can absorb $55K-90K annual cost</w:t>
      </w:r>
    </w:p>
    <w:p>
      <w:pPr>
        <w:pStyle w:val="ListBullet"/>
      </w:pPr>
      <w:r>
        <w:t>Enterprise customers requiring SOC 2 reports are more likely</w:t>
      </w:r>
    </w:p>
    <w:p>
      <w:pPr>
        <w:pStyle w:val="ListBullet"/>
      </w:pPr>
      <w:r>
        <w:t>Certification becomes a competitive advantage</w:t>
      </w:r>
    </w:p>
    <w:p>
      <w:pPr>
        <w:pStyle w:val="Heading2"/>
      </w:pPr>
      <w:r>
        <w:t>3. Tier-Specific Security Marketing</w:t>
      </w:r>
    </w:p>
    <w:p>
      <w:r>
        <w:t>Update pricing pages and documentation to clearly show security features by tier:</w:t>
      </w:r>
    </w:p>
    <w:p>
      <w:pPr>
        <w:pStyle w:val="ListBullet"/>
      </w:pPr>
      <w:r>
        <w:t>Free: Enterprise-grade security foundations (RBAC, RLS, encryption)</w:t>
      </w:r>
    </w:p>
    <w:p>
      <w:pPr>
        <w:pStyle w:val="ListBullet"/>
      </w:pPr>
      <w:r>
        <w:t>Pro: + MFA, extended audit logs, security questionnaire</w:t>
      </w:r>
    </w:p>
    <w:p>
      <w:pPr>
        <w:pStyle w:val="ListBullet"/>
      </w:pPr>
      <w:r>
        <w:t>Enterprise: + SSO/SAML, penetration test report, SOC 2 report (when available)</w:t>
      </w:r>
    </w:p>
    <w:p>
      <w:pPr>
        <w:pStyle w:val="Heading2"/>
      </w:pPr>
      <w:r>
        <w:t>4. Use GRC Platform for Efficiency</w:t>
      </w:r>
    </w:p>
    <w:p>
      <w:r>
        <w:t>When ready for certification, use a GRC platform like Vanta or Drata ($10K/year) to:</w:t>
      </w:r>
    </w:p>
    <w:p>
      <w:pPr>
        <w:pStyle w:val="ListBullet"/>
      </w:pPr>
      <w:r>
        <w:t>Automate evidence collection</w:t>
      </w:r>
    </w:p>
    <w:p>
      <w:pPr>
        <w:pStyle w:val="ListBullet"/>
      </w:pPr>
      <w:r>
        <w:t>Continuously monitor compliance</w:t>
      </w:r>
    </w:p>
    <w:p>
      <w:pPr>
        <w:pStyle w:val="ListBullet"/>
      </w:pPr>
      <w:r>
        <w:t>Streamline audit process</w:t>
      </w:r>
    </w:p>
    <w:p>
      <w:pPr>
        <w:pStyle w:val="ListBullet"/>
      </w:pPr>
      <w:r>
        <w:t>Reduce manual documentation effort</w:t>
      </w:r>
    </w:p>
    <w:p>
      <w:pPr>
        <w:pStyle w:val="Heading1"/>
      </w:pPr>
      <w: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</w:tr>
      <w:tr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Now (MVP)</w:t>
            </w:r>
          </w:p>
        </w:tc>
        <w:tc>
          <w:tcPr>
            <w:tcW w:type="dxa" w:w="2880"/>
          </w:tcPr>
          <w:p>
            <w:r>
              <w:t>Build with SOC 2 controls, document security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$0-100K ARR</w:t>
            </w:r>
          </w:p>
        </w:tc>
        <w:tc>
          <w:tcPr>
            <w:tcW w:type="dxa" w:w="2880"/>
          </w:tcPr>
          <w:p>
            <w:r>
              <w:t>Security whitepaper, DPA template, IR plan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$100K-500K ARR</w:t>
            </w:r>
          </w:p>
        </w:tc>
        <w:tc>
          <w:tcPr>
            <w:tcW w:type="dxa" w:w="2880"/>
          </w:tcPr>
          <w:p>
            <w:r>
              <w:t>Penetration test, SOC 2 readiness assessment</w:t>
            </w:r>
          </w:p>
        </w:tc>
      </w:tr>
      <w:tr>
        <w:tc>
          <w:tcPr>
            <w:tcW w:type="dxa" w:w="2880"/>
          </w:tcPr>
          <w:p>
            <w:r>
              <w:t>Certification</w:t>
            </w:r>
          </w:p>
        </w:tc>
        <w:tc>
          <w:tcPr>
            <w:tcW w:type="dxa" w:w="2880"/>
          </w:tcPr>
          <w:p>
            <w:r>
              <w:t>$500K+ ARR</w:t>
            </w:r>
          </w:p>
        </w:tc>
        <w:tc>
          <w:tcPr>
            <w:tcW w:type="dxa" w:w="2880"/>
          </w:tcPr>
          <w:p>
            <w:r>
              <w:t>SOC 2 Type I, then Type II audit</w:t>
            </w:r>
          </w:p>
        </w:tc>
      </w:tr>
    </w:tbl>
    <w:p>
      <w:pPr>
        <w:pStyle w:val="Heading1"/>
      </w:pPr>
      <w:r>
        <w:t>Conclusion</w:t>
      </w:r>
    </w:p>
    <w:p>
      <w:r>
        <w:t>SOC 2 certification is valuable but expensive. For RISKCORE, the optimal strategy is to build with all SOC 2 principles from day 1 while deferring formal certification until revenue justifies the cost. Our self-hosted architecture provides inherent security advantages that we should highlight in marketing materials.</w:t>
      </w:r>
    </w:p>
    <w:p/>
    <w:p>
      <w:r>
        <w:rPr>
          <w:b/>
        </w:rPr>
        <w:t>Immediate Action Items:</w:t>
      </w:r>
    </w:p>
    <w:p>
      <w:pPr>
        <w:pStyle w:val="ListBullet"/>
      </w:pPr>
      <w:r>
        <w:t>Implement MFA for Pro/Enterprise tiers</w:t>
      </w:r>
    </w:p>
    <w:p>
      <w:pPr>
        <w:pStyle w:val="ListBullet"/>
      </w:pPr>
      <w:r>
        <w:t>Create security whitepaper for website</w:t>
      </w:r>
    </w:p>
    <w:p>
      <w:pPr>
        <w:pStyle w:val="ListBullet"/>
      </w:pPr>
      <w:r>
        <w:t>Update pricing page with security feature matrix</w:t>
      </w:r>
    </w:p>
    <w:p>
      <w:pPr>
        <w:pStyle w:val="ListBullet"/>
      </w:pPr>
      <w:r>
        <w:t>Draft incident response plan</w:t>
      </w:r>
    </w:p>
    <w:p>
      <w:pPr>
        <w:pStyle w:val="ListBullet"/>
      </w:pPr>
      <w:r>
        <w:t>Prepare security questionnaire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