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D1B2B"/>
          <w:sz w:val="64"/>
        </w:rPr>
        <w:t>MODÈLE B</w:t>
      </w:r>
    </w:p>
    <w:p>
      <w:pPr>
        <w:jc w:val="center"/>
      </w:pPr>
      <w:r>
        <w:rPr>
          <w:b/>
          <w:sz w:val="46"/>
        </w:rPr>
        <w:t>Hierarchical Shrinkage Forecast</w:t>
      </w:r>
    </w:p>
    <w:p>
      <w:pPr>
        <w:jc w:val="center"/>
      </w:pPr>
      <w:r>
        <w:rPr>
          <w:sz w:val="28"/>
        </w:rPr>
        <w:t>JADCO / Collection Équinoxe — PolyAI / CodeML 2026</w:t>
      </w:r>
    </w:p>
    <w:p>
      <w:pPr>
        <w:jc w:val="center"/>
      </w:pPr>
      <w:r>
        <w:rPr>
          <w:i/>
          <w:sz w:val="24"/>
        </w:rPr>
        <w:t>Document méthodologique, résultats de validation et prévision 2026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Élément</w:t>
            </w:r>
          </w:p>
        </w:tc>
        <w:tc>
          <w:tcPr>
            <w:tcW w:type="dxa" w:w="792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Décision Model B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Deux étages : occurrence de transition + croissance conditionnelle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Occurrence p_i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Taux empiriques hiérarchiques avec shrinkage / partial pooling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Croissance g_i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Médiane robuste de croissance conditionnelle ; baseline année précédente retenue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Agrégation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 = médiane des contributions p_i × g_i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Walk-forward strict 2023 / 2024 / 2025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Prévision 2026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0,397906 % sur 931 unités candidates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Gouvernance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Foundation Freeze intact ; développement isolé sur la branche model-b</w:t>
            </w:r>
          </w:p>
        </w:tc>
      </w:tr>
    </w:tbl>
    <w:p>
      <w:pPr>
        <w:jc w:val="center"/>
      </w:pPr>
      <w:r>
        <w:rPr>
          <w:color w:val="646464"/>
          <w:sz w:val="18"/>
        </w:rPr>
        <w:t>Version finale — 4 octobre 2026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t>1. Résumé exécutif</w:t>
      </w:r>
    </w:p>
    <w:p>
      <w:r>
        <w:t>2. Position du Model B dans le système</w:t>
      </w:r>
    </w:p>
    <w:p>
      <w:r>
        <w:t>3. Fondation commune et contrat figé</w:t>
      </w:r>
    </w:p>
    <w:p>
      <w:r>
        <w:t>4. Définition mathématique</w:t>
      </w:r>
    </w:p>
    <w:p>
      <w:r>
        <w:t>5. Données et cohortes</w:t>
      </w:r>
    </w:p>
    <w:p>
      <w:r>
        <w:t>6. Architecture du Model B</w:t>
      </w:r>
    </w:p>
    <w:p>
      <w:r>
        <w:t>7. Sous-modèle d’occurrence p_i</w:t>
      </w:r>
    </w:p>
    <w:p>
      <w:r>
        <w:t>8. Tournoi occurrence 2023–2025</w:t>
      </w:r>
    </w:p>
    <w:p>
      <w:r>
        <w:t>9. Sous-modèle de croissance g_i</w:t>
      </w:r>
    </w:p>
    <w:p>
      <w:r>
        <w:t>10. Tournoi croissance 2023–2025</w:t>
      </w:r>
    </w:p>
    <w:p>
      <w:r>
        <w:t>11. Assemblage final P1</w:t>
      </w:r>
    </w:p>
    <w:p>
      <w:r>
        <w:t>12. Backtest final 2023–2025</w:t>
      </w:r>
    </w:p>
    <w:p>
      <w:r>
        <w:t>13. Prévision 2026</w:t>
      </w:r>
    </w:p>
    <w:p>
      <w:r>
        <w:t>14. Analyse externe 2026</w:t>
      </w:r>
    </w:p>
    <w:p>
      <w:r>
        <w:t>15. Anti-leakage, gouvernance et reproductibilité</w:t>
      </w:r>
    </w:p>
    <w:p>
      <w:r>
        <w:t>16. Difficultés rencontrées et solutions</w:t>
      </w:r>
    </w:p>
    <w:p>
      <w:r>
        <w:t>17. Limites et risques</w:t>
      </w:r>
    </w:p>
    <w:p>
      <w:r>
        <w:t>18. Handoff pour la comparaison Model A vs Model B</w:t>
      </w:r>
    </w:p>
    <w:p>
      <w:r>
        <w:t>19. Conclusion</w:t>
      </w:r>
    </w:p>
    <w:p>
      <w:r>
        <w:t>Annexes</w:t>
      </w:r>
    </w:p>
    <w:p>
      <w:r>
        <w:br w:type="page"/>
      </w:r>
    </w:p>
    <w:p>
      <w:pPr>
        <w:pStyle w:val="Heading1"/>
      </w:pPr>
      <w:r>
        <w:t>1. Résumé exécutif</w:t>
      </w:r>
    </w:p>
    <w:p>
      <w:r>
        <w:t>Le Model B a été conçu comme une alternative statistique, hiérarchique et volontairement plus simple que le Model A. Il conserve exactement la même fondation : mêmes cohortes, mêmes cutoffs, même cible de croissance, même définition business P1 et mêmes règles anti-leakage. La différence se situe uniquement dans la manière d’estimer la probabilité de transition p_i et la croissance conditionnelle g_i.</w:t>
      </w:r>
    </w:p>
    <w:p>
      <w:pPr>
        <w:pStyle w:val="ListBullet"/>
      </w:pPr>
      <w:r>
        <w:t>Occurrence retenue : hiérarchie province → province + mois d’échéance, shrinkage λ = 20.</w:t>
      </w:r>
    </w:p>
    <w:p>
      <w:pPr>
        <w:pStyle w:val="ListBullet"/>
      </w:pPr>
      <w:r>
        <w:t>Croissance retenue : médiane de la croissance conditionnelle de l’année précédente (baseline robuste G0).</w:t>
      </w:r>
    </w:p>
    <w:p>
      <w:pPr>
        <w:pStyle w:val="ListBullet"/>
      </w:pPr>
      <w:r>
        <w:t>Agrégation : contribution_i = p_i × g_i, puis P1 = médiane des contributions.</w:t>
      </w:r>
    </w:p>
    <w:p>
      <w:pPr>
        <w:pStyle w:val="ListBullet"/>
      </w:pPr>
      <w:r>
        <w:t>Backtest final P1_G0 : MAE 0,587807 pp, RMSE 0,686221 pp, biais -0,441200 pp, pire erreur annuelle 1,065971 pp.</w:t>
      </w:r>
    </w:p>
    <w:p>
      <w:pPr>
        <w:pStyle w:val="ListBullet"/>
      </w:pPr>
      <w:r>
        <w:t>Prévision finale 2026 : 0,397906 % pour 931 unités candidates.</w:t>
      </w:r>
    </w:p>
    <w:p>
      <w:pPr>
        <w:pStyle w:val="ListBullet"/>
      </w:pPr>
      <w:r>
        <w:t>Données externes : conservées en sensibilité qualitative uniquement, faute de disponibilité historique suffisante pour un backtest équitable.</w:t>
      </w:r>
    </w:p>
    <w:p>
      <w:r>
        <w:t>Le Model B n’est pas présenté comme une croissance complète du rent roll. Il s’agit d’un indice médian de contribution attendue des transitions à la croissance annualisée du loyer effectif des unités à échéance.</w:t>
      </w:r>
    </w:p>
    <w:p>
      <w:pPr>
        <w:pStyle w:val="Heading1"/>
      </w:pPr>
      <w:r>
        <w:t>2. Position du Model B dans le système</w:t>
      </w:r>
    </w:p>
    <w:p>
      <w:r>
        <w:t>Le Model B ne redéfinit pas le problème. Il intervient au-dessus de la foundation commune déjà validée. Son objectif est de tester une hypothèse suffisamment différente du Model A : plutôt qu’un pipeline ML au niveau unité, B privilégie des statistiques de segments, des médianes robustes et du partial pooling hiérarchique.</w:t>
      </w:r>
    </w:p>
    <w:p>
      <w:pPr>
        <w:jc w:val="center"/>
      </w:pPr>
      <w:r>
        <w:rPr>
          <w:rFonts w:ascii="Consolas" w:hAnsi="Consolas"/>
          <w:b/>
          <w:sz w:val="21"/>
        </w:rPr>
        <w:t>Cohorte au cutoff → features admissibles → p_i → g_i → p_i × g_i → médiane → P1</w:t>
      </w:r>
    </w:p>
    <w:p>
      <w:pPr>
        <w:pStyle w:val="ListBullet"/>
      </w:pPr>
      <w:r>
        <w:t>Model A : approche ML hybride au niveau unité.</w:t>
      </w:r>
    </w:p>
    <w:p>
      <w:pPr>
        <w:pStyle w:val="ListBullet"/>
      </w:pPr>
      <w:r>
        <w:t>Model B : approche hiérarchique / segmentaire avec shrinkage.</w:t>
      </w:r>
    </w:p>
    <w:p>
      <w:pPr>
        <w:pStyle w:val="ListBullet"/>
      </w:pPr>
      <w:r>
        <w:t>La comparaison A vs B est laissée au tournoi final de l’équipe ; ce document ne choisit pas entre A et B.</w:t>
      </w:r>
    </w:p>
    <w:p>
      <w:pPr>
        <w:pStyle w:val="Heading1"/>
      </w:pPr>
      <w:r>
        <w:t>3. Fondation commune et contrat figé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777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Contrat commun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Clé same-unit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sPropCode + sUnitCode ; ne jamais utiliser sSite + sUnitCode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Target principale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target_effective_annualized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Annualisation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(R_new / R_old)^(365,25 / jours) - 1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Cohorte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Dernier bail connu au cutoff dont l’échéance contractuelle tombe dans l’année cible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Cutoffs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2022-12-31 → 2023 ; 2023-12-31 → 2024 ; 2024-12-31 → 2025 ; 2025-12-31 → 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Business target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 : médiane de p_i × E(G_i | transition)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Règle externe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availability_verified=True et available_date ≤ prediction_origin</w:t>
            </w:r>
          </w:p>
        </w:tc>
      </w:tr>
    </w:tbl>
    <w:p>
      <w:r>
        <w:t>La foundation avait également identifié 3 241 transitions same-unit couvrant 892 unités, avec une couverture de 84,07 %. En 2025, la croissance same-unit observée était d’environ 7,177 % en contractuel et 3,714 % en effectif, ce qui justifie l’usage du loyer effectif comme mesure économique principale.</w:t>
      </w:r>
    </w:p>
    <w:p>
      <w:pPr>
        <w:pStyle w:val="Heading1"/>
      </w:pPr>
      <w:r>
        <w:t>4. Définition mathématique</w:t>
      </w:r>
    </w:p>
    <w:p>
      <w:pPr>
        <w:pStyle w:val="Heading2"/>
      </w:pPr>
      <w:r>
        <w:t>4.1 Croissance conditionnelle</w:t>
      </w:r>
    </w:p>
    <w:p>
      <w:pPr>
        <w:jc w:val="center"/>
      </w:pPr>
      <w:r>
        <w:rPr>
          <w:rFonts w:ascii="Consolas" w:hAnsi="Consolas"/>
          <w:b/>
          <w:sz w:val="21"/>
        </w:rPr>
        <w:t>G_i = (R_effectif,nouveau / R_effectif,ancien)^(365,25 / Δjours) - 1</w:t>
      </w:r>
    </w:p>
    <w:p>
      <w:r>
        <w:t>G_i est la croissance annualisée du loyer effectif entre deux baux consécutifs de la même unité. L’intervalle réel entre les dates de début est utilisé ; sTermMonths n’est pas utilisé pour annualiser.</w:t>
      </w:r>
    </w:p>
    <w:p>
      <w:pPr>
        <w:pStyle w:val="Heading2"/>
      </w:pPr>
      <w:r>
        <w:t>4.2 Occurrence de transition</w:t>
      </w:r>
    </w:p>
    <w:p>
      <w:pPr>
        <w:jc w:val="center"/>
      </w:pPr>
      <w:r>
        <w:rPr>
          <w:rFonts w:ascii="Consolas" w:hAnsi="Consolas"/>
          <w:b/>
          <w:sz w:val="21"/>
        </w:rPr>
        <w:t>p_i = P(T_i = 1 | informations connues au cutoff)</w:t>
      </w:r>
    </w:p>
    <w:p>
      <w:r>
        <w:t>Le label de transition n’est révélé qu’après la prédiction. La cohorte candidate est constituée avec l’information disponible au cutoff.</w:t>
      </w:r>
    </w:p>
    <w:p>
      <w:pPr>
        <w:pStyle w:val="Heading2"/>
      </w:pPr>
      <w:r>
        <w:t>4.3 Contribution et P1</w:t>
      </w:r>
    </w:p>
    <w:p>
      <w:pPr>
        <w:jc w:val="center"/>
      </w:pPr>
      <w:r>
        <w:rPr>
          <w:rFonts w:ascii="Consolas" w:hAnsi="Consolas"/>
          <w:b/>
          <w:sz w:val="21"/>
        </w:rPr>
        <w:t>contribution_i = p_i × g_i</w:t>
      </w:r>
    </w:p>
    <w:p>
      <w:pPr>
        <w:jc w:val="center"/>
      </w:pPr>
      <w:r>
        <w:rPr>
          <w:rFonts w:ascii="Consolas" w:hAnsi="Consolas"/>
          <w:b/>
          <w:sz w:val="21"/>
        </w:rPr>
        <w:t>Forecast_B(Y) = 100 × médiane_i [ p_i × g_i ]</w:t>
      </w:r>
    </w:p>
    <w:p>
      <w:r>
        <w:t>P1 est un indice événementiel. Il ne doit pas être présenté comme une prévision du rent roll total.</w:t>
      </w:r>
    </w:p>
    <w:p>
      <w:pPr>
        <w:pStyle w:val="Heading1"/>
      </w:pPr>
      <w:r>
        <w:t>5. Données et cohortes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Année test</w:t>
            </w:r>
          </w:p>
        </w:tc>
        <w:tc>
          <w:tcPr>
            <w:tcW w:type="dxa" w:w="201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Prediction origin</w:t>
            </w:r>
          </w:p>
        </w:tc>
        <w:tc>
          <w:tcPr>
            <w:tcW w:type="dxa" w:w="158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Candidats</w:t>
            </w:r>
          </w:p>
        </w:tc>
        <w:tc>
          <w:tcPr>
            <w:tcW w:type="dxa" w:w="216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Transitions observées</w:t>
            </w:r>
          </w:p>
        </w:tc>
        <w:tc>
          <w:tcPr>
            <w:tcW w:type="dxa" w:w="172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Taux observé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2022-12-31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99,012 %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2023-12-31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645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634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98,295 %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2024-12-31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856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773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90,304 %</w:t>
            </w:r>
          </w:p>
        </w:tc>
      </w:tr>
    </w:tbl>
    <w:p>
      <w:r>
        <w:t>La baisse du taux de transition en 2025 est un signal de dérive de régime important. Elle a été traitée comme une source d’instabilité à mesurer, et non comme une causalité attribuée à un immeuble particulier.</w:t>
      </w:r>
    </w:p>
    <w:p>
      <w:pPr>
        <w:pStyle w:val="Heading2"/>
      </w:pPr>
      <w:r>
        <w:t>5.1 Cohorte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72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Unités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Québec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810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Ontario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121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Daniel-Johnson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Le Carlyle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180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Lévesque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75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Saint-Elzéar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268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Met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121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Westpark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159</w:t>
            </w:r>
          </w:p>
        </w:tc>
      </w:tr>
    </w:tbl>
    <w:p>
      <w:pPr>
        <w:pStyle w:val="Heading1"/>
      </w:pPr>
      <w:r>
        <w:t>6. Architecture du Model B</w:t>
      </w:r>
    </w:p>
    <w:p>
      <w:r>
        <w:t>Le Model B a été construit en deux composantes indépendantes puis recombinées. Cette séparation permet d’utiliser une méthode adaptée à chaque sous-problème : un estimateur de probabilités pour l’occurrence et un estimateur robuste de croissance pour les transitions observées.</w:t>
      </w:r>
    </w:p>
    <w:p>
      <w:pPr>
        <w:pStyle w:val="ListBullet"/>
      </w:pPr>
      <w:r>
        <w:t>B1 — Occurrence : taux empiriques hiérarchiques avec shrinkage vers un parent plus large.</w:t>
      </w:r>
    </w:p>
    <w:p>
      <w:pPr>
        <w:pStyle w:val="ListBullet"/>
      </w:pPr>
      <w:r>
        <w:t>B2 — Growth : médianes de croissance par segment avec shrinkage robuste vers le parent.</w:t>
      </w:r>
    </w:p>
    <w:p>
      <w:pPr>
        <w:pStyle w:val="ListBullet"/>
      </w:pPr>
      <w:r>
        <w:t>B3 — P1 : quatre combinaisons finalistes p_i × g_i évaluées sur 2023–2025.</w:t>
      </w:r>
    </w:p>
    <w:p>
      <w:pPr>
        <w:pStyle w:val="Heading1"/>
      </w:pPr>
      <w:r>
        <w:t>7. Sous-modèle d’occurrence p_i</w:t>
      </w:r>
    </w:p>
    <w:p>
      <w:r>
        <w:t>L’objectif est d’estimer la probabilité qu’une unité candidate réalise une transition pendant l’année cible. La méthode B évite la régression logistique et utilise des taux historiques segmentaires avec partial pooling.</w:t>
      </w:r>
    </w:p>
    <w:p>
      <w:pPr>
        <w:jc w:val="center"/>
      </w:pPr>
      <w:r>
        <w:rPr>
          <w:rFonts w:ascii="Consolas" w:hAnsi="Consolas"/>
          <w:b/>
          <w:sz w:val="21"/>
        </w:rPr>
        <w:t>p_child = (n_child × taux_child + λ × p_parent) / (n_child + λ)</w:t>
      </w:r>
    </w:p>
    <w:p>
      <w:r>
        <w:t>Un petit segment est fortement ramené vers son parent ; un grand segment conserve davantage son taux empirique. Les segments inconnus retombent récursivement vers le parent puis le global.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Hiérarchies testées</w:t>
            </w:r>
          </w:p>
        </w:tc>
        <w:tc>
          <w:tcPr>
            <w:tcW w:type="dxa" w:w="288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Shrinkage λ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global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1, 2, 5, 10, 20, 50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province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1, 2, 5, 10, 20, 50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building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1, 2, 5, 10, 20, 50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province → province+expiry_month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1, 2, 5, 10, 20, 50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building → building+expiry_month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1, 2, 5, 10, 20, 50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province → building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1, 2, 5, 10, 20, 50</w:t>
            </w:r>
          </w:p>
        </w:tc>
      </w:tr>
      <w:tr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province → building → building+expiry_month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1, 2, 5, 10, 20, 50</w:t>
            </w:r>
          </w:p>
        </w:tc>
      </w:tr>
    </w:tbl>
    <w:p>
      <w:pPr>
        <w:pStyle w:val="Heading1"/>
      </w:pPr>
      <w:r>
        <w:t>8. Tournoi occurrence 2023–2025</w:t>
      </w:r>
    </w:p>
    <w:p>
      <w:r>
        <w:t>Le tournoi réel a évalué 42 configurations Model B et la baseline historical-global sur les trois années, soit 129 lignes de fold. Le critère principal pour p_i était la qualité probabiliste (Brier, calibration) avec vérification de la stabilité P1.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158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Mean Brier</w:t>
            </w:r>
          </w:p>
        </w:tc>
        <w:tc>
          <w:tcPr>
            <w:tcW w:type="dxa" w:w="216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Mean |calibration gap|</w:t>
            </w:r>
          </w:p>
        </w:tc>
        <w:tc>
          <w:tcPr>
            <w:tcW w:type="dxa" w:w="158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P1 MAE (pp)</w:t>
            </w:r>
          </w:p>
        </w:tc>
        <w:tc>
          <w:tcPr>
            <w:tcW w:type="dxa" w:w="331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Commentaire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Historical global baseline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0,040124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0,029170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0,917514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Référence robuste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Province + expiry_month, λ=20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0,038624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0,027175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0,928185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Meilleur mean Brier ; retenu pour p_i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Building, λ=5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0,049341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0,003413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0,915244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Très bonne calibration moyenne, mais instable en 2025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Building + expiry_month, λ=5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0,049151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0,002559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0,944754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Meilleure calibration moyenne, mais Brier/P1 moins bons</w:t>
            </w:r>
          </w:p>
        </w:tc>
      </w:tr>
    </w:tbl>
    <w:p>
      <w:r>
        <w:t>En 2025, la baseline historique prédisait 98,19 % de transitions contre 90,30 % observé. Les variantes building à faible shrinkage ont parfois corrigé la calibration moyenne, mais au prix de Brier beaucoup plus élevés. La configuration province + expiry_month, λ=20 offrait le meilleur compromis pour le sous-modèle d’occurrence.</w:t>
      </w:r>
    </w:p>
    <w:p>
      <w:r>
        <w:drawing>
          <wp:inline xmlns:a="http://schemas.openxmlformats.org/drawingml/2006/main" xmlns:pic="http://schemas.openxmlformats.org/drawingml/2006/picture">
            <wp:extent cx="6035040" cy="3379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currence_r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Sous-modèle de croissance g_i</w:t>
      </w:r>
    </w:p>
    <w:p>
      <w:r>
        <w:t>Pour la croissance conditionnelle, B a testé une approche robuste basée sur la médiane, afin de limiter l’influence des valeurs extrêmes de croissance annualisée.</w:t>
      </w:r>
    </w:p>
    <w:p>
      <w:pPr>
        <w:jc w:val="center"/>
      </w:pPr>
      <w:r>
        <w:rPr>
          <w:rFonts w:ascii="Consolas" w:hAnsi="Consolas"/>
          <w:b/>
          <w:sz w:val="21"/>
        </w:rPr>
        <w:t>w = n / (n + λ)</w:t>
      </w:r>
    </w:p>
    <w:p>
      <w:pPr>
        <w:jc w:val="center"/>
      </w:pPr>
      <w:r>
        <w:rPr>
          <w:rFonts w:ascii="Consolas" w:hAnsi="Consolas"/>
          <w:b/>
          <w:sz w:val="21"/>
        </w:rPr>
        <w:t>g_child = w × médiane(g_child) + (1 - w) × g_parent</w:t>
      </w:r>
    </w:p>
    <w:p>
      <w:r>
        <w:t>Les hiérarchies testées incluaient global, province, building, bedrooms, province → building, building → bedrooms et province → building → bedrooms, avec les mêmes forces de shrinkage 1, 2, 5, 10, 20 et 50.</w:t>
      </w:r>
    </w:p>
    <w:p>
      <w:pPr>
        <w:pStyle w:val="Heading1"/>
      </w:pPr>
      <w:r>
        <w:t>10. Tournoi croissance 2023–2025</w:t>
      </w:r>
    </w:p>
    <w:p>
      <w:r>
        <w:t>Le tournoi croissance a évalué 44 configurations. Après correction du scope de scoring pour comparer Model B et les baselines sur les mêmes transitions candidates, les meilleurs résultats observés étaient les suivants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60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Critère</w:t>
            </w:r>
          </w:p>
        </w:tc>
        <w:tc>
          <w:tcPr>
            <w:tcW w:type="dxa" w:w="475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Meilleur résultat</w:t>
            </w:r>
          </w:p>
        </w:tc>
        <w:tc>
          <w:tcPr>
            <w:tcW w:type="dxa" w:w="201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Valeur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Mean MAE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Baseline médiane année précédente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4,250699 pp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Mean RMSE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Province, λ=1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5,669891 pp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Portfolio MAE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Baseline médiane année précédente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0,727596 pp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Pire erreur annuelle portefeuille</w:t>
            </w:r>
          </w:p>
        </w:tc>
        <w:tc>
          <w:tcPr>
            <w:tcW w:type="dxa" w:w="4752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Baseline médiane année précédente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1,434467 pp</w:t>
            </w:r>
          </w:p>
        </w:tc>
      </w:tr>
    </w:tbl>
    <w:p>
      <w:r>
        <w:t>Conclusion : le growth hiérarchique G1 pouvait améliorer certains critères ou certaines années, mais la médiane de l’année précédente était plus robuste au niveau portefeuille. En particulier, les variantes G1 sous-prédisaient en 2025 après avoir sur-prédit 2023–2024. La baseline G0 a donc été conservée pour l’assemblage final.</w:t>
      </w:r>
    </w:p>
    <w:p>
      <w:pPr>
        <w:pStyle w:val="Heading1"/>
      </w:pPr>
      <w:r>
        <w:t>11. Assemblage final P1</w:t>
      </w:r>
    </w:p>
    <w:p>
      <w:r>
        <w:t>Quatre combinaisons finalistes ont été évaluées sans retuning supplémentaire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type="dxa" w:w="50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Occurrence</w:t>
            </w:r>
          </w:p>
        </w:tc>
        <w:tc>
          <w:tcPr>
            <w:tcW w:type="dxa" w:w="432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Growth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P0_G0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Historical global baseline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Médiane année précédente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P0_G1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Historical global baseline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Growth hiérarchique province, λ=1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P1_G0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Province → province+expiry_month, λ=20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Médiane année précédente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P1_G1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Province → province+expiry_month, λ=20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Growth hiérarchique province, λ=1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58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72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P1 MAE</w:t>
            </w:r>
          </w:p>
        </w:tc>
        <w:tc>
          <w:tcPr>
            <w:tcW w:type="dxa" w:w="172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P1 RMSE</w:t>
            </w:r>
          </w:p>
        </w:tc>
        <w:tc>
          <w:tcPr>
            <w:tcW w:type="dxa" w:w="172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Biais</w:t>
            </w:r>
          </w:p>
        </w:tc>
        <w:tc>
          <w:tcPr>
            <w:tcW w:type="dxa" w:w="244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Pire erreur annuelle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P0_G0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0,594273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0,704724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-0,467536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1,100824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P0_G1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0,935591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1,054054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+0,654033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1,587158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P1_G0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0,587807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0,686221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-0,441200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1,065971</w:t>
            </w:r>
          </w:p>
        </w:tc>
      </w:tr>
      <w:tr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P1_G1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0,946731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1,078687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+0,695575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1,628247</w:t>
            </w:r>
          </w:p>
        </w:tc>
      </w:tr>
    </w:tbl>
    <w:p>
      <w:r>
        <w:t>P1_G0 termine premier sur les quatre métriques de synthèse. Cette combinaison est donc figée comme Model B final avant de regarder le résultat 2026.</w:t>
      </w:r>
    </w:p>
    <w:p>
      <w:pPr>
        <w:pStyle w:val="Heading1"/>
      </w:pPr>
      <w:r>
        <w:t>12. Backtest final 2023–2025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Année</w:t>
            </w:r>
          </w:p>
        </w:tc>
        <w:tc>
          <w:tcPr>
            <w:tcW w:type="dxa" w:w="244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Prévision P1</w:t>
            </w:r>
          </w:p>
        </w:tc>
        <w:tc>
          <w:tcPr>
            <w:tcW w:type="dxa" w:w="244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Réalisé P1</w:t>
            </w:r>
          </w:p>
        </w:tc>
        <w:tc>
          <w:tcPr>
            <w:tcW w:type="dxa" w:w="216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Erreur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2.256013 %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2.036102 %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+0.219911 pp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2024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1.130315 %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1.607852 %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-0.477538 pp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2025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2.234907 %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3.300878 %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-1.065971 pp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33796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7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Lecture : le modèle est légèrement trop élevé en 2023, trop bas en 2024 et surtout en 2025. L’erreur 2025 reflète un changement de régime difficile à anticiper à partir des informations disponibles au cutoff.</w:t>
      </w:r>
    </w:p>
    <w:p>
      <w:pPr>
        <w:pStyle w:val="Heading1"/>
      </w:pPr>
      <w:r>
        <w:t>13. Prévision 2026</w:t>
      </w:r>
    </w:p>
    <w:p>
      <w:r>
        <w:t>Une fois P1_G0 figé, le pipeline a été appliqué au cutoff du 31 décembre 2025 sans retuning et sans lecture d’outcomes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47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Mesure</w:t>
            </w:r>
          </w:p>
        </w:tc>
        <w:tc>
          <w:tcPr>
            <w:tcW w:type="dxa" w:w="302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Résultat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Candidats 2026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931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p_i moyen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0,950387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p_i médian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0,968385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g_i — médiane année précédente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0,410897 %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Forecast Model B P1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0,397906 %</w:t>
            </w:r>
          </w:p>
        </w:tc>
      </w:tr>
    </w:tbl>
    <w:p>
      <w:r>
        <w:t>Le forecast faible provient principalement du g_i 2026 : seules 7 transitions 2025 éligibles au cutoff alimentaient la baseline année précédente, dont la médiane était 0,410897 %. Le facteur occurrence reste élevé, avec une médiane p_i de 96,84 %.</w:t>
      </w:r>
    </w:p>
    <w:p>
      <w:pPr>
        <w:pStyle w:val="Heading2"/>
      </w:pPr>
      <w:r>
        <w:t>13.1 Diagnostics par province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Province</w:t>
            </w:r>
          </w:p>
        </w:tc>
        <w:tc>
          <w:tcPr>
            <w:tcW w:type="dxa" w:w="172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Candidats</w:t>
            </w:r>
          </w:p>
        </w:tc>
        <w:tc>
          <w:tcPr>
            <w:tcW w:type="dxa" w:w="201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Mean p_i</w:t>
            </w:r>
          </w:p>
        </w:tc>
        <w:tc>
          <w:tcPr>
            <w:tcW w:type="dxa" w:w="201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P1 segment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Ontario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0,976217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0,4034 %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Québec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810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0,946529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0,3960 %</w:t>
            </w:r>
          </w:p>
        </w:tc>
      </w:tr>
    </w:tbl>
    <w:p>
      <w:pPr>
        <w:pStyle w:val="Heading2"/>
      </w:pPr>
      <w:r>
        <w:t>13.2 Diagnostics par immeuble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45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Immeuble</w:t>
            </w:r>
          </w:p>
        </w:tc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Candidats</w:t>
            </w:r>
          </w:p>
        </w:tc>
        <w:tc>
          <w:tcPr>
            <w:tcW w:type="dxa" w:w="187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Mean p_i</w:t>
            </w:r>
          </w:p>
        </w:tc>
        <w:tc>
          <w:tcPr>
            <w:tcW w:type="dxa" w:w="187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P1 segment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Daniel-Johnson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0.943643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0.3960 %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 Carlyle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0.941457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0.3960 %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Lévesque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0.935871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0.3960 %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Saint-Elzéar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268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0.950460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0.3960 %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The Met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0.976217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0.4034 %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Westpark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159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0.952996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0.3960 %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35040" cy="33192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ing_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19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13.3 Diagnostics par mois d’échéance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Mois</w:t>
            </w:r>
          </w:p>
        </w:tc>
        <w:tc>
          <w:tcPr>
            <w:tcW w:type="dxa" w:w="158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Candidats</w:t>
            </w:r>
          </w:p>
        </w:tc>
        <w:tc>
          <w:tcPr>
            <w:tcW w:type="dxa" w:w="201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Mean p_i</w:t>
            </w:r>
          </w:p>
        </w:tc>
        <w:tc>
          <w:tcPr>
            <w:tcW w:type="dxa" w:w="201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P1 segment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0.951523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0.3904 %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0.972072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0.3988 %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0.978535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0.4018 %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0.981757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0.4034 %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0.974068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0.3998 %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0.965990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0.3956 %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0.981625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0.4031 %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0.957335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0.3923 %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0.966407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0.3960 %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0.969569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0.3979 %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0.867457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0.3500 %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0.787222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0.3172 %</w:t>
            </w:r>
          </w:p>
        </w:tc>
      </w:tr>
    </w:tbl>
    <w:p>
      <w:r>
        <w:t>Les mois de novembre et décembre présentent des probabilités de transition plus faibles, avec des contributions médianes d’environ 0,3500 % et 0,3172 %. Tous les 931 candidats ont reçu une estimation province + mois ; aucun fallback vers province seule ou global n’a été nécessaire.</w:t>
      </w:r>
    </w:p>
    <w:p>
      <w:pPr>
        <w:pStyle w:val="Heading1"/>
      </w:pPr>
      <w:r>
        <w:t>14. Analyse externe 2026</w:t>
      </w:r>
    </w:p>
    <w:p>
      <w:r>
        <w:t>L’analyse externe a été menée séparément afin de ne pas contaminer le modèle principal. Sur 113 lignes externes, 12 étaient marquées comme vérifiées et 9 étaient effectivement admissibles au 31 décembre 2025. Elles appartenaient toutes à la famille TAL legacy rent-fixing components pour le Québec.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89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Signal TAL</w:t>
            </w:r>
          </w:p>
        </w:tc>
        <w:tc>
          <w:tcPr>
            <w:tcW w:type="dxa" w:w="129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Valeur</w:t>
            </w:r>
          </w:p>
        </w:tc>
        <w:tc>
          <w:tcPr>
            <w:tcW w:type="dxa" w:w="259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Référence</w:t>
            </w:r>
          </w:p>
        </w:tc>
        <w:tc>
          <w:tcPr>
            <w:tcW w:type="dxa" w:w="172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Disponible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tal_legacy_building_services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4.5 %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tal_legacy_capital_expenditure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4.7 %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tal_legacy_electricity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2.9 %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tal_legacy_fuel_oil_other_energy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-2.9 %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tal_legacy_gas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-5.8 %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tal_legacy_maintenance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6.9 %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tal_legacy_management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8.2 %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tal_legacy_net_income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6.9 %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  <w:tr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tal_legacy_personal_services_rpa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5.9 %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2025-04-02 / 2026-04-01</w:t>
            </w:r>
          </w:p>
        </w:tc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2025-01-21</w:t>
            </w:r>
          </w:p>
        </w:tc>
      </w:tr>
    </w:tbl>
    <w:p>
      <w:r>
        <w:t>Ces composantes sont mixtes et ne constituent pas un taux global de croissance des loyers. Elles ne sont pas directement comparables à la target same-unit effective-rent growth. De plus, aucune ligne externe vérifiée n’était admissible aux origins 2022-12-31, 2023-12-31 ou 2024-12-31. Elles ne pouvaient donc pas être intégrées proprement au tournoi historique 2023–2025.</w:t>
      </w:r>
    </w:p>
    <w:p>
      <w:pPr>
        <w:pStyle w:val="ListBullet"/>
      </w:pPr>
      <w:r>
        <w:t>Downside : pression externe plus faible que ce que suggèrent certains postes de coûts.</w:t>
      </w:r>
    </w:p>
    <w:p>
      <w:pPr>
        <w:pStyle w:val="ListBullet"/>
      </w:pPr>
      <w:r>
        <w:t>Base : forecast officiel inchangé à 0,397906 %.</w:t>
      </w:r>
    </w:p>
    <w:p>
      <w:pPr>
        <w:pStyle w:val="ListBullet"/>
      </w:pPr>
      <w:r>
        <w:t>Upside : certaines composantes positives pourraient soutenir des hausses supérieures, sans qu’un mapping quantitatif fiable vers la target soit démontré.</w:t>
      </w:r>
    </w:p>
    <w:p>
      <w:pPr>
        <w:pStyle w:val="Heading1"/>
      </w:pPr>
      <w:r>
        <w:t>15. Anti-leakage, gouvernance et reproductibilité</w:t>
      </w:r>
    </w:p>
    <w:p>
      <w:pPr>
        <w:pStyle w:val="ListBullet"/>
      </w:pPr>
      <w:r>
        <w:t>Prediction origins figés pour chaque année.</w:t>
      </w:r>
    </w:p>
    <w:p>
      <w:pPr>
        <w:pStyle w:val="ListBullet"/>
      </w:pPr>
      <w:r>
        <w:t>Cohorte construite avant révélation des transitions de l’année cible.</w:t>
      </w:r>
    </w:p>
    <w:p>
      <w:pPr>
        <w:pStyle w:val="ListBullet"/>
      </w:pPr>
      <w:r>
        <w:t>Aucun nouveau loyer, nouvelle concession, nouveau bail, sRenewal futur ou outcome futur dans les features.</w:t>
      </w:r>
    </w:p>
    <w:p>
      <w:pPr>
        <w:pStyle w:val="ListBullet"/>
      </w:pPr>
      <w:r>
        <w:t>Les données externes doivent satisfaire availability_verified=True et available_date ≤ prediction_origin.</w:t>
      </w:r>
    </w:p>
    <w:p>
      <w:pPr>
        <w:pStyle w:val="ListBullet"/>
      </w:pPr>
      <w:r>
        <w:t>Le forecast 2026 a été produit après sélection de P1_G0, sans retuning sur le résultat 2026.</w:t>
      </w:r>
    </w:p>
    <w:p>
      <w:pPr>
        <w:pStyle w:val="ListBullet"/>
      </w:pPr>
      <w:r>
        <w:t>Les fichiers CRM privés sont restés locaux et ignorés par Git.</w:t>
      </w:r>
    </w:p>
    <w:p>
      <w:pPr>
        <w:pStyle w:val="ListBullet"/>
      </w:pPr>
      <w:r>
        <w:t>Le développement a été isolé sur la branche model-b ; aucun push n’a été fait sur main.</w:t>
      </w:r>
    </w:p>
    <w:p>
      <w:r>
        <w:t>Vérification Git avant push : git diff --name-only main...HEAD ne montrait que les neuf fichiers nouveaux sous src/models/model_b/ et tests/model_b/. Aucun fichier de foundation, notebook, requirement, .gitignore ou dataset de départ n’a été modifié.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Fichiers ajoutés Model B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src/models/model_b/__init__.py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src/models/model_b/occurrence.py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src/models/model_b/growth.py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src/models/model_b/model.py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src/models/model_b/experiments.py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tests/model_b/test_occurrence.py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tests/model_b/test_growth.py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tests/model_b/test_model.py</w:t>
            </w:r>
          </w:p>
        </w:tc>
      </w:tr>
      <w:tr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tests/model_b/test_experiments.py</w:t>
            </w:r>
          </w:p>
        </w:tc>
      </w:tr>
    </w:tbl>
    <w:p>
      <w:r>
        <w:t>Validation finale : 53 tests Model B passés, plus 35 sous-tests. Le push a été effectué sur origin/model-b uniquement.</w:t>
      </w:r>
    </w:p>
    <w:p>
      <w:pPr>
        <w:pStyle w:val="Heading1"/>
      </w:pPr>
      <w:r>
        <w:t>16. Difficultés rencontrées et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Difficulté</w:t>
            </w:r>
          </w:p>
        </w:tc>
        <w:tc>
          <w:tcPr>
            <w:tcW w:type="dxa" w:w="381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432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Solution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Compatibilité Python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Python 3.14 ne pouvait pas installer correctement la stack pinée (notamment contourpy==1.3.0, absence de wheel et tentative de compilation).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Installation de Python 3.12, création d’un .venv dédié et réinstallation des requirements.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 .gitignore sous Windows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46/47 tests passaient ; un test git check-ignore échouait à cause des fins de ligne CRLF et de chemins lus avec \r.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Vérification manuelle de git check-ignore : external_signals.csv non ignoré, data/raw et data/processed bien ignorés. Aucun changement de foundation.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Données CRM absentes du repo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Le tournoi réel ne pouvait pas s’exécuter car les CSV privés n’étaient volontairement pas présents dans Git.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Copie locale vers data/raw/ depuis le dossier de travail précédent ; .gitignore confirmé avant toute exécution.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Transcription de résultats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Une première sortie Copilot avait des cellules 2024/2025 décalées dans le CSV texte.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Rerun complet et impression directe des DataFrames pandas avec validations de shape, types et duplicats.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Comparaison baseline vs Model B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Le premier tournoi g_i scorait les baselines sur un scope différent de Model B.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Réutilisation des fonctions de baseline de la foundation, mais scoring sur les mêmes transitions candidates cutoff-matched.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Cas de test baseline 2023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Dans un fixture synthétique, aucune étiquette 2022 mature n’était disponible pour la baseline previous-year.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Production laissée stricte ; valeur explicite uniquement dans le fixture de test.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Découverte de tests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Pylance signalait parfois “No tests found” ou pytest avait besoin du bon PYTHONPATH.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Exécution explicite de pytest avec l’interpréteur du .venv et PYTHONPATH du workspace.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Dérive 2025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Le taux de transition chute à 90,304 % et plusieurs modèles segmentaires deviennent instables.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Usage du shrinkage, analyse séparée par métrique et refus de choisir un modèle sur une seule année.</w:t>
            </w:r>
          </w:p>
        </w:tc>
      </w:tr>
      <w:tr>
        <w:tc>
          <w:tcPr>
            <w:tcW w:type="dxa" w:w="2232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Données externes limitées</w:t>
            </w:r>
          </w:p>
        </w:tc>
        <w:tc>
          <w:tcPr>
            <w:tcW w:type="dxa" w:w="381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Aucun signal externe admissible aux cutoffs historiques 2022–2024.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Données externes conservées en sensibilité qualitative ; aucune intégration forcée au modèle principal.</w:t>
            </w:r>
          </w:p>
        </w:tc>
      </w:tr>
    </w:tbl>
    <w:p>
      <w:pPr>
        <w:pStyle w:val="Heading1"/>
      </w:pPr>
      <w:r>
        <w:t>17. Limites et risques</w:t>
      </w:r>
    </w:p>
    <w:p>
      <w:pPr>
        <w:pStyle w:val="ListBullet"/>
      </w:pPr>
      <w:r>
        <w:t>Seulement trois années de backtest complet : le classement des modèles reste statistiquement fragile.</w:t>
      </w:r>
    </w:p>
    <w:p>
      <w:pPr>
        <w:pStyle w:val="ListBullet"/>
      </w:pPr>
      <w:r>
        <w:t>La chute d’occurrence 2025 suggère un concept drift difficile à apprendre avec l’historique disponible.</w:t>
      </w:r>
    </w:p>
    <w:p>
      <w:pPr>
        <w:pStyle w:val="ListBullet"/>
      </w:pPr>
      <w:r>
        <w:t>Le forecast 2026 dépend d’un g_i previous-year calculé sur seulement 7 transitions 2025 éligibles au cutoff, ce qui augmente l’incertitude.</w:t>
      </w:r>
    </w:p>
    <w:p>
      <w:pPr>
        <w:pStyle w:val="ListBullet"/>
      </w:pPr>
      <w:r>
        <w:t>P1 est un indice de contribution attendue des transitions, pas un rent-roll forecast complet.</w:t>
      </w:r>
    </w:p>
    <w:p>
      <w:pPr>
        <w:pStyle w:val="ListBullet"/>
      </w:pPr>
      <w:r>
        <w:t>La disponibilité historique des données externes est insuffisante pour en mesurer la valeur prédictive.</w:t>
      </w:r>
    </w:p>
    <w:p>
      <w:pPr>
        <w:pStyle w:val="ListBullet"/>
      </w:pPr>
      <w:r>
        <w:t>Le modèle hiérarchique peut être trop conservateur face à un changement structurel rapide, mais son shrinkage protège contre le surapprentissage des petits segments.</w:t>
      </w:r>
    </w:p>
    <w:p>
      <w:pPr>
        <w:pStyle w:val="Heading1"/>
      </w:pPr>
      <w:r>
        <w:t>18. Handoff pour la comparaison Model A vs Model B</w:t>
      </w:r>
    </w:p>
    <w:p>
      <w:r>
        <w:t>Le Model B est livré comme un candidat autonome et reproductible. La comparaison finale avec Model A doit être effectuée par l’équipe à l’aide des mêmes années, du même P1 et des mêmes métriques. Ce document ne déclare pas B meilleur ou moins bon que 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À transmettre au tournoi A vs B</w:t>
            </w:r>
          </w:p>
        </w:tc>
        <w:tc>
          <w:tcPr>
            <w:tcW w:type="dxa" w:w="6048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Valeur / état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Configuration finale B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p_i = province → province+expiry_month, λ=20 ; g_i = médiane année précédente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Backtest 2023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2,256013 % vs 2,036102 % ; erreur +0,219911 pp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Backtest 2024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1,130315 % vs 1,607852 % ; erreur -0,477538 pp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Backtest 2025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2,234907 % vs 3,300878 % ; erreur -1,065971 pp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 MAE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0,587807 pp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 RMSE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0,686221 pp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P1 biais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-0,441200 pp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Pire erreur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1,065971 pp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Forecast 2026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0,397906 %</w:t>
            </w:r>
          </w:p>
        </w:tc>
      </w:tr>
    </w:tbl>
    <w:p>
      <w:pPr>
        <w:pStyle w:val="Heading1"/>
      </w:pPr>
      <w:r>
        <w:t>19. Conclusion</w:t>
      </w:r>
    </w:p>
    <w:p>
      <w:r>
        <w:t>Model B — Hierarchical Shrinkage Forecast est un système prédictif à deux étages, anti-leakage et volontairement parcimonieux. Son intérêt principal réside dans sa robustesse : il utilise le partial pooling pour l’occurrence et conserve une baseline médiane simple pour la croissance lorsque les backtests montrent qu’une complexité supplémentaire n’améliore pas la stabilité portefeuille.</w:t>
      </w:r>
    </w:p>
    <w:p>
      <w:r>
        <w:t>Le pipeline final a été choisi uniquement à partir des backtests 2023–2025, puis figé avant l’application 2026. La prévision obtenue est 0,397906 % sur 931 unités candidates. Les signaux externes ont été examinés séparément et n’ont pas modifié cette estimation. Le code a été isolé dans la branche model-b, testé et poussé sans modification des fichiers de départ ni de la foundation commune.</w:t>
      </w:r>
    </w:p>
    <w:p>
      <w:pPr>
        <w:sectPr>
          <w:footerReference w:type="default" r:id="rId12"/>
          <w:pgSz w:w="12240" w:h="15840"/>
          <w:pgMar w:top="1008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Annexe A — Tableau complet des 42 configurations Model B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345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Hiérarchie</w:t>
            </w:r>
          </w:p>
        </w:tc>
        <w:tc>
          <w:tcPr>
            <w:tcW w:type="dxa" w:w="72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λ</w:t>
            </w:r>
          </w:p>
        </w:tc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Mean Brier</w:t>
            </w:r>
          </w:p>
        </w:tc>
        <w:tc>
          <w:tcPr>
            <w:tcW w:type="dxa" w:w="158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Mean |cal gap|</w:t>
            </w:r>
          </w:p>
        </w:tc>
        <w:tc>
          <w:tcPr>
            <w:tcW w:type="dxa" w:w="129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P1 MAE</w:t>
            </w:r>
          </w:p>
        </w:tc>
        <w:tc>
          <w:tcPr>
            <w:tcW w:type="dxa" w:w="129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P1 RMSE</w:t>
            </w:r>
          </w:p>
        </w:tc>
        <w:tc>
          <w:tcPr>
            <w:tcW w:type="dxa" w:w="129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P1 biais</w:t>
            </w:r>
          </w:p>
        </w:tc>
        <w:tc>
          <w:tcPr>
            <w:tcW w:type="dxa" w:w="1296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Worst P1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global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global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global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global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global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global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0.040124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0.029170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0.917514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1.124312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0.795817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0.077638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0.027600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1.122677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0.793532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0.064039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0.017283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0.915232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1.122679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0.793536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0.049341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0.003413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0.915244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1.122688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0.793547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0.043519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0.013355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0.915264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1.122702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0.793567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0.041127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0.020284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0.915301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1.122729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0.793605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0.040237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0.025409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0.915407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1.122804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0.793711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0.038794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0.026489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0.931629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1.160285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0.847953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1.814402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0.038771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0.026528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0.931401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1.159878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0.847418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1.813886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0.038716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0.026645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0.930754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1.158712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0.845880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1.812396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0.038658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0.026833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0.929786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1.156929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0.843518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1.810097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0.038624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0.027175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0.928185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1.153869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0.839422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1.806083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0.038742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0.027912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0.925058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1.147383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0.830551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1.797297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0.078256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0.028869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0.949480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1.161230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0.827784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1.811771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0.064463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0.018267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0.948104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1.159464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0.826408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1.809027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0.049151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0.002559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0.944754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1.155231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0.823058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1.802592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0.042932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0.012020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0.940831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1.150401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0.819135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1.795516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0.040414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0.019566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0.935812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1.144539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0.814115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1.787607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0.039670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0.025197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0.929189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1.137129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0.807492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1.778324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0.077638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0.027600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1.122677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0.793532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0.064039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0.017283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0.915232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1.122679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0.793536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0.049341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0.003413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0.915244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1.122688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0.793547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0.043519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0.013355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0.915264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1.122702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0.793567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0.041127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0.020284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0.915301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1.122729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0.793605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0.040237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0.025409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0.915407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1.122804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0.793711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1.762736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0.078256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0.028869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0.949480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1.161230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0.827784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1.811771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0.064463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0.018267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0.948104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1.159464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0.826408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1.809027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0.049151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0.002559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0.944754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1.155231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0.823058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1.802592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0.042932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0.012020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0.940831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1.150401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0.819135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1.795516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0.040414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0.019566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0.935812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1.144539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0.814115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1.787607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province_building_expiry_month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0.039670</w:t>
            </w:r>
          </w:p>
        </w:tc>
        <w:tc>
          <w:tcPr>
            <w:tcW w:type="dxa" w:w="158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0.025197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0.929189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1.137129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0.807492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1.778324</w:t>
            </w:r>
          </w:p>
        </w:tc>
      </w:tr>
    </w:tbl>
    <w:p>
      <w:pPr>
        <w:pStyle w:val="Heading1"/>
      </w:pPr>
      <w:r>
        <w:t>Annexe B — Résultats complets des quatre combinaisons finales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tblHeader w:val="true"/>
        </w:trPr>
        <w:tc>
          <w:tcPr>
            <w:tcW w:type="dxa" w:w="86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Année</w:t>
            </w:r>
          </w:p>
        </w:tc>
        <w:tc>
          <w:tcPr>
            <w:tcW w:type="dxa" w:w="108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72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151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P1 prédit %</w:t>
            </w:r>
          </w:p>
        </w:tc>
        <w:tc>
          <w:tcPr>
            <w:tcW w:type="dxa" w:w="1512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P1 réalisé %</w:t>
            </w:r>
          </w:p>
        </w:tc>
        <w:tc>
          <w:tcPr>
            <w:tcW w:type="dxa" w:w="122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Erreur pp</w:t>
            </w:r>
          </w:p>
        </w:tc>
        <w:tc>
          <w:tcPr>
            <w:tcW w:type="dxa" w:w="122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 prédit</w:t>
            </w:r>
          </w:p>
        </w:tc>
        <w:tc>
          <w:tcPr>
            <w:tcW w:type="dxa" w:w="1224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 observé</w:t>
            </w:r>
          </w:p>
        </w:tc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g prédit %</w:t>
            </w:r>
          </w:p>
        </w:tc>
        <w:tc>
          <w:tcPr>
            <w:tcW w:type="dxa" w:w="1440"/>
            <w:vAlign w:val="center"/>
            <w:shd w:fill="6D1B2B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g observé %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P0_G0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2.226208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2.036102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+0.190105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0.983278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0.990123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2.264068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2.085372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P0_G1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2.833380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2.036102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+0.797278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0.983278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0.990123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2.881567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2.085372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P1_G0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2.256013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2.036102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+0.219911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0.985538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0.990123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2.264068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2.085372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P1_G1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2.871314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2.036102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+0.835212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0.985538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0.990123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2.881567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2.085372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P0_G0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1.115963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1.607852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-0.491889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0.984751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0.982946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1.133244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1.699619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P0_G1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3.195010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1.607852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+1.587158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0.984751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0.982946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3.244485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1.699619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P1_G0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1.130315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1.607852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-0.477538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0.984776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0.982946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1.133244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1.699619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P1_G1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645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3.236099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1.607852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+1.628247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0.984776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0.982946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3.244485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1.699619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P0_G0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2.200054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3.300878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-1.100824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0.981895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0.903037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2.240621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3.716980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P0_G1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2.878542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3.300878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-0.422336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0.981895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0.903037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2.931619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3.716980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P1_G0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2.234907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3.300878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-1.065971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0.978146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0.903037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2.240621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3.716980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P1_G1</w:t>
            </w:r>
          </w:p>
        </w:tc>
        <w:tc>
          <w:tcPr>
            <w:tcW w:type="dxa" w:w="72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856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2.924144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3.300878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-0.376735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0.978146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0.903037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2.931619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3.716980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Model B — Hierarchical Shrinkage Forecast | JADCO / CodeML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1B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D1B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