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117D3" w14:textId="490FFB18" w:rsidR="00186C00" w:rsidRPr="00F774AB" w:rsidRDefault="00F774AB" w:rsidP="00F774AB">
      <w:pPr>
        <w:jc w:val="center"/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</w:pPr>
      <w:r w:rsidRPr="00F774AB"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  <w:t>Травм</w:t>
      </w:r>
      <w:bookmarkStart w:id="0" w:name="_GoBack"/>
      <w:bookmarkEnd w:id="0"/>
      <w:r w:rsidRPr="00F774AB"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  <w:t>ы грудной клетки</w:t>
      </w:r>
    </w:p>
    <w:p w14:paraId="00C604A4" w14:textId="77777777" w:rsidR="00F774AB" w:rsidRPr="00F774AB" w:rsidRDefault="00F774AB" w:rsidP="00F774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774A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МКБ:</w:t>
      </w:r>
    </w:p>
    <w:p w14:paraId="47ACBA74" w14:textId="77777777" w:rsidR="00F774AB" w:rsidRPr="00F774AB" w:rsidRDefault="00F774AB" w:rsidP="00F774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774AB">
        <w:rPr>
          <w:rFonts w:ascii="Segoe UI" w:eastAsia="Times New Roman" w:hAnsi="Segoe UI" w:cs="Segoe UI"/>
          <w:color w:val="000000" w:themeColor="text1"/>
          <w:sz w:val="23"/>
          <w:szCs w:val="23"/>
        </w:rPr>
        <w:t>Открытая рана грудной клетки (S21), Ушиб грудной клетки (S20.2), Множественные травмы грудной клетки (S29.7), Перелом ребра (S22.3), Множественные переломы ребер (S22.4), Ушиб сердца (S26).</w:t>
      </w:r>
    </w:p>
    <w:p w14:paraId="4879DACB" w14:textId="77777777" w:rsidR="00F774AB" w:rsidRPr="00F774AB" w:rsidRDefault="00F774AB" w:rsidP="00F774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F774AB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05CB7D35" w14:textId="77777777" w:rsidR="00F774AB" w:rsidRPr="00F774AB" w:rsidRDefault="00F774AB" w:rsidP="00F774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774A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Примеры формулировки диагноза:</w:t>
      </w:r>
    </w:p>
    <w:p w14:paraId="6A8F1D76" w14:textId="77777777" w:rsidR="00F774AB" w:rsidRPr="00F774AB" w:rsidRDefault="00F774AB" w:rsidP="00F774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774AB">
        <w:rPr>
          <w:rFonts w:ascii="Segoe UI" w:eastAsia="Times New Roman" w:hAnsi="Segoe UI" w:cs="Segoe UI"/>
          <w:color w:val="000000" w:themeColor="text1"/>
          <w:sz w:val="23"/>
          <w:szCs w:val="23"/>
        </w:rPr>
        <w:t>Сочетанная травма. ЗЧМТ средней степени тяжести. Ушиб грудной клетки.</w:t>
      </w:r>
    </w:p>
    <w:p w14:paraId="0F6A3573" w14:textId="77777777" w:rsidR="00F774AB" w:rsidRPr="00F774AB" w:rsidRDefault="00F774AB" w:rsidP="00F774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774AB">
        <w:rPr>
          <w:rFonts w:ascii="Segoe UI" w:eastAsia="Times New Roman" w:hAnsi="Segoe UI" w:cs="Segoe UI"/>
          <w:color w:val="000000" w:themeColor="text1"/>
          <w:sz w:val="23"/>
          <w:szCs w:val="23"/>
        </w:rPr>
        <w:t>Ушиб грудной клетки. Колото-резаная рана передней поверхности грудной клетки справа. Открытый пневмоторакс.</w:t>
      </w:r>
    </w:p>
    <w:p w14:paraId="789140BC" w14:textId="77777777" w:rsidR="00F774AB" w:rsidRPr="00F774AB" w:rsidRDefault="00F774AB" w:rsidP="00F774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F774AB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776D62D5" w14:textId="77777777" w:rsidR="00F774AB" w:rsidRPr="00F774AB" w:rsidRDefault="00F774AB" w:rsidP="00F774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774A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Медицинская помощь:</w:t>
      </w:r>
    </w:p>
    <w:tbl>
      <w:tblPr>
        <w:tblW w:w="9348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586"/>
      </w:tblGrid>
      <w:tr w:rsidR="00F774AB" w:rsidRPr="00F774AB" w14:paraId="45E3A14B" w14:textId="77777777" w:rsidTr="00F774AB">
        <w:tc>
          <w:tcPr>
            <w:tcW w:w="9348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A756D01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Ранящие предметы из раны не извлекаются, а дополнительно фиксируются</w:t>
            </w:r>
          </w:p>
        </w:tc>
      </w:tr>
      <w:tr w:rsidR="00F774AB" w:rsidRPr="00F774AB" w14:paraId="1523E6E6" w14:textId="77777777" w:rsidTr="00F774AB">
        <w:tc>
          <w:tcPr>
            <w:tcW w:w="9348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8AFA398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Повязка на рану, если рана проникающая (пена из раны, изо рта) – окклюзионная повязка (полиэтилен, например, от упаковки стерильных салфеток/бинта, стерильной стороной к ране, фиксировать пластырем по краям</w:t>
            </w:r>
          </w:p>
        </w:tc>
      </w:tr>
      <w:tr w:rsidR="00F774AB" w:rsidRPr="00F774AB" w14:paraId="2E232A01" w14:textId="77777777" w:rsidTr="00F774AB">
        <w:tc>
          <w:tcPr>
            <w:tcW w:w="9348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D5DAF84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Дренирования/пункция во II межреберье по средне-ключичной линии при напряжённом пневмотораксе или после ухудшения состояния после наложения окклюзионной повязки</w:t>
            </w:r>
          </w:p>
        </w:tc>
      </w:tr>
      <w:tr w:rsidR="00F774AB" w:rsidRPr="00F774AB" w14:paraId="604C4F01" w14:textId="77777777" w:rsidTr="00F774AB">
        <w:tc>
          <w:tcPr>
            <w:tcW w:w="9348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60F340B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Оксигенотерапия при SpO</w:t>
            </w: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</w:rPr>
              <w:t>2</w:t>
            </w: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&lt;90%</w:t>
            </w:r>
          </w:p>
        </w:tc>
      </w:tr>
      <w:tr w:rsidR="00F774AB" w:rsidRPr="00F774AB" w14:paraId="222D466A" w14:textId="77777777" w:rsidTr="00F774AB">
        <w:tc>
          <w:tcPr>
            <w:tcW w:w="9348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A7FBE5D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Катетеризация периферической вены</w:t>
            </w:r>
          </w:p>
          <w:p w14:paraId="41B6F04B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Инфузионная терапия под контролем АД (САД &gt;90 мм.рт.ст.)</w:t>
            </w:r>
          </w:p>
        </w:tc>
      </w:tr>
      <w:tr w:rsidR="00F774AB" w:rsidRPr="00F774AB" w14:paraId="2FCCE222" w14:textId="77777777" w:rsidTr="00F774AB">
        <w:tc>
          <w:tcPr>
            <w:tcW w:w="9348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DF309D4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Взрослым: Sol. Prednisoloni до 3 mg/кг веса</w:t>
            </w:r>
          </w:p>
        </w:tc>
      </w:tr>
      <w:tr w:rsidR="00F774AB" w:rsidRPr="00F774AB" w14:paraId="38A302B6" w14:textId="77777777" w:rsidTr="00F774AB">
        <w:tc>
          <w:tcPr>
            <w:tcW w:w="47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20BFD34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Анальгетики взрослым:</w:t>
            </w:r>
          </w:p>
          <w:p w14:paraId="00FD9F58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Ketorolaci 3% – 1 ml внутримышечно</w:t>
            </w:r>
          </w:p>
          <w:p w14:paraId="1CD69237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Tramadoli 5% – 1-2 ml внутривенно</w:t>
            </w:r>
          </w:p>
          <w:p w14:paraId="6EB41801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Promedoli 2% – 1 ml внутривенно</w:t>
            </w:r>
          </w:p>
          <w:p w14:paraId="0E09C368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Fentanyli 0,005% – 1 ml внутривенно</w:t>
            </w:r>
          </w:p>
        </w:tc>
        <w:tc>
          <w:tcPr>
            <w:tcW w:w="458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79A3158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Анальгетики детям:</w:t>
            </w:r>
          </w:p>
          <w:p w14:paraId="6163B829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Analgini 50% 0,1-0,2 ml/год жизни в/в, в/м</w:t>
            </w:r>
          </w:p>
          <w:p w14:paraId="499CE9C4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Ketorolaci 3% с 6 лет 10-30 mg в/м</w:t>
            </w:r>
          </w:p>
          <w:p w14:paraId="23C0DB1F" w14:textId="77777777" w:rsidR="00F774AB" w:rsidRPr="00F774AB" w:rsidRDefault="00F774AB" w:rsidP="00F774A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774AB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Promedoli 1% 0,1 ml/год жизни п/к, в/в</w:t>
            </w:r>
          </w:p>
        </w:tc>
      </w:tr>
    </w:tbl>
    <w:p w14:paraId="60ABE0C6" w14:textId="77777777" w:rsidR="00F774AB" w:rsidRPr="00F774AB" w:rsidRDefault="00F774AB" w:rsidP="00F774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F774AB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3CDAF1E8" w14:textId="77777777" w:rsidR="00F774AB" w:rsidRPr="00F774AB" w:rsidRDefault="00F774AB" w:rsidP="00F774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774A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Транспортировка:</w:t>
      </w:r>
    </w:p>
    <w:p w14:paraId="367F334A" w14:textId="77777777" w:rsidR="00F774AB" w:rsidRPr="00F774AB" w:rsidRDefault="00F774AB" w:rsidP="00F774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774AB">
        <w:rPr>
          <w:rFonts w:ascii="Segoe UI" w:eastAsia="Times New Roman" w:hAnsi="Segoe UI" w:cs="Segoe UI"/>
          <w:color w:val="000000" w:themeColor="text1"/>
          <w:sz w:val="23"/>
          <w:szCs w:val="23"/>
        </w:rPr>
        <w:t>В положении на полусидя.</w:t>
      </w:r>
    </w:p>
    <w:p w14:paraId="48DF67D6" w14:textId="77777777" w:rsidR="00F774AB" w:rsidRPr="00F774AB" w:rsidRDefault="00F774AB" w:rsidP="00F774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F774AB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3D9F614C" w14:textId="77777777" w:rsidR="00F774AB" w:rsidRPr="00F774AB" w:rsidRDefault="00F774AB" w:rsidP="00F774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774AB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Нормативные документы, регулирующие оказание помощи:</w:t>
      </w:r>
    </w:p>
    <w:p w14:paraId="2664714F" w14:textId="77777777" w:rsidR="00F774AB" w:rsidRPr="00F774AB" w:rsidRDefault="00F774AB" w:rsidP="00F774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774AB">
        <w:rPr>
          <w:rFonts w:ascii="Segoe UI" w:eastAsia="Times New Roman" w:hAnsi="Segoe UI" w:cs="Segoe UI"/>
          <w:color w:val="000000" w:themeColor="text1"/>
          <w:sz w:val="23"/>
          <w:szCs w:val="23"/>
        </w:rPr>
        <w:t>– Постановление МЗ РБ №1030 от 30.09.2010 «Об утверждении клинических протоколов оказания скорой медицинской помощи взрослому населению»</w:t>
      </w:r>
    </w:p>
    <w:p w14:paraId="765BAF39" w14:textId="77777777" w:rsidR="00F774AB" w:rsidRPr="00F774AB" w:rsidRDefault="00F774AB" w:rsidP="00F774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774AB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Приказ МЗ РБ №90 от 15.02.2007 «Об утверждении клинических протоколов оказания скорой медицинской помощи детскому населению»</w:t>
      </w:r>
    </w:p>
    <w:p w14:paraId="68453D8B" w14:textId="77777777" w:rsidR="00F774AB" w:rsidRPr="00F774AB" w:rsidRDefault="00F774AB">
      <w:pPr>
        <w:rPr>
          <w:color w:val="000000" w:themeColor="text1"/>
          <w:sz w:val="23"/>
          <w:szCs w:val="23"/>
          <w:lang w:val="ru-RU"/>
        </w:rPr>
      </w:pPr>
    </w:p>
    <w:sectPr w:rsidR="00F774AB" w:rsidRPr="00F77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NLOwsDSyMLU0NDVR0lEKTi0uzszPAykwrgUADgOokCwAAAA="/>
  </w:docVars>
  <w:rsids>
    <w:rsidRoot w:val="00F774AB"/>
    <w:rsid w:val="00186C00"/>
    <w:rsid w:val="002946AF"/>
    <w:rsid w:val="00DC1F78"/>
    <w:rsid w:val="00F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1B6D2E"/>
  <w15:chartTrackingRefBased/>
  <w15:docId w15:val="{89056F7C-DCE4-44DB-A74F-DB6E85E8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3</cp:revision>
  <dcterms:created xsi:type="dcterms:W3CDTF">2020-01-11T11:48:00Z</dcterms:created>
  <dcterms:modified xsi:type="dcterms:W3CDTF">2020-01-11T17:37:00Z</dcterms:modified>
</cp:coreProperties>
</file>