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3EC6D" w14:textId="4620C1DB" w:rsidR="0086642D" w:rsidRPr="00520A0A" w:rsidRDefault="00520A0A" w:rsidP="00520A0A">
      <w:pPr>
        <w:jc w:val="center"/>
        <w:rPr>
          <w:rFonts w:ascii="Product Sans" w:hAnsi="Product Sans"/>
          <w:b/>
          <w:bCs/>
          <w:color w:val="000000" w:themeColor="text1"/>
          <w:sz w:val="40"/>
          <w:szCs w:val="40"/>
          <w:lang w:val="ru-RU"/>
        </w:rPr>
      </w:pPr>
      <w:bookmarkStart w:id="0" w:name="_GoBack"/>
      <w:bookmarkEnd w:id="0"/>
      <w:r w:rsidRPr="00520A0A">
        <w:rPr>
          <w:rFonts w:ascii="Product Sans" w:hAnsi="Product Sans"/>
          <w:b/>
          <w:bCs/>
          <w:color w:val="000000" w:themeColor="text1"/>
          <w:sz w:val="40"/>
          <w:szCs w:val="40"/>
          <w:lang w:val="ru-RU"/>
        </w:rPr>
        <w:t>Травмы позвоночника</w:t>
      </w:r>
    </w:p>
    <w:p w14:paraId="3AEE0C74" w14:textId="5427A382" w:rsidR="00520A0A" w:rsidRPr="00520A0A" w:rsidRDefault="00520A0A" w:rsidP="00520A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20A0A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МКБ:</w:t>
      </w:r>
    </w:p>
    <w:p w14:paraId="59609BBA" w14:textId="77777777" w:rsidR="00520A0A" w:rsidRPr="00520A0A" w:rsidRDefault="00520A0A" w:rsidP="00520A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20A0A">
        <w:rPr>
          <w:rFonts w:ascii="Segoe UI" w:eastAsia="Times New Roman" w:hAnsi="Segoe UI" w:cs="Segoe UI"/>
          <w:color w:val="000000" w:themeColor="text1"/>
          <w:sz w:val="23"/>
          <w:szCs w:val="23"/>
        </w:rPr>
        <w:t>Закрытое повреждение грудного отдела позвоночника (S22.1), Закрытое повреждение пояснично-крестцового отдела позвоночника (S32.7).</w:t>
      </w:r>
    </w:p>
    <w:p w14:paraId="6A430363" w14:textId="77777777" w:rsidR="00520A0A" w:rsidRPr="00520A0A" w:rsidRDefault="00520A0A" w:rsidP="00520A0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520A0A">
        <w:rPr>
          <w:rFonts w:ascii="Segoe UI" w:eastAsia="Times New Roman" w:hAnsi="Segoe UI" w:cs="Segoe UI"/>
          <w:color w:val="000000" w:themeColor="text1"/>
          <w:sz w:val="23"/>
          <w:szCs w:val="23"/>
        </w:rPr>
        <w:br/>
      </w:r>
    </w:p>
    <w:p w14:paraId="27E5DE7C" w14:textId="77777777" w:rsidR="00520A0A" w:rsidRPr="00520A0A" w:rsidRDefault="00520A0A" w:rsidP="00520A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20A0A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Примеры формулировки диагноза:</w:t>
      </w:r>
    </w:p>
    <w:p w14:paraId="3894F5A4" w14:textId="77777777" w:rsidR="00520A0A" w:rsidRPr="00520A0A" w:rsidRDefault="00520A0A" w:rsidP="00520A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20A0A">
        <w:rPr>
          <w:rFonts w:ascii="Segoe UI" w:eastAsia="Times New Roman" w:hAnsi="Segoe UI" w:cs="Segoe UI"/>
          <w:color w:val="000000" w:themeColor="text1"/>
          <w:sz w:val="23"/>
          <w:szCs w:val="23"/>
        </w:rPr>
        <w:t>Закрытое повреждение поясничного отдела позвоночника с нарушением функций спинного мозга.</w:t>
      </w:r>
    </w:p>
    <w:p w14:paraId="45A07011" w14:textId="77777777" w:rsidR="00520A0A" w:rsidRPr="00520A0A" w:rsidRDefault="00520A0A" w:rsidP="00520A0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520A0A">
        <w:rPr>
          <w:rFonts w:ascii="Segoe UI" w:eastAsia="Times New Roman" w:hAnsi="Segoe UI" w:cs="Segoe UI"/>
          <w:color w:val="000000" w:themeColor="text1"/>
          <w:sz w:val="23"/>
          <w:szCs w:val="23"/>
        </w:rPr>
        <w:br/>
      </w:r>
    </w:p>
    <w:p w14:paraId="36F80DB3" w14:textId="77777777" w:rsidR="00520A0A" w:rsidRPr="00520A0A" w:rsidRDefault="00520A0A" w:rsidP="00520A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20A0A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При повреждении позвоночника:</w:t>
      </w:r>
    </w:p>
    <w:p w14:paraId="6532577A" w14:textId="77777777" w:rsidR="00520A0A" w:rsidRPr="00520A0A" w:rsidRDefault="00520A0A" w:rsidP="00520A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20A0A">
        <w:rPr>
          <w:rFonts w:ascii="Segoe UI" w:eastAsia="Times New Roman" w:hAnsi="Segoe UI" w:cs="Segoe UI"/>
          <w:color w:val="000000" w:themeColor="text1"/>
          <w:sz w:val="23"/>
          <w:szCs w:val="23"/>
        </w:rPr>
        <w:t>С3/С4 – отсутствует диафрагмальное дыхание</w:t>
      </w:r>
    </w:p>
    <w:p w14:paraId="5752E026" w14:textId="77777777" w:rsidR="00520A0A" w:rsidRPr="00520A0A" w:rsidRDefault="00520A0A" w:rsidP="00520A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20A0A">
        <w:rPr>
          <w:rFonts w:ascii="Segoe UI" w:eastAsia="Times New Roman" w:hAnsi="Segoe UI" w:cs="Segoe UI"/>
          <w:color w:val="000000" w:themeColor="text1"/>
          <w:sz w:val="23"/>
          <w:szCs w:val="23"/>
        </w:rPr>
        <w:t>Выше С5 – невозможность поднять плечи</w:t>
      </w:r>
    </w:p>
    <w:p w14:paraId="216E032C" w14:textId="77777777" w:rsidR="00520A0A" w:rsidRPr="00520A0A" w:rsidRDefault="00520A0A" w:rsidP="00520A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20A0A">
        <w:rPr>
          <w:rFonts w:ascii="Segoe UI" w:eastAsia="Times New Roman" w:hAnsi="Segoe UI" w:cs="Segoe UI"/>
          <w:color w:val="000000" w:themeColor="text1"/>
          <w:sz w:val="23"/>
          <w:szCs w:val="23"/>
        </w:rPr>
        <w:t>Выше С6 – невозможность движения в локтях</w:t>
      </w:r>
    </w:p>
    <w:p w14:paraId="147C8202" w14:textId="77777777" w:rsidR="00520A0A" w:rsidRPr="00520A0A" w:rsidRDefault="00520A0A" w:rsidP="00520A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20A0A">
        <w:rPr>
          <w:rFonts w:ascii="Segoe UI" w:eastAsia="Times New Roman" w:hAnsi="Segoe UI" w:cs="Segoe UI"/>
          <w:color w:val="000000" w:themeColor="text1"/>
          <w:sz w:val="23"/>
          <w:szCs w:val="23"/>
        </w:rPr>
        <w:t>Выше С8/9 – невозможность движения в пальце</w:t>
      </w:r>
    </w:p>
    <w:p w14:paraId="07944419" w14:textId="77777777" w:rsidR="00520A0A" w:rsidRPr="00520A0A" w:rsidRDefault="00520A0A" w:rsidP="00520A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20A0A">
        <w:rPr>
          <w:rFonts w:ascii="Segoe UI" w:eastAsia="Times New Roman" w:hAnsi="Segoe UI" w:cs="Segoe UI"/>
          <w:color w:val="000000" w:themeColor="text1"/>
          <w:sz w:val="23"/>
          <w:szCs w:val="23"/>
        </w:rPr>
        <w:t>Ниже Th4 – чувствительность выше сосков сохранена</w:t>
      </w:r>
    </w:p>
    <w:p w14:paraId="5E051D7D" w14:textId="77777777" w:rsidR="00520A0A" w:rsidRPr="00520A0A" w:rsidRDefault="00520A0A" w:rsidP="00520A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20A0A">
        <w:rPr>
          <w:rFonts w:ascii="Segoe UI" w:eastAsia="Times New Roman" w:hAnsi="Segoe UI" w:cs="Segoe UI"/>
          <w:color w:val="000000" w:themeColor="text1"/>
          <w:sz w:val="23"/>
          <w:szCs w:val="23"/>
        </w:rPr>
        <w:t>Ниже Th10 – чувствительность выше пупка сохранена</w:t>
      </w:r>
    </w:p>
    <w:p w14:paraId="05493D46" w14:textId="77777777" w:rsidR="00520A0A" w:rsidRPr="00520A0A" w:rsidRDefault="00520A0A" w:rsidP="00520A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20A0A">
        <w:rPr>
          <w:rFonts w:ascii="Segoe UI" w:eastAsia="Times New Roman" w:hAnsi="Segoe UI" w:cs="Segoe UI"/>
          <w:color w:val="000000" w:themeColor="text1"/>
          <w:sz w:val="23"/>
          <w:szCs w:val="23"/>
        </w:rPr>
        <w:t>Выше L2 – невозможность движения в бедренном суставе</w:t>
      </w:r>
    </w:p>
    <w:p w14:paraId="65C05961" w14:textId="77777777" w:rsidR="00520A0A" w:rsidRPr="00520A0A" w:rsidRDefault="00520A0A" w:rsidP="00520A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20A0A">
        <w:rPr>
          <w:rFonts w:ascii="Segoe UI" w:eastAsia="Times New Roman" w:hAnsi="Segoe UI" w:cs="Segoe UI"/>
          <w:color w:val="000000" w:themeColor="text1"/>
          <w:sz w:val="23"/>
          <w:szCs w:val="23"/>
        </w:rPr>
        <w:t>Выше L5 – невозможность приподнять стопу</w:t>
      </w:r>
    </w:p>
    <w:p w14:paraId="1F31CBDC" w14:textId="77777777" w:rsidR="00520A0A" w:rsidRPr="00520A0A" w:rsidRDefault="00520A0A" w:rsidP="00520A0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520A0A">
        <w:rPr>
          <w:rFonts w:ascii="Segoe UI" w:eastAsia="Times New Roman" w:hAnsi="Segoe UI" w:cs="Segoe UI"/>
          <w:color w:val="000000" w:themeColor="text1"/>
          <w:sz w:val="23"/>
          <w:szCs w:val="23"/>
        </w:rPr>
        <w:br/>
      </w:r>
    </w:p>
    <w:p w14:paraId="546686CB" w14:textId="77777777" w:rsidR="00520A0A" w:rsidRPr="00520A0A" w:rsidRDefault="00520A0A" w:rsidP="00520A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20A0A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Медицинская помощь:</w:t>
      </w:r>
    </w:p>
    <w:tbl>
      <w:tblPr>
        <w:tblW w:w="9206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8"/>
        <w:gridCol w:w="4678"/>
      </w:tblGrid>
      <w:tr w:rsidR="00520A0A" w:rsidRPr="00520A0A" w14:paraId="59242985" w14:textId="77777777" w:rsidTr="00520A0A">
        <w:tc>
          <w:tcPr>
            <w:tcW w:w="9206" w:type="dxa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C4E0BB5" w14:textId="77777777" w:rsidR="00520A0A" w:rsidRPr="00520A0A" w:rsidRDefault="00520A0A" w:rsidP="00520A0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20A0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Шейный воротник</w:t>
            </w:r>
          </w:p>
        </w:tc>
      </w:tr>
      <w:tr w:rsidR="00520A0A" w:rsidRPr="00520A0A" w14:paraId="1C9F0ED3" w14:textId="77777777" w:rsidTr="00520A0A">
        <w:tc>
          <w:tcPr>
            <w:tcW w:w="9206" w:type="dxa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B59BC71" w14:textId="77777777" w:rsidR="00520A0A" w:rsidRPr="00520A0A" w:rsidRDefault="00520A0A" w:rsidP="00520A0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20A0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Оксигенотерапия при SpO</w:t>
            </w:r>
            <w:r w:rsidRPr="00520A0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vertAlign w:val="subscript"/>
              </w:rPr>
              <w:t>2</w:t>
            </w:r>
            <w:r w:rsidRPr="00520A0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&lt;90%</w:t>
            </w:r>
          </w:p>
        </w:tc>
      </w:tr>
      <w:tr w:rsidR="00520A0A" w:rsidRPr="00520A0A" w14:paraId="66FCC6BE" w14:textId="77777777" w:rsidTr="00520A0A">
        <w:tc>
          <w:tcPr>
            <w:tcW w:w="9206" w:type="dxa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D086AFA" w14:textId="77777777" w:rsidR="00520A0A" w:rsidRPr="00520A0A" w:rsidRDefault="00520A0A" w:rsidP="00520A0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20A0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Инфузионная терапия (перед проведением поднять ножной конец)</w:t>
            </w:r>
          </w:p>
        </w:tc>
      </w:tr>
      <w:tr w:rsidR="00520A0A" w:rsidRPr="00520A0A" w14:paraId="5537F3F3" w14:textId="77777777" w:rsidTr="00520A0A">
        <w:tc>
          <w:tcPr>
            <w:tcW w:w="9206" w:type="dxa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A6163A2" w14:textId="77777777" w:rsidR="00520A0A" w:rsidRPr="00520A0A" w:rsidRDefault="00520A0A" w:rsidP="00520A0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20A0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Взрослым: Sol. Prednisoloni 60-120 mg в/в</w:t>
            </w:r>
          </w:p>
        </w:tc>
      </w:tr>
      <w:tr w:rsidR="00520A0A" w:rsidRPr="00520A0A" w14:paraId="08D51E74" w14:textId="77777777" w:rsidTr="00520A0A">
        <w:tc>
          <w:tcPr>
            <w:tcW w:w="452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E9690A9" w14:textId="77777777" w:rsidR="00520A0A" w:rsidRPr="00520A0A" w:rsidRDefault="00520A0A" w:rsidP="00520A0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20A0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Анальгетики взрослым:</w:t>
            </w:r>
          </w:p>
          <w:p w14:paraId="51388600" w14:textId="77777777" w:rsidR="00520A0A" w:rsidRPr="00520A0A" w:rsidRDefault="00520A0A" w:rsidP="00520A0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20A0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Analgini 50% – 2-4 ml внутривенно</w:t>
            </w:r>
          </w:p>
          <w:p w14:paraId="00798957" w14:textId="77777777" w:rsidR="00520A0A" w:rsidRPr="00520A0A" w:rsidRDefault="00520A0A" w:rsidP="00520A0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20A0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Morphini 1% – 1 ml внутривенно</w:t>
            </w:r>
          </w:p>
          <w:p w14:paraId="51969231" w14:textId="77777777" w:rsidR="00520A0A" w:rsidRPr="00520A0A" w:rsidRDefault="00520A0A" w:rsidP="00520A0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20A0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Fentanyli 0,005% – 1-2 ml внутривенно</w:t>
            </w:r>
          </w:p>
        </w:tc>
        <w:tc>
          <w:tcPr>
            <w:tcW w:w="467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8733580" w14:textId="77777777" w:rsidR="00520A0A" w:rsidRPr="00520A0A" w:rsidRDefault="00520A0A" w:rsidP="00520A0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20A0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Анальгетики детям:</w:t>
            </w:r>
          </w:p>
          <w:p w14:paraId="16D82A52" w14:textId="77777777" w:rsidR="00520A0A" w:rsidRPr="00520A0A" w:rsidRDefault="00520A0A" w:rsidP="00520A0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20A0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Analgini 50% 0,1-0,2 ml/год жизни в/в, в/м</w:t>
            </w:r>
          </w:p>
          <w:p w14:paraId="7DDC55D1" w14:textId="77777777" w:rsidR="00520A0A" w:rsidRPr="00520A0A" w:rsidRDefault="00520A0A" w:rsidP="00520A0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20A0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Promedoli 1% 0,1 ml/год жизни п/к, в/в</w:t>
            </w:r>
          </w:p>
        </w:tc>
      </w:tr>
    </w:tbl>
    <w:p w14:paraId="72FDEE6D" w14:textId="77777777" w:rsidR="00520A0A" w:rsidRPr="00520A0A" w:rsidRDefault="00520A0A" w:rsidP="00520A0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520A0A">
        <w:rPr>
          <w:rFonts w:ascii="Segoe UI" w:eastAsia="Times New Roman" w:hAnsi="Segoe UI" w:cs="Segoe UI"/>
          <w:color w:val="000000" w:themeColor="text1"/>
          <w:sz w:val="23"/>
          <w:szCs w:val="23"/>
        </w:rPr>
        <w:br/>
      </w:r>
    </w:p>
    <w:p w14:paraId="12B0C4D6" w14:textId="77777777" w:rsidR="00520A0A" w:rsidRPr="00520A0A" w:rsidRDefault="00520A0A" w:rsidP="00520A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20A0A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Транспортировка:</w:t>
      </w:r>
    </w:p>
    <w:p w14:paraId="227BF553" w14:textId="77777777" w:rsidR="00520A0A" w:rsidRPr="00520A0A" w:rsidRDefault="00520A0A" w:rsidP="00520A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20A0A">
        <w:rPr>
          <w:rFonts w:ascii="Segoe UI" w:eastAsia="Times New Roman" w:hAnsi="Segoe UI" w:cs="Segoe UI"/>
          <w:color w:val="000000" w:themeColor="text1"/>
          <w:sz w:val="23"/>
          <w:szCs w:val="23"/>
        </w:rPr>
        <w:t>На щите в положении на спине.</w:t>
      </w:r>
    </w:p>
    <w:p w14:paraId="087F31BF" w14:textId="77777777" w:rsidR="00520A0A" w:rsidRPr="00520A0A" w:rsidRDefault="00520A0A" w:rsidP="00520A0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520A0A">
        <w:rPr>
          <w:rFonts w:ascii="Segoe UI" w:eastAsia="Times New Roman" w:hAnsi="Segoe UI" w:cs="Segoe UI"/>
          <w:color w:val="000000" w:themeColor="text1"/>
          <w:sz w:val="23"/>
          <w:szCs w:val="23"/>
        </w:rPr>
        <w:br/>
      </w:r>
    </w:p>
    <w:p w14:paraId="12A40F88" w14:textId="77777777" w:rsidR="00520A0A" w:rsidRPr="00520A0A" w:rsidRDefault="00520A0A" w:rsidP="00520A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20A0A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Нормативные документы, регулирующие оказание помощи:</w:t>
      </w:r>
    </w:p>
    <w:p w14:paraId="3AF48F27" w14:textId="77777777" w:rsidR="00520A0A" w:rsidRPr="00520A0A" w:rsidRDefault="00520A0A" w:rsidP="00520A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20A0A">
        <w:rPr>
          <w:rFonts w:ascii="Segoe UI" w:eastAsia="Times New Roman" w:hAnsi="Segoe UI" w:cs="Segoe UI"/>
          <w:color w:val="000000" w:themeColor="text1"/>
          <w:sz w:val="23"/>
          <w:szCs w:val="23"/>
        </w:rPr>
        <w:t>– Постановление МЗ РБ №1030 от 30.09.2010 «Об утверждении клинических протоколов оказания скорой медицинской помощи взрослому населению»</w:t>
      </w:r>
    </w:p>
    <w:p w14:paraId="53248E3A" w14:textId="77777777" w:rsidR="00520A0A" w:rsidRPr="00520A0A" w:rsidRDefault="00520A0A" w:rsidP="00520A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20A0A">
        <w:rPr>
          <w:rFonts w:ascii="Segoe UI" w:eastAsia="Times New Roman" w:hAnsi="Segoe UI" w:cs="Segoe UI"/>
          <w:color w:val="000000" w:themeColor="text1"/>
          <w:sz w:val="23"/>
          <w:szCs w:val="23"/>
        </w:rPr>
        <w:t>– Приказ МЗ РБ №90 от 15.02.2007 «Об утверждении клинических протоколов оказания скорой медицинской помощи детскому населению»</w:t>
      </w:r>
    </w:p>
    <w:p w14:paraId="55F4197F" w14:textId="77777777" w:rsidR="00520A0A" w:rsidRPr="00520A0A" w:rsidRDefault="00520A0A">
      <w:pPr>
        <w:rPr>
          <w:color w:val="000000" w:themeColor="text1"/>
          <w:sz w:val="23"/>
          <w:szCs w:val="23"/>
          <w:lang w:val="ru-RU"/>
        </w:rPr>
      </w:pPr>
    </w:p>
    <w:sectPr w:rsidR="00520A0A" w:rsidRPr="00520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CC"/>
    <w:family w:val="swiss"/>
    <w:pitch w:val="variable"/>
    <w:sig w:usb0="A0000287" w:usb1="00000000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yNDe0sDA1MDYzMTNR0lEKTi0uzszPAykwqgUAk1x6RSwAAAA="/>
  </w:docVars>
  <w:rsids>
    <w:rsidRoot w:val="00520A0A"/>
    <w:rsid w:val="00520A0A"/>
    <w:rsid w:val="00525198"/>
    <w:rsid w:val="0086642D"/>
    <w:rsid w:val="00BB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F2A0A"/>
  <w15:chartTrackingRefBased/>
  <w15:docId w15:val="{EB4069DA-324C-4DBF-AA8A-891F5B09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0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Terentev</dc:creator>
  <cp:keywords/>
  <dc:description/>
  <cp:lastModifiedBy>Vladimir Terentev</cp:lastModifiedBy>
  <cp:revision>3</cp:revision>
  <cp:lastPrinted>2020-01-11T17:40:00Z</cp:lastPrinted>
  <dcterms:created xsi:type="dcterms:W3CDTF">2020-01-11T11:53:00Z</dcterms:created>
  <dcterms:modified xsi:type="dcterms:W3CDTF">2020-01-11T17:40:00Z</dcterms:modified>
</cp:coreProperties>
</file>