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keepNext w:val="true"/>
        <w:keepLines/>
        <w:pBdr>
          <w:bottom w:val="single" w:sz="4" w:space="0" w:color="000000"/>
        </w:pBdr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orient="landscape" w:w="16838" w:h="11906"/>
          <w:pgMar w:left="1208" w:right="553" w:gutter="0" w:header="125" w:top="1359" w:footer="3" w:bottom="739"/>
          <w:pgNumType w:start="1" w:fmt="decimal"/>
          <w:formProt w:val="false"/>
          <w:textDirection w:val="lrTb"/>
          <w:docGrid w:type="default" w:linePitch="360" w:charSpace="0"/>
        </w:sectPr>
      </w:pPr>
    </w:p>
    <w:tbl>
      <w:tblPr>
        <w:tblW w:w="15164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659"/>
        <w:gridCol w:w="10750"/>
        <w:gridCol w:w="3755"/>
      </w:tblGrid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Ответ субъекта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Перечень нормативных актов, принятых в субъекте РФ по организации социальной занятости инвалидов</w:t>
            </w:r>
            <w:r>
              <w:rPr>
                <w:rStyle w:val="FootnoteReference"/>
                <w:bCs/>
                <w:sz w:val="18"/>
                <w:szCs w:val="18"/>
                <w:vertAlign w:val="superscript"/>
              </w:rPr>
              <w:footnoteReference w:id="2"/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Проблемы, возникающие в субъекте РФ при организации социальной занятости инвалидов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Пути своевременного решения возникающих проблем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Орган исполнительной власти субъекта Российской Федерации, который осуществляет организацию и координацию межведомственного взаимодействия по социальной занятости в субъекте Российской Федерации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Перечень органов исполнительной власти субъекта Российской Федерации, включенных в межведомственное взаимодействие при организации социальной занятости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текста)</w:t>
            </w:r>
          </w:p>
        </w:tc>
      </w:tr>
      <w:tr>
        <w:trPr>
          <w:trHeight w:val="40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Количество организаций, уполномоченных на осуществление деятельности по социальной занятости инвалидов, определяются органами государственной власти субъектов Российской Федерации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=3.1+3.2+3.3+3.4+3.5+3.6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организаций системы социальной защиты и социального обслуживания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=3.1с+3.1н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организаций, осуществляющих образовательную деятельность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3.3.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организаций здравоохранения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социально ориентированных негосударственных организаций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организаций, осуществляющих деятельность по сопровождаемой трудовой деятельности инвалидов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3.6.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Оказано услуг по социальной занятости уполномоченными организациями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=4.1+4.2+4.3+4.4+4.5+4.6+4.7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Style27"/>
              <w:rPr>
                <w:sz w:val="18"/>
              </w:rPr>
            </w:pPr>
            <w:r>
              <w:rPr>
                <w:iCs/>
                <w:sz w:val="18"/>
                <w:szCs w:val="18"/>
              </w:rPr>
              <w:t>организациями системы социальной защиты и социального обслуживания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=4.1с+4.1нс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=4.1.1с+4.1.2с+4.1.3с+4.1.4с+4.1.5с+4.1.6с+4.1.7с+4.1.8с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=4.1.1нс+4.1.2нс+4.1.3нс+4.1.4нс+4.1.5нс+4.1.6нс+4.1.7нс+4.1.8нс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4.1.1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4.1.2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4.1.3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4.1.4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4.1.5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4.1.6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4.1.7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4.1.8</w:t>
            </w:r>
          </w:p>
        </w:tc>
        <w:tc>
          <w:tcPr>
            <w:tcW w:w="145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нс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нестационарных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организациями, осуществляющими образовательную деятельность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=4.2.1+4.2.2+4.2.3+4.2.4+4.2.5+4.2.6+4.2.7+4.2.8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организациями здравоохранения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=4.3.1+4.3.2+4.3.3+4.3.4+4.3.5+4.3.6+4.3.7+4.3.8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организациями культуры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=4.4.1+4.4.2+4.4.3+4.4.4+4.4.5+4.4.6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труда,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организациями спорта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=4.5.1+4.5.2+4.5.3+4.5.4+4.5.5+4.5.6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труда,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социально ориентированными негосударственными организациями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=4.6.1+4.6.2+4.6.3+4.6.4+4.6.5+4.6.6+4.6.7+4.6.8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организациями, осуществляющими деятельность по сопровождаемой трудовой деятельности инвалидов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=4.7.1+4.7.2+4.7.3+4.7.4+4.7.5+4.7.6+4.7.7+4.7.8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Численность инвалидов, включенных в социальную занятость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из них детей старше 14 лет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из них находящихся на постоянном сопровождаемом проживании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из них проживающих в семьях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специально созданных производственных мастерских, всего в т.ч. в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=5.5.1+5.5.2+5.5.3+5.5.4+5.5.5+5.5.6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=5.5.1п+5.5.2п+5.5.3п+5.5.4п+5.5.5п+5.5.6п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социального обслуживания (нестационарных)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образования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культуры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здравоохранения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социально ориентированных негосударственных организациях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иных организациях всего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подсобных хозяйствах, на производстве и переработке сельскохозяйственной продукции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cs="Times New Roman"/>
                <w:sz w:val="18"/>
                <w:szCs w:val="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=5.6.1+5.6.2+5.6.3+5.6.4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=5.6.1п+5.6.2п+5.6.3п+5.6.4п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социального обслуживания (нестационарных)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государственных организациях образования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социально ориентированных негосударственных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развивающую и творческую деятельность (строки не складываются):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социального обслуживания (нестационарных)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образования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спортивных государственных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культуры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здравоохранения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социально ориентированных негосударственных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иных организациях 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проживающих в стационарных организациях социального обслуживания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Доля включенных в социальную занятость (и проживающих в стационарных организациях социального обслуживания (5.8)) от общего числа приживающих в стационарных организациях социального обслуживания (%)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дети старше 14 лет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специально созданных мастерских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подсобных хозяйствах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развивающую и творческую деятельность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психическими расстройствами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В предоставлении услуг социальной занятости заняты специалисты: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</w:rPr>
              <w:t>=6.1+6.2+6.3+6.4+6.5+6.6+6.7+6.8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социального обслуживания (нестационарных)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=6.1.1+6.1.2+6.1.3+6.1.4+6.1.5+6.1.6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социального обслуживания (стационарных)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=6.2.1+6.2.2+6.2.3+6.2.4+6.2.5+6.2.6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образования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=6.3.1+6.3.2+6.3.3+6.3.4+6.3.5+6.3.6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спортивных государственных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=6.4.1+6.4.2+6.4.3+6.4.4+6.4.5+6.4.6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культуры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=6.5.1+6.5.2+6.5.3+6.5.4+6.5.5+6.5.6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государственных организациях здравоохранения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=6.6.1+6.6.2+6.6.3+6.6.4+6.6.5+6.6.6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социально ориентированных негосударственных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=6.7.1+6.7.2+6.7.3+6.7.4+6.7.5+6.7.6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иных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</w:rPr>
            </w:pPr>
            <w:r>
              <w:rPr>
                <w:sz w:val="18"/>
              </w:rPr>
              <w:t>(Автосумма)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</w:rPr>
              <w:t>=6.8.1+6.8.2+6.8.3+6.8.4+6.8.5+6.8.6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в каких организациях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6.8.1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социальной работе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6.8.2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педагог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6.8.3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труду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6.8.4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6.8.5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социальный работник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6.8.6</w:t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числа)</w:t>
            </w:r>
          </w:p>
        </w:tc>
      </w:tr>
      <w:tr>
        <w:trPr>
          <w:trHeight w:val="2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указать какие специалисты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(Ввод текста)</w:t>
            </w:r>
          </w:p>
        </w:tc>
      </w:tr>
    </w:tbl>
    <w:p>
      <w:pPr>
        <w:pStyle w:val="41"/>
        <w:spacing w:before="0" w:after="34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sectPr>
      <w:footnotePr>
        <w:numFmt w:val="decimal"/>
        <w:numStart w:val="18"/>
      </w:footnotePr>
      <w:type w:val="continuous"/>
      <w:pgSz w:orient="landscape" w:w="16838" w:h="11906"/>
      <w:pgMar w:left="1208" w:right="553" w:gutter="0" w:header="125" w:top="1359" w:footer="3" w:bottom="739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29D2ED1E">
              <wp:simplePos x="0" y="0"/>
              <wp:positionH relativeFrom="page">
                <wp:posOffset>3813175</wp:posOffset>
              </wp:positionH>
              <wp:positionV relativeFrom="page">
                <wp:posOffset>9990455</wp:posOffset>
              </wp:positionV>
              <wp:extent cx="33655" cy="160655"/>
              <wp:effectExtent l="0" t="0" r="0" b="0"/>
              <wp:wrapNone/>
              <wp:docPr id="1" name="Shap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8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8" path="m0,0l-2147483645,0l-2147483645,-2147483646l0,-2147483646xe" stroked="f" o:allowincell="f" style="position:absolute;margin-left:300.25pt;margin-top:786.65pt;width:2.6pt;height:12.6pt;mso-wrap-style:none;v-text-anchor:top;mso-position-horizontal-relative:page;mso-position-vertical-relative:page" wp14:anchorId="29D2ED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8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6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64E1DF6D">
              <wp:simplePos x="0" y="0"/>
              <wp:positionH relativeFrom="page">
                <wp:posOffset>3813175</wp:posOffset>
              </wp:positionH>
              <wp:positionV relativeFrom="page">
                <wp:posOffset>9990455</wp:posOffset>
              </wp:positionV>
              <wp:extent cx="33655" cy="160655"/>
              <wp:effectExtent l="0" t="0" r="0" b="0"/>
              <wp:wrapNone/>
              <wp:docPr id="2" name="Shap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8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7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6" path="m0,0l-2147483645,0l-2147483645,-2147483646l0,-2147483646xe" stroked="f" o:allowincell="f" style="position:absolute;margin-left:300.25pt;margin-top:786.65pt;width:2.6pt;height:12.6pt;mso-wrap-style:none;v-text-anchor:top;mso-position-horizontal-relative:page;mso-position-vertical-relative:page" wp14:anchorId="64E1DF6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8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7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Times New Roman" w:hAnsi="Times New Roman" w:cs="Times New Roman"/>
          <w:sz w:val="18"/>
          <w:szCs w:val="18"/>
        </w:rPr>
      </w:pPr>
      <w:r>
        <w:rPr>
          <w:rStyle w:val="Style21"/>
        </w:rPr>
        <w:footnoteRef/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Указывается количество принятых актов и их реквизиты. В случае отсутствия в субъекте Российской Федерации уникальных актов по социальной занятости инвалидов, указываются существующие региональные акты, в рамках которых она организуется. В случае отсутствия актов, регулирующих вопросы социальной занятости инвалидов в регионе, в отдельной информационной справке указываются пояснения и мероприятия, проводимые в регионе для их принятия.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footnotePr>
    <w:numFmt w:val="decimal"/>
    <w:numStart w:val="18"/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5ef6"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носка_"/>
    <w:basedOn w:val="DefaultParagraphFont"/>
    <w:link w:val="FootnoteTex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5" w:customStyle="1">
    <w:name w:val="Основной текст_"/>
    <w:basedOn w:val="DefaultParagraphFont"/>
    <w:link w:val="1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" w:customStyle="1">
    <w:name w:val="Основной текст (2)_"/>
    <w:basedOn w:val="DefaultParagraphFont"/>
    <w:link w:val="2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365F91"/>
      <w:sz w:val="18"/>
      <w:szCs w:val="18"/>
      <w:u w:val="none"/>
    </w:rPr>
  </w:style>
  <w:style w:type="character" w:styleId="4" w:customStyle="1">
    <w:name w:val="Основной текст (4)_"/>
    <w:basedOn w:val="DefaultParagraphFont"/>
    <w:link w:val="4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4"/>
      <w:szCs w:val="24"/>
      <w:u w:val="none"/>
    </w:rPr>
  </w:style>
  <w:style w:type="character" w:styleId="21" w:customStyle="1">
    <w:name w:val="Колонтитул (2)_"/>
    <w:basedOn w:val="DefaultParagraphFont"/>
    <w:link w:val="2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3" w:customStyle="1">
    <w:name w:val="Основной текст (3)_"/>
    <w:basedOn w:val="DefaultParagraphFont"/>
    <w:link w:val="3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Style16" w:customStyle="1">
    <w:name w:val="Подпись к картинке_"/>
    <w:basedOn w:val="DefaultParagraphFont"/>
    <w:link w:val="Style2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1" w:customStyle="1">
    <w:name w:val="Заголовок №1_"/>
    <w:basedOn w:val="DefaultParagraphFont"/>
    <w:link w:val="1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Style17" w:customStyle="1">
    <w:name w:val="Подпись к таблице_"/>
    <w:basedOn w:val="DefaultParagraphFont"/>
    <w:link w:val="Style26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8" w:customStyle="1">
    <w:name w:val="Другое_"/>
    <w:basedOn w:val="DefaultParagraphFont"/>
    <w:link w:val="Style2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2" w:customStyle="1">
    <w:name w:val="Заголовок №2_"/>
    <w:basedOn w:val="DefaultParagraphFont"/>
    <w:link w:val="2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Style19" w:customStyle="1">
    <w:name w:val="Колонтитул_"/>
    <w:basedOn w:val="DefaultParagraphFont"/>
    <w:link w:val="Style2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Style20" w:customStyle="1">
    <w:name w:val="Текст сноски Знак"/>
    <w:basedOn w:val="DefaultParagraphFont"/>
    <w:uiPriority w:val="99"/>
    <w:semiHidden/>
    <w:qFormat/>
    <w:rsid w:val="00f65ec4"/>
    <w:rPr>
      <w:color w:val="000000"/>
      <w:sz w:val="20"/>
      <w:szCs w:val="20"/>
    </w:rPr>
  </w:style>
  <w:style w:type="character" w:styleId="Style21">
    <w:name w:val="Символ сноски"/>
    <w:basedOn w:val="DefaultParagraphFont"/>
    <w:uiPriority w:val="99"/>
    <w:semiHidden/>
    <w:unhideWhenUsed/>
    <w:qFormat/>
    <w:rsid w:val="00f65ec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link w:val="Style20"/>
    <w:uiPriority w:val="99"/>
    <w:semiHidden/>
    <w:unhideWhenUsed/>
    <w:rsid w:val="00f65ec4"/>
    <w:pPr/>
    <w:rPr>
      <w:sz w:val="20"/>
      <w:szCs w:val="20"/>
    </w:rPr>
  </w:style>
  <w:style w:type="paragraph" w:styleId="11" w:customStyle="1">
    <w:name w:val="Основной текст1"/>
    <w:basedOn w:val="Normal"/>
    <w:link w:val="Style15"/>
    <w:qFormat/>
    <w:pPr>
      <w:ind w:firstLine="400"/>
    </w:pPr>
    <w:rPr>
      <w:rFonts w:ascii="Times New Roman" w:hAnsi="Times New Roman" w:eastAsia="Times New Roman" w:cs="Times New Roman"/>
      <w:sz w:val="28"/>
      <w:szCs w:val="28"/>
    </w:rPr>
  </w:style>
  <w:style w:type="paragraph" w:styleId="23" w:customStyle="1">
    <w:name w:val="Основной текст (2)"/>
    <w:basedOn w:val="Normal"/>
    <w:link w:val="2"/>
    <w:qFormat/>
    <w:pPr>
      <w:spacing w:before="0" w:after="50"/>
      <w:jc w:val="center"/>
    </w:pPr>
    <w:rPr>
      <w:rFonts w:ascii="Times New Roman" w:hAnsi="Times New Roman" w:eastAsia="Times New Roman" w:cs="Times New Roman"/>
      <w:color w:val="365F91"/>
      <w:sz w:val="18"/>
      <w:szCs w:val="18"/>
    </w:rPr>
  </w:style>
  <w:style w:type="paragraph" w:styleId="41" w:customStyle="1">
    <w:name w:val="Основной текст (4)"/>
    <w:basedOn w:val="Normal"/>
    <w:link w:val="4"/>
    <w:qFormat/>
    <w:pPr>
      <w:spacing w:before="0" w:after="480"/>
    </w:pPr>
    <w:rPr>
      <w:rFonts w:ascii="Times New Roman" w:hAnsi="Times New Roman" w:eastAsia="Times New Roman" w:cs="Times New Roman"/>
    </w:rPr>
  </w:style>
  <w:style w:type="paragraph" w:styleId="24" w:customStyle="1">
    <w:name w:val="Колонтитул (2)"/>
    <w:basedOn w:val="Normal"/>
    <w:link w:val="21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31" w:customStyle="1">
    <w:name w:val="Основной текст (3)"/>
    <w:basedOn w:val="Normal"/>
    <w:link w:val="3"/>
    <w:qFormat/>
    <w:pPr>
      <w:spacing w:before="0" w:after="40"/>
      <w:ind w:left="3240"/>
    </w:pPr>
    <w:rPr>
      <w:rFonts w:ascii="Times New Roman" w:hAnsi="Times New Roman" w:eastAsia="Times New Roman" w:cs="Times New Roman"/>
      <w:sz w:val="16"/>
      <w:szCs w:val="16"/>
    </w:rPr>
  </w:style>
  <w:style w:type="paragraph" w:styleId="Style25" w:customStyle="1">
    <w:name w:val="Подпись к картинке"/>
    <w:basedOn w:val="Normal"/>
    <w:link w:val="Style16"/>
    <w:qFormat/>
    <w:pPr>
      <w:spacing w:lineRule="auto" w:line="252"/>
      <w:jc w:val="center"/>
    </w:pPr>
    <w:rPr>
      <w:rFonts w:ascii="Times New Roman" w:hAnsi="Times New Roman" w:eastAsia="Times New Roman" w:cs="Times New Roman"/>
      <w:sz w:val="18"/>
      <w:szCs w:val="18"/>
    </w:rPr>
  </w:style>
  <w:style w:type="paragraph" w:styleId="12" w:customStyle="1">
    <w:name w:val="Заголовок №1"/>
    <w:basedOn w:val="Normal"/>
    <w:link w:val="1"/>
    <w:qFormat/>
    <w:pPr>
      <w:spacing w:before="0" w:after="280"/>
      <w:jc w:val="center"/>
      <w:outlineLvl w:val="0"/>
    </w:pPr>
    <w:rPr>
      <w:rFonts w:ascii="Times New Roman" w:hAnsi="Times New Roman" w:eastAsia="Times New Roman" w:cs="Times New Roman"/>
      <w:b/>
      <w:bCs/>
    </w:rPr>
  </w:style>
  <w:style w:type="paragraph" w:styleId="Style26" w:customStyle="1">
    <w:name w:val="Подпись к таблице"/>
    <w:basedOn w:val="Normal"/>
    <w:link w:val="Style17"/>
    <w:qFormat/>
    <w:pPr/>
    <w:rPr>
      <w:rFonts w:ascii="Calibri" w:hAnsi="Calibri" w:eastAsia="Calibri" w:cs="Calibri"/>
      <w:sz w:val="18"/>
      <w:szCs w:val="18"/>
    </w:rPr>
  </w:style>
  <w:style w:type="paragraph" w:styleId="Style27" w:customStyle="1">
    <w:name w:val="Другое"/>
    <w:basedOn w:val="Normal"/>
    <w:link w:val="Style18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25" w:customStyle="1">
    <w:name w:val="Заголовок №2"/>
    <w:basedOn w:val="Normal"/>
    <w:link w:val="22"/>
    <w:qFormat/>
    <w:pPr>
      <w:spacing w:before="0" w:after="60"/>
      <w:ind w:left="3190"/>
      <w:outlineLvl w:val="1"/>
    </w:pPr>
    <w:rPr>
      <w:rFonts w:ascii="Times New Roman" w:hAnsi="Times New Roman" w:eastAsia="Times New Roman" w:cs="Times New Roman"/>
      <w:sz w:val="22"/>
      <w:szCs w:val="22"/>
    </w:rPr>
  </w:style>
  <w:style w:type="paragraph" w:styleId="Style28" w:customStyle="1">
    <w:name w:val="Колонтитул"/>
    <w:basedOn w:val="Normal"/>
    <w:link w:val="Style19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Header">
    <w:name w:val="Header"/>
    <w:basedOn w:val="Style28"/>
    <w:pPr/>
    <w:rPr/>
  </w:style>
  <w:style w:type="paragraph" w:styleId="Footer">
    <w:name w:val="Footer"/>
    <w:basedOn w:val="Style28"/>
    <w:pPr/>
    <w:rPr/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A4CF-AD9A-457F-B10E-97C89165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LibreOffice/24.2.3.2$Linux_X86_64 LibreOffice_project/420$Build-2</Application>
  <AppVersion>15.0000</AppVersion>
  <Pages>7</Pages>
  <Words>2492</Words>
  <Characters>18500</Characters>
  <CharactersWithSpaces>20339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2024-06-07T10:07:00Z</dcterms:created>
  <dc:creator>Рябцев Михаил Викторович</dc:creator>
  <dc:description/>
  <dc:language>ru-RU</dc:language>
  <cp:lastModifiedBy/>
  <dcterms:modified xsi:type="dcterms:W3CDTF">2024-06-25T13:15:48Z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