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chocobytes;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("Introduction","This chapter introduces Java application programming. We begin with examples of programs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display (output) messages on the screen. We then present a program that obtains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(inputs) two numbers from a user, calculates their sum and displays the result.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learn how to instruct the computer to perform arithmetic calculations and save their results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later use. The last example demonstrates how to make decisions. The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compares two numbers, then displays messages that show the comparison results.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the JDK command-line tools to compile and run this chapter's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("Your First Program in Java: Printing a Line of Text","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Java application is a computer program that executes when you use the java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launch the Java Virtual Machine (JVM). Later in this section we'll discuss how to compile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and run a Java application.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First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we consider a simple application that displays a line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of text. Figure 2.1 shows the program followed by a box that displays its output.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// main method begins execution of Java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public static void main(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String[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] args)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 xml:space="preserve"> System.out.println(\"Welcome to Java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Programming!\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method main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("Commenting Your Programs","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We insert comments to document programs and improve their readability. The Java compiler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ignores comments, so they do not cause the computer to perform any action when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 is run.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By convention, we begin every program with a comment indicating the figure number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filename.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begins with //, indicating that it's an end-of-line comment-it terminates at the end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line on which the // appears. An end-of-line comment need not begin a line; it also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can begin in the middle of a line and continue until the end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 // Fig. 2.1: Welcome1.java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("Performing Output with System.out.println","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&lt;code&gt;System.out.println(\"Welcome to Java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Programming!\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instructs the computer to perform an action-namely, to display the characters contained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between the double quotation marks (the quotation marks themselves are not displayed).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Together, the quotation marks and the characters between them are a string-also known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as a character string or a string literal. White-space characters in strings are not ignored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by the compiler. Strings cannot span multiple lines of code.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System.out object-which is predefined for you-is known as the standard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output object. It allows a Java application to display information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from which it executes. In recent versions of Microsoft Windows,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is the Command Prompt. In UNIX/Linux/Mac OS X, the command window 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called a terminal window or a shell. Many programmers call it simply the command line.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Method System.out.println displays (or prints) a line of text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The string in the parentheses in line 9 is the argument to the method. When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System.out.println completes its task, it positions the output cursor (the location where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next character will be displayed) at the beginning of the next line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window. This is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similar to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what happens when you press the Enter key while typing in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text editor-the cursor appears at the beginning of the next line in the document.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entire line 9, including System.out.println, the argument \"Welcome to Java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Programming!\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 in the parentheses and the semicolon (;), is called a statement. A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typically contains one or more statements that perform its task. Most statements end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semicolon. When the statement in line 9 executes, it displays Welcome to Java Programming!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command window.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When learning how to program, sometimes it's helpful to "break" a working program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so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you can familiarize yourself with the compiler's syntax-error messages. These messages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not always state the exact problem in the code. When you encounter an error, it will give you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 idea of what caused it. [Try removing a semicolon or brace from the program of Fig. 2.1,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then recompile the program to see the error messages generated by the omission.]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("Scanner Object for Receiving Input from the User","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You can Create a Scanner object named input for inputting the name from the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user.then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prompt the user to enter a name. and uses the Scanner object's nextLine method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name from the user and assign it to the local variable theName. You type the name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press Enter to submit it to the program. Pressing Enter inserts a newline character after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characters you typed. Method nextLine reads characters (including white-space characters,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such as the blank in \"Jane Green\") until it encounters the newline, then returns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String containing the characters up to, but not including, the newline, which is discarded.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 Scanner provides various other input methods, as you'll see throughout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book. A method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similar to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nextLine-named next-reads the next word. When you press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Enter after typing some text, method next reads characters until it encounters a white-space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character (such as a space, tab or newline), then returns a String containing the characters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up to, but not including, the white-space character, which is discarded. All information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after the first white-space character is not lost-it can be read by subsequent statements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call the Scanner's methods later in the program.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("Instantiating an Object-Keyword new and Constructors","create an Account object and assigns it to variable myAccount of type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myAccount is initialized with the result of the class instance creation expression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new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Account(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). Keyword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new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creates a new object of the specified class-in this case,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parentheses to the right of Account are required. As you'll learn in Section 3.4,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those parentheses in combination with a class name represent a call to a constructor, which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is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similar to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a method but is called implicitly by the new operator to initialize an object's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variables when the object is created. In Section 3.4, you'll see how to place an argument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parentheses to specify an initial value for an Account object's name instance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variable-you'll enhance class Account to enable this. For now, we simply leave the parentheses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empty. Line 10 contains a class instance creation expression for a Scanner object the expression initializes the Scanner with System.in, which tells the Scanner where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input from (i.e., the keyboard).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("Software Engineering with private Instance Variables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and get Methods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As you'll see,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through the use of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set and get methods, you can validate attempted modifications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to private data and control how that data is presented to the caller-these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compelling software engineering benefits. We'll discuss this in more detail in Section 3.5.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If the instance variable were public, any client of the class-that is, any other class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calls the class's methods-could see the data and do whatever it wanted with it,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including setting it to an invalid value.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 might think that even though a client of the class cannot directly access a private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variable, the client can do whatever it wants with the variable through public set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get methods. You would think that you could peek at the private data any time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public get method and that you could modify the private data at will through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method. But set methods can be programmed to validate their arguments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reject any attempts to set the data to bad values, such as a negative body temperature, a day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March out of the range 1 through 31, a product code not in the company's product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catalog, etc. And a get method can present the data in a different form. For example,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Grade class might store a grade as an int between 0 and 100, but a getGrade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might return a letter grade as a String, such as \"A\" for grades between 90 and 100, \"B\"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grades between 80 and 89, etc. Tightly controlling the access to and presentation of private data can greatly reduce errors, while increasing the robustness and security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your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Declaring instance variables with access modifier private is known as data hiding 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information hiding. When a program creates (instantiates) an object of class Account, variable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name is encapsulated (hidden) in the object and can be accessed only by methods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object's class.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title,content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) values ("Primitive Types vs. Reference Types","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Java's types are divided into primitive types and reference types. In Chapter 2, you worked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with variables of type int-one of the primitive types. The other primitive types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boolean, byte, char, short, long, float and double, each of which we discuss in this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book-these are summarized in Appendix D. All nonprimitive types are reference types, 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classes, which specify the types of objects, are reference types.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primitive-type variable can hold exactly one value of its declared type at a time. For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example, an int variable can store one integer at a time. When another value is assigned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that variable, the new value replaces the previous one-which is lost.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Recall that local variables are not initialized by default. Primitive-type instance variables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are initialized by default-instance variables of types byte, char, short, int, long,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float and double are initialized to 0, and variables of type boolean are initialized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false. You can specify your own initial value for a primitive-type variable by assigning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a value in its declaration, as 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Programs use variables of reference types (normally called references) to store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addresses of objects in the computer's memory. Such a variable is said to refer to an object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in the program. Objects that are referenced may each contain many instance variables. 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creates an object of class Scanner, then assigns to the variable input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Scanner object. creates an object of class Account, then assigns to the variable myAccount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Account object. Reference-type instance variables, if not explicitly initialized, are initialized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by </w:t>
      </w:r>
      <w:proofErr w:type="gramStart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default</w:t>
      </w:r>
      <w:proofErr w:type="gramEnd"/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to the value null-which represents a "reference to nothing." That's why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first call to getName in line 16 of Fig. 3.2 returns null-the value of name has not yet been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set, so the default initial value null is returned.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call methods on an object, you need a reference to the object. In Fig. 3.2, the statements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method main use the variable myAccount to call methods getName (lines 16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26) and setName (line 21) to interact with the Account object. Primitive-type variables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not refer to objects, so such variables cannot be used to call methods.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8E3D2C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8E3D2C" w:rsidRDefault="008E3D2C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>
        <w:rPr>
          <w:rFonts w:ascii="GoudySans-Bold" w:hAnsi="GoudySans-Bold" w:cs="GoudySans-Bold"/>
          <w:b/>
          <w:bCs/>
          <w:color w:val="F78C1E"/>
          <w:sz w:val="30"/>
          <w:szCs w:val="30"/>
        </w:rPr>
        <w:br w:type="page"/>
      </w:r>
    </w:p>
    <w:p w:rsidR="0083179A" w:rsidRDefault="008E3D2C" w:rsidP="006B0588">
      <w:pPr>
        <w:rPr>
          <w:sz w:val="72"/>
          <w:szCs w:val="72"/>
        </w:rPr>
      </w:pPr>
      <w:r w:rsidRPr="008E3D2C">
        <w:rPr>
          <w:sz w:val="72"/>
          <w:szCs w:val="72"/>
        </w:rPr>
        <w:lastRenderedPageBreak/>
        <w:t>Header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</w:t>
      </w: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lastRenderedPageBreak/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3427C2" w:rsidRPr="003427C2" w:rsidRDefault="003427C2" w:rsidP="003427C2">
      <w:pPr>
        <w:rPr>
          <w:sz w:val="38"/>
          <w:szCs w:val="38"/>
        </w:rPr>
      </w:pPr>
      <w:r w:rsidRPr="003427C2">
        <w:rPr>
          <w:sz w:val="38"/>
          <w:szCs w:val="38"/>
        </w:rPr>
        <w:t>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  <w:r w:rsidRPr="003427C2">
        <w:rPr>
          <w:sz w:val="38"/>
          <w:szCs w:val="38"/>
        </w:rPr>
        <w:t xml:space="preserve"> C</w:t>
      </w:r>
      <w:r>
        <w:rPr>
          <w:sz w:val="38"/>
          <w:szCs w:val="38"/>
        </w:rPr>
        <w:t>ontent</w:t>
      </w:r>
    </w:p>
    <w:p w:rsidR="008E3D2C" w:rsidRPr="003427C2" w:rsidRDefault="008E3D2C" w:rsidP="006B0588">
      <w:pPr>
        <w:rPr>
          <w:sz w:val="38"/>
          <w:szCs w:val="38"/>
        </w:rPr>
      </w:pPr>
      <w:bookmarkStart w:id="0" w:name="_GoBack"/>
      <w:bookmarkEnd w:id="0"/>
    </w:p>
    <w:sectPr w:rsidR="008E3D2C" w:rsidRPr="003427C2" w:rsidSect="005A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E0"/>
    <w:rsid w:val="003427C2"/>
    <w:rsid w:val="005A04E0"/>
    <w:rsid w:val="006B0588"/>
    <w:rsid w:val="00701884"/>
    <w:rsid w:val="0083179A"/>
    <w:rsid w:val="008956D9"/>
    <w:rsid w:val="008E3D2C"/>
    <w:rsid w:val="009D0968"/>
    <w:rsid w:val="009D4D72"/>
    <w:rsid w:val="00C47820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5186"/>
  <w15:chartTrackingRefBased/>
  <w15:docId w15:val="{314E18FB-54D8-4D83-BB37-63B0D01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2909</Words>
  <Characters>16585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ahmed160035@feng.bu.edu.eg</dc:creator>
  <cp:keywords/>
  <dc:description/>
  <cp:lastModifiedBy>mohamed mohamed160739@feng.bu.edu.eg</cp:lastModifiedBy>
  <cp:revision>4</cp:revision>
  <dcterms:created xsi:type="dcterms:W3CDTF">2018-05-05T01:32:00Z</dcterms:created>
  <dcterms:modified xsi:type="dcterms:W3CDTF">2018-05-05T06:50:00Z</dcterms:modified>
</cp:coreProperties>
</file>