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8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0088"/>
      </w:tblGrid>
      <w:tr w:rsidR="0016753C" w:rsidRPr="003B56AD" w:rsidTr="00925A90">
        <w:trPr>
          <w:trHeight w:val="6659"/>
        </w:trPr>
        <w:tc>
          <w:tcPr>
            <w:tcW w:w="10088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:rsidR="0016753C" w:rsidRPr="00161BB4" w:rsidRDefault="0016753C" w:rsidP="00925A90">
            <w:pPr>
              <w:pStyle w:val="CoverHeading1"/>
              <w:rPr>
                <w:rFonts w:asciiTheme="minorHAnsi" w:hAnsiTheme="minorHAnsi"/>
              </w:rPr>
            </w:pPr>
            <w:r w:rsidRPr="00161BB4">
              <w:rPr>
                <w:rFonts w:asciiTheme="minorHAnsi" w:hAnsiTheme="minorHAnsi"/>
              </w:rPr>
              <w:t>CCPA Business Requirements</w:t>
            </w:r>
          </w:p>
          <w:p w:rsidR="0016753C" w:rsidRPr="00161BB4" w:rsidRDefault="0016753C" w:rsidP="00925A90">
            <w:pPr>
              <w:pStyle w:val="CoverHeading2"/>
              <w:rPr>
                <w:rFonts w:asciiTheme="minorHAnsi" w:hAnsiTheme="minorHAnsi"/>
              </w:rPr>
            </w:pPr>
          </w:p>
          <w:p w:rsidR="0016753C" w:rsidRPr="00D215E0" w:rsidRDefault="0016753C" w:rsidP="00925A90">
            <w:pPr>
              <w:pStyle w:val="CoverHeading2"/>
              <w:rPr>
                <w:rFonts w:asciiTheme="minorHAnsi" w:hAnsiTheme="minorHAnsi"/>
              </w:rPr>
            </w:pPr>
            <w:r w:rsidRPr="00D215E0">
              <w:rPr>
                <w:rFonts w:asciiTheme="minorHAnsi" w:hAnsiTheme="minorHAnsi"/>
              </w:rPr>
              <w:t>Margin Calculation (</w:t>
            </w:r>
            <w:r w:rsidRPr="00D215E0">
              <w:rPr>
                <w:rFonts w:asciiTheme="minorHAnsi" w:eastAsia="Times New Roman" w:hAnsiTheme="minorHAnsi" w:cs="Arial"/>
                <w:szCs w:val="24"/>
              </w:rPr>
              <w:t>BRS-MA</w:t>
            </w:r>
            <w:r w:rsidRPr="00D215E0">
              <w:rPr>
                <w:rFonts w:asciiTheme="minorHAnsi" w:hAnsiTheme="minorHAnsi"/>
              </w:rPr>
              <w:t>)</w:t>
            </w:r>
          </w:p>
          <w:p w:rsidR="0016753C" w:rsidRPr="00D215E0" w:rsidRDefault="0016753C" w:rsidP="00925A90">
            <w:pPr>
              <w:pStyle w:val="CoverText1"/>
              <w:rPr>
                <w:rFonts w:asciiTheme="minorHAnsi" w:hAnsiTheme="minorHAnsi"/>
              </w:rPr>
            </w:pPr>
          </w:p>
          <w:p w:rsidR="0016753C" w:rsidRPr="003B56AD" w:rsidRDefault="0016753C" w:rsidP="00925A90">
            <w:pPr>
              <w:pStyle w:val="CoverText1"/>
              <w:rPr>
                <w:rFonts w:asciiTheme="minorHAnsi" w:hAnsiTheme="minorHAnsi"/>
                <w:lang w:val="it-IT"/>
              </w:rPr>
            </w:pPr>
            <w:r w:rsidRPr="003B56AD">
              <w:rPr>
                <w:rFonts w:asciiTheme="minorHAnsi" w:hAnsiTheme="minorHAnsi"/>
                <w:lang w:val="it-IT"/>
              </w:rPr>
              <w:t xml:space="preserve">Version  0.1  </w:t>
            </w:r>
            <w:r w:rsidRPr="003B56AD">
              <w:rPr>
                <w:rFonts w:asciiTheme="minorHAnsi" w:hAnsiTheme="minorHAnsi"/>
                <w:color w:val="800000"/>
                <w:lang w:val="it-IT"/>
              </w:rPr>
              <w:t>●</w:t>
            </w:r>
            <w:r w:rsidRPr="003B56AD">
              <w:rPr>
                <w:rFonts w:asciiTheme="minorHAnsi" w:hAnsiTheme="minorHAnsi"/>
                <w:lang w:val="it-IT"/>
              </w:rPr>
              <w:t xml:space="preserve">  </w:t>
            </w:r>
            <w:proofErr w:type="spellStart"/>
            <w:r w:rsidRPr="003B56AD">
              <w:rPr>
                <w:rFonts w:asciiTheme="minorHAnsi" w:hAnsiTheme="minorHAnsi"/>
                <w:lang w:val="it-IT"/>
              </w:rPr>
              <w:t>Proposed</w:t>
            </w:r>
            <w:proofErr w:type="spellEnd"/>
          </w:p>
        </w:tc>
      </w:tr>
      <w:tr w:rsidR="0016753C" w:rsidRPr="003B56AD" w:rsidTr="00925A90">
        <w:trPr>
          <w:trHeight w:val="4968"/>
        </w:trPr>
        <w:tc>
          <w:tcPr>
            <w:tcW w:w="10088" w:type="dxa"/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:rsidR="0016753C" w:rsidRPr="003B56AD" w:rsidRDefault="0016753C" w:rsidP="00925A90">
            <w:pPr>
              <w:pStyle w:val="CoverText2"/>
              <w:jc w:val="left"/>
              <w:rPr>
                <w:rFonts w:asciiTheme="minorHAnsi" w:hAnsiTheme="minorHAnsi"/>
                <w:lang w:val="it-IT"/>
              </w:rPr>
            </w:pPr>
          </w:p>
        </w:tc>
      </w:tr>
      <w:tr w:rsidR="0016753C" w:rsidRPr="00161BB4" w:rsidTr="00925A90">
        <w:trPr>
          <w:trHeight w:val="463"/>
        </w:trPr>
        <w:tc>
          <w:tcPr>
            <w:tcW w:w="10088" w:type="dxa"/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4058" w:type="dxa"/>
              <w:tblInd w:w="5485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11"/>
              <w:gridCol w:w="3747"/>
            </w:tblGrid>
            <w:tr w:rsidR="0016753C" w:rsidRPr="00161BB4" w:rsidTr="00925A90">
              <w:trPr>
                <w:trHeight w:val="27"/>
              </w:trPr>
              <w:tc>
                <w:tcPr>
                  <w:tcW w:w="311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16753C" w:rsidRPr="003B56AD" w:rsidRDefault="0016753C" w:rsidP="00925A90">
                  <w:pPr>
                    <w:pStyle w:val="CoverText3"/>
                    <w:rPr>
                      <w:rFonts w:asciiTheme="minorHAnsi" w:hAnsiTheme="minorHAnsi"/>
                      <w:lang w:val="it-IT"/>
                    </w:rPr>
                  </w:pPr>
                </w:p>
              </w:tc>
              <w:tc>
                <w:tcPr>
                  <w:tcW w:w="3747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16753C" w:rsidRPr="00161BB4" w:rsidRDefault="0016753C" w:rsidP="00925A90">
                  <w:pPr>
                    <w:jc w:val="right"/>
                    <w:rPr>
                      <w:rFonts w:eastAsia="Calibri" w:cs="Calibri"/>
                      <w:sz w:val="20"/>
                      <w:szCs w:val="20"/>
                    </w:rPr>
                  </w:pPr>
                  <w:r w:rsidRPr="00161BB4">
                    <w:rPr>
                      <w:noProof/>
                      <w:lang w:val="it-IT" w:eastAsia="it-IT"/>
                    </w:rPr>
                    <w:drawing>
                      <wp:inline distT="0" distB="0" distL="0" distR="0" wp14:anchorId="32BD42B8" wp14:editId="21B559B9">
                        <wp:extent cx="1905000" cy="51435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6753C" w:rsidRPr="00161BB4" w:rsidRDefault="0016753C" w:rsidP="00925A90">
            <w:pPr>
              <w:rPr>
                <w:rFonts w:eastAsia="Calibri" w:cs="Calibri"/>
                <w:sz w:val="20"/>
                <w:szCs w:val="20"/>
              </w:rPr>
            </w:pPr>
          </w:p>
        </w:tc>
      </w:tr>
    </w:tbl>
    <w:p w:rsidR="005E42F4" w:rsidRDefault="005E42F4" w:rsidP="005E42F4">
      <w:pPr>
        <w:pStyle w:val="TOCHeading"/>
      </w:pPr>
      <w:r>
        <w:lastRenderedPageBreak/>
        <w:t>Table of Contents</w:t>
      </w:r>
    </w:p>
    <w:p w:rsidR="005E42F4" w:rsidRDefault="005E42F4" w:rsidP="005E42F4">
      <w:pPr>
        <w:rPr>
          <w:rFonts w:ascii="Calibri" w:eastAsia="Calibri" w:hAnsi="Calibri" w:cs="Calibri"/>
          <w:sz w:val="20"/>
          <w:szCs w:val="20"/>
        </w:rPr>
      </w:pPr>
    </w:p>
    <w:p w:rsidR="005E42F4" w:rsidRDefault="005E42F4" w:rsidP="005E42F4">
      <w:pPr>
        <w:rPr>
          <w:rFonts w:ascii="Calibri" w:eastAsia="Calibri" w:hAnsi="Calibri" w:cs="Calibri"/>
          <w:sz w:val="20"/>
          <w:szCs w:val="20"/>
        </w:rPr>
      </w:pPr>
    </w:p>
    <w:p w:rsidR="00B204B2" w:rsidRPr="00B204B2" w:rsidRDefault="005E42F4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eastAsia="it-IT"/>
        </w:rPr>
      </w:pPr>
      <w:r>
        <w:fldChar w:fldCharType="begin"/>
      </w:r>
      <w:r>
        <w:instrText>TOC \o "1-9"</w:instrText>
      </w:r>
      <w:r>
        <w:fldChar w:fldCharType="separate"/>
      </w:r>
      <w:bookmarkStart w:id="0" w:name="_GoBack"/>
      <w:bookmarkEnd w:id="0"/>
      <w:r w:rsidR="00B204B2" w:rsidRPr="00E748EF">
        <w:rPr>
          <w:noProof/>
        </w:rPr>
        <w:t>1.</w:t>
      </w:r>
      <w:r w:rsidR="00B204B2" w:rsidRPr="00B204B2">
        <w:rPr>
          <w:rFonts w:asciiTheme="minorHAnsi" w:eastAsiaTheme="minorEastAsia" w:hAnsiTheme="minorHAnsi" w:cstheme="minorBidi"/>
          <w:b w:val="0"/>
          <w:noProof/>
          <w:lang w:eastAsia="it-IT"/>
        </w:rPr>
        <w:tab/>
      </w:r>
      <w:r w:rsidR="00B204B2" w:rsidRPr="00E748EF">
        <w:rPr>
          <w:noProof/>
        </w:rPr>
        <w:t>Overview</w:t>
      </w:r>
      <w:r w:rsidR="00B204B2">
        <w:rPr>
          <w:noProof/>
        </w:rPr>
        <w:tab/>
      </w:r>
      <w:r w:rsidR="00B204B2">
        <w:rPr>
          <w:noProof/>
        </w:rPr>
        <w:fldChar w:fldCharType="begin"/>
      </w:r>
      <w:r w:rsidR="00B204B2">
        <w:rPr>
          <w:noProof/>
        </w:rPr>
        <w:instrText xml:space="preserve"> PAGEREF _Toc525911846 \h </w:instrText>
      </w:r>
      <w:r w:rsidR="00B204B2">
        <w:rPr>
          <w:noProof/>
        </w:rPr>
      </w:r>
      <w:r w:rsidR="00B204B2">
        <w:rPr>
          <w:noProof/>
        </w:rPr>
        <w:fldChar w:fldCharType="separate"/>
      </w:r>
      <w:r w:rsidR="00B204B2">
        <w:rPr>
          <w:noProof/>
        </w:rPr>
        <w:t>3</w:t>
      </w:r>
      <w:r w:rsidR="00B204B2">
        <w:rPr>
          <w:noProof/>
        </w:rPr>
        <w:fldChar w:fldCharType="end"/>
      </w:r>
    </w:p>
    <w:p w:rsidR="00B204B2" w:rsidRPr="00B204B2" w:rsidRDefault="00B204B2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eastAsia="it-IT"/>
        </w:rPr>
      </w:pPr>
      <w:r w:rsidRPr="00E748EF">
        <w:rPr>
          <w:noProof/>
        </w:rPr>
        <w:t>2.</w:t>
      </w:r>
      <w:r w:rsidRPr="00B204B2">
        <w:rPr>
          <w:rFonts w:asciiTheme="minorHAnsi" w:eastAsiaTheme="minorEastAsia" w:hAnsiTheme="minorHAnsi" w:cstheme="minorBidi"/>
          <w:b w:val="0"/>
          <w:noProof/>
          <w:lang w:eastAsia="it-IT"/>
        </w:rPr>
        <w:tab/>
      </w:r>
      <w:r w:rsidRPr="00E748EF">
        <w:rPr>
          <w:noProof/>
        </w:rPr>
        <w:t>Calculation of Initial Margin – Cross Margining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04B2" w:rsidRPr="00B204B2" w:rsidRDefault="00B204B2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it-IT"/>
        </w:rPr>
      </w:pPr>
      <w:r w:rsidRPr="00E748EF">
        <w:rPr>
          <w:noProof/>
        </w:rPr>
        <w:t>2.1</w:t>
      </w:r>
      <w:r w:rsidRPr="00B204B2">
        <w:rPr>
          <w:rFonts w:asciiTheme="minorHAnsi" w:eastAsiaTheme="minorEastAsia" w:hAnsiTheme="minorHAnsi" w:cstheme="minorBidi"/>
          <w:noProof/>
          <w:lang w:eastAsia="it-IT"/>
        </w:rPr>
        <w:tab/>
      </w:r>
      <w:r w:rsidRPr="00E748EF">
        <w:rPr>
          <w:noProof/>
        </w:rPr>
        <w:t>Mark-to-Market 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204B2" w:rsidRPr="00B204B2" w:rsidRDefault="00B204B2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it-IT"/>
        </w:rPr>
      </w:pPr>
      <w:r w:rsidRPr="00E748EF">
        <w:rPr>
          <w:noProof/>
        </w:rPr>
        <w:t>2.2</w:t>
      </w:r>
      <w:r w:rsidRPr="00B204B2">
        <w:rPr>
          <w:rFonts w:asciiTheme="minorHAnsi" w:eastAsiaTheme="minorEastAsia" w:hAnsiTheme="minorHAnsi" w:cstheme="minorBidi"/>
          <w:noProof/>
          <w:lang w:eastAsia="it-IT"/>
        </w:rPr>
        <w:tab/>
      </w:r>
      <w:r w:rsidRPr="00E748EF">
        <w:rPr>
          <w:noProof/>
        </w:rPr>
        <w:t>Additional Margin 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204B2" w:rsidRPr="00B204B2" w:rsidRDefault="00B204B2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it-IT"/>
        </w:rPr>
      </w:pPr>
      <w:r w:rsidRPr="00E748EF">
        <w:rPr>
          <w:noProof/>
        </w:rPr>
        <w:t>2.3</w:t>
      </w:r>
      <w:r w:rsidRPr="00B204B2">
        <w:rPr>
          <w:rFonts w:asciiTheme="minorHAnsi" w:eastAsiaTheme="minorEastAsia" w:hAnsiTheme="minorHAnsi" w:cstheme="minorBidi"/>
          <w:noProof/>
          <w:lang w:eastAsia="it-IT"/>
        </w:rPr>
        <w:tab/>
      </w:r>
      <w:r w:rsidRPr="00E748EF">
        <w:rPr>
          <w:noProof/>
        </w:rPr>
        <w:t>Cross Initial Margin Amount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04B2" w:rsidRPr="00B204B2" w:rsidRDefault="00B204B2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eastAsia="it-IT"/>
        </w:rPr>
      </w:pPr>
      <w:r w:rsidRPr="00E748EF">
        <w:rPr>
          <w:noProof/>
        </w:rPr>
        <w:t>3.</w:t>
      </w:r>
      <w:r w:rsidRPr="00B204B2">
        <w:rPr>
          <w:rFonts w:asciiTheme="minorHAnsi" w:eastAsiaTheme="minorEastAsia" w:hAnsiTheme="minorHAnsi" w:cstheme="minorBidi"/>
          <w:b w:val="0"/>
          <w:noProof/>
          <w:lang w:eastAsia="it-IT"/>
        </w:rPr>
        <w:tab/>
      </w:r>
      <w:r w:rsidRPr="00E748EF">
        <w:rPr>
          <w:noProof/>
        </w:rPr>
        <w:t>Calculation of Initial Margin – Cross Margining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204B2" w:rsidRPr="00B204B2" w:rsidRDefault="00B204B2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it-IT"/>
        </w:rPr>
      </w:pPr>
      <w:r w:rsidRPr="00E748EF">
        <w:rPr>
          <w:noProof/>
        </w:rPr>
        <w:t>3.1</w:t>
      </w:r>
      <w:r w:rsidRPr="00B204B2">
        <w:rPr>
          <w:rFonts w:asciiTheme="minorHAnsi" w:eastAsiaTheme="minorEastAsia" w:hAnsiTheme="minorHAnsi" w:cstheme="minorBidi"/>
          <w:noProof/>
          <w:lang w:eastAsia="it-IT"/>
        </w:rPr>
        <w:tab/>
      </w:r>
      <w:r w:rsidRPr="00E748EF">
        <w:rPr>
          <w:noProof/>
        </w:rPr>
        <w:t>Mark-to-Market 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204B2" w:rsidRPr="00B204B2" w:rsidRDefault="00B204B2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it-IT"/>
        </w:rPr>
      </w:pPr>
      <w:r w:rsidRPr="00E748EF">
        <w:rPr>
          <w:noProof/>
        </w:rPr>
        <w:t>3.2</w:t>
      </w:r>
      <w:r w:rsidRPr="00B204B2">
        <w:rPr>
          <w:rFonts w:asciiTheme="minorHAnsi" w:eastAsiaTheme="minorEastAsia" w:hAnsiTheme="minorHAnsi" w:cstheme="minorBidi"/>
          <w:noProof/>
          <w:lang w:eastAsia="it-IT"/>
        </w:rPr>
        <w:tab/>
      </w:r>
      <w:r w:rsidRPr="00E748EF">
        <w:rPr>
          <w:noProof/>
        </w:rPr>
        <w:t>Additional Margin 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204B2" w:rsidRDefault="00B204B2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lang w:val="it-IT" w:eastAsia="it-IT"/>
        </w:rPr>
      </w:pPr>
      <w:r w:rsidRPr="00E748EF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lang w:val="it-IT" w:eastAsia="it-IT"/>
        </w:rPr>
        <w:tab/>
      </w:r>
      <w:r w:rsidRPr="00E748EF">
        <w:rPr>
          <w:noProof/>
        </w:rPr>
        <w:t>Initial Margin Amount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D16CD" w:rsidRPr="008D16CD" w:rsidRDefault="005E42F4" w:rsidP="008D16CD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</w:rPr>
      </w:pPr>
      <w:r>
        <w:fldChar w:fldCharType="end"/>
      </w:r>
    </w:p>
    <w:p w:rsidR="005E42F4" w:rsidRPr="008D16CD" w:rsidRDefault="005E42F4" w:rsidP="005E42F4"/>
    <w:p w:rsidR="005E42F4" w:rsidRDefault="005E42F4" w:rsidP="005E42F4"/>
    <w:p w:rsidR="005E42F4" w:rsidRDefault="005E42F4" w:rsidP="005E42F4"/>
    <w:p w:rsidR="005E42F4" w:rsidRDefault="005E42F4" w:rsidP="005E42F4"/>
    <w:p w:rsidR="005E42F4" w:rsidRDefault="005E42F4" w:rsidP="005E42F4"/>
    <w:p w:rsidR="005E42F4" w:rsidRDefault="005E42F4" w:rsidP="005E42F4"/>
    <w:p w:rsidR="005E42F4" w:rsidRDefault="005E42F4" w:rsidP="005E42F4"/>
    <w:p w:rsidR="005E42F4" w:rsidRDefault="005E42F4" w:rsidP="005E42F4"/>
    <w:p w:rsidR="005E42F4" w:rsidRDefault="005E42F4" w:rsidP="005E42F4"/>
    <w:p w:rsidR="005E42F4" w:rsidRDefault="005E42F4" w:rsidP="005E42F4"/>
    <w:p w:rsidR="005E42F4" w:rsidRPr="005E42F4" w:rsidRDefault="005E42F4" w:rsidP="005E42F4">
      <w:pPr>
        <w:rPr>
          <w:sz w:val="28"/>
          <w:szCs w:val="72"/>
        </w:rPr>
      </w:pPr>
    </w:p>
    <w:p w:rsidR="008052E1" w:rsidRDefault="008052E1" w:rsidP="008052E1">
      <w:pPr>
        <w:rPr>
          <w:sz w:val="28"/>
          <w:szCs w:val="72"/>
        </w:rPr>
      </w:pPr>
    </w:p>
    <w:p w:rsidR="008D16CD" w:rsidRDefault="008D16CD" w:rsidP="008052E1">
      <w:pPr>
        <w:rPr>
          <w:sz w:val="28"/>
          <w:szCs w:val="72"/>
        </w:rPr>
      </w:pPr>
    </w:p>
    <w:p w:rsidR="007F0936" w:rsidRDefault="007F0936">
      <w:pPr>
        <w:rPr>
          <w:sz w:val="28"/>
          <w:szCs w:val="72"/>
        </w:rPr>
      </w:pPr>
      <w:r>
        <w:rPr>
          <w:sz w:val="28"/>
          <w:szCs w:val="72"/>
        </w:rPr>
        <w:br w:type="page"/>
      </w:r>
    </w:p>
    <w:p w:rsidR="008052E1" w:rsidRPr="007F0936" w:rsidRDefault="00E8505A" w:rsidP="00C16DE8">
      <w:pPr>
        <w:pStyle w:val="Heading1"/>
        <w:spacing w:after="120"/>
        <w:rPr>
          <w:color w:val="auto"/>
        </w:rPr>
      </w:pPr>
      <w:bookmarkStart w:id="1" w:name="_Toc525911846"/>
      <w:r>
        <w:rPr>
          <w:color w:val="auto"/>
        </w:rPr>
        <w:lastRenderedPageBreak/>
        <w:t>O</w:t>
      </w:r>
      <w:r w:rsidR="008052E1" w:rsidRPr="007F0936">
        <w:rPr>
          <w:color w:val="auto"/>
        </w:rPr>
        <w:t>verview</w:t>
      </w:r>
      <w:bookmarkEnd w:id="1"/>
    </w:p>
    <w:p w:rsidR="00A75C56" w:rsidRPr="00520E34" w:rsidRDefault="00A75C56" w:rsidP="00520E34">
      <w:pPr>
        <w:spacing w:after="120" w:line="360" w:lineRule="auto"/>
        <w:jc w:val="both"/>
        <w:rPr>
          <w:sz w:val="24"/>
          <w:szCs w:val="24"/>
        </w:rPr>
      </w:pPr>
      <w:r w:rsidRPr="00520E34">
        <w:rPr>
          <w:sz w:val="24"/>
          <w:szCs w:val="24"/>
        </w:rPr>
        <w:t>The document describes the methodology used to calculate Initial Margin amount in case of Cr</w:t>
      </w:r>
      <w:r w:rsidR="005B02CC" w:rsidRPr="00520E34">
        <w:rPr>
          <w:sz w:val="24"/>
          <w:szCs w:val="24"/>
        </w:rPr>
        <w:t>oss Margining Model and No Cross Margining Model.</w:t>
      </w:r>
    </w:p>
    <w:p w:rsidR="005B02CC" w:rsidRPr="00C16DE8" w:rsidRDefault="005B02CC" w:rsidP="00520E34">
      <w:pPr>
        <w:spacing w:after="120" w:line="360" w:lineRule="auto"/>
        <w:jc w:val="both"/>
        <w:rPr>
          <w:sz w:val="24"/>
          <w:szCs w:val="24"/>
        </w:rPr>
      </w:pPr>
      <w:r w:rsidRPr="00C16DE8">
        <w:rPr>
          <w:sz w:val="24"/>
          <w:szCs w:val="24"/>
        </w:rPr>
        <w:t>The methodology adopted foresees the following types of Initial Margins:</w:t>
      </w:r>
    </w:p>
    <w:p w:rsidR="005B02CC" w:rsidRPr="00C16DE8" w:rsidRDefault="005B02CC" w:rsidP="00520E34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sz w:val="24"/>
          <w:szCs w:val="24"/>
        </w:rPr>
      </w:pPr>
      <w:r w:rsidRPr="00C16DE8">
        <w:rPr>
          <w:b/>
          <w:sz w:val="24"/>
          <w:szCs w:val="24"/>
        </w:rPr>
        <w:t>Mark-To-Market Margin</w:t>
      </w:r>
      <w:r w:rsidRPr="00C16DE8">
        <w:rPr>
          <w:sz w:val="24"/>
          <w:szCs w:val="24"/>
        </w:rPr>
        <w:t xml:space="preserve">: it has the purpose of revaluating the theoretical liquidation gains/losses to current market prices (Mark-To-Market). It represents a theoretical credit for the clearing member that has bought/sold shares below/above current market prices, assumed equal to the reference price. On the other side, it represents a theoretical debit for the clearing member that has bought (sold) shares above (below) current market prices. </w:t>
      </w:r>
    </w:p>
    <w:p w:rsidR="00C16DE8" w:rsidRDefault="005B02CC" w:rsidP="00520E34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sz w:val="24"/>
          <w:szCs w:val="24"/>
        </w:rPr>
      </w:pPr>
      <w:r w:rsidRPr="00C16DE8">
        <w:rPr>
          <w:b/>
          <w:sz w:val="24"/>
          <w:szCs w:val="24"/>
        </w:rPr>
        <w:t>Additional Margin</w:t>
      </w:r>
      <w:r w:rsidRPr="00C16DE8">
        <w:rPr>
          <w:sz w:val="24"/>
          <w:szCs w:val="24"/>
        </w:rPr>
        <w:t xml:space="preserve">: it has the purpose of evaluating the maximum loss reasonably possible in the hypothesis of market price fluctuations of the </w:t>
      </w:r>
      <w:r w:rsidR="00C16DE8">
        <w:rPr>
          <w:sz w:val="24"/>
          <w:szCs w:val="24"/>
        </w:rPr>
        <w:t>securities</w:t>
      </w:r>
      <w:r w:rsidRPr="00C16DE8">
        <w:rPr>
          <w:sz w:val="24"/>
          <w:szCs w:val="24"/>
        </w:rPr>
        <w:t xml:space="preserve">. </w:t>
      </w:r>
      <w:r w:rsidR="00C16DE8" w:rsidRPr="00C16DE8">
        <w:rPr>
          <w:sz w:val="24"/>
          <w:szCs w:val="24"/>
        </w:rPr>
        <w:t>Additional Margin is the incremental cost of liquidating a portfolio in the event of a worst case change in the price of the securities</w:t>
      </w:r>
    </w:p>
    <w:p w:rsidR="00C16DE8" w:rsidRDefault="00C16DE8">
      <w:r>
        <w:br w:type="page"/>
      </w:r>
    </w:p>
    <w:p w:rsidR="00C16DE8" w:rsidRPr="00E8505A" w:rsidRDefault="00C16DE8" w:rsidP="00E8505A">
      <w:pPr>
        <w:pStyle w:val="Heading1"/>
        <w:rPr>
          <w:color w:val="auto"/>
        </w:rPr>
      </w:pPr>
      <w:bookmarkStart w:id="2" w:name="_Toc525911847"/>
      <w:r w:rsidRPr="00E8505A">
        <w:rPr>
          <w:color w:val="auto"/>
        </w:rPr>
        <w:lastRenderedPageBreak/>
        <w:t>Calculation of Initial Margin – Cross Margining Model</w:t>
      </w:r>
      <w:bookmarkEnd w:id="2"/>
    </w:p>
    <w:p w:rsidR="003C4B39" w:rsidRPr="00520E34" w:rsidRDefault="003C4B39" w:rsidP="00CA0939">
      <w:pPr>
        <w:jc w:val="both"/>
        <w:rPr>
          <w:sz w:val="24"/>
          <w:szCs w:val="24"/>
        </w:rPr>
      </w:pPr>
      <w:r w:rsidRPr="00520E34">
        <w:rPr>
          <w:rFonts w:cs="Arial"/>
          <w:sz w:val="24"/>
          <w:szCs w:val="24"/>
        </w:rPr>
        <w:t xml:space="preserve">If </w:t>
      </w:r>
      <w:r w:rsidRPr="00520E34">
        <w:rPr>
          <w:sz w:val="24"/>
          <w:szCs w:val="24"/>
        </w:rPr>
        <w:t>Multicurrency/Multimarket Cross Margining is performed</w:t>
      </w:r>
      <w:r w:rsidR="00FF6D03">
        <w:rPr>
          <w:sz w:val="24"/>
          <w:szCs w:val="24"/>
        </w:rPr>
        <w:t xml:space="preserve"> </w:t>
      </w:r>
      <w:r w:rsidR="00FF6D03" w:rsidRPr="00520E34">
        <w:rPr>
          <w:rFonts w:cs="Arial"/>
          <w:sz w:val="24"/>
          <w:szCs w:val="24"/>
        </w:rPr>
        <w:t>in a Clearing</w:t>
      </w:r>
      <w:r w:rsidR="00FF6D03" w:rsidRPr="00520E34">
        <w:rPr>
          <w:sz w:val="24"/>
          <w:szCs w:val="24"/>
        </w:rPr>
        <w:t xml:space="preserve"> Account</w:t>
      </w:r>
      <w:r w:rsidR="00FF6D03">
        <w:rPr>
          <w:sz w:val="24"/>
          <w:szCs w:val="24"/>
        </w:rPr>
        <w:t xml:space="preserve"> the</w:t>
      </w:r>
      <w:r w:rsidRPr="00520E34">
        <w:rPr>
          <w:sz w:val="24"/>
          <w:szCs w:val="24"/>
        </w:rPr>
        <w:t>:</w:t>
      </w:r>
    </w:p>
    <w:p w:rsidR="003C4B39" w:rsidRPr="00520E34" w:rsidRDefault="003C4B39" w:rsidP="00CA0939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520E34">
        <w:rPr>
          <w:sz w:val="24"/>
          <w:szCs w:val="24"/>
        </w:rPr>
        <w:t xml:space="preserve">Positions corresponding to financial instruments having same ISIN and Currency and different Market </w:t>
      </w:r>
      <w:r w:rsidR="00CA0939">
        <w:rPr>
          <w:sz w:val="24"/>
          <w:szCs w:val="24"/>
        </w:rPr>
        <w:t>are</w:t>
      </w:r>
      <w:r w:rsidRPr="00520E34">
        <w:rPr>
          <w:sz w:val="24"/>
          <w:szCs w:val="24"/>
        </w:rPr>
        <w:t xml:space="preserve"> netted in a single position, producing a single margin requirement</w:t>
      </w:r>
    </w:p>
    <w:p w:rsidR="003C4B39" w:rsidRPr="00520E34" w:rsidRDefault="003C4B39" w:rsidP="00CA0939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520E34">
        <w:rPr>
          <w:sz w:val="24"/>
          <w:szCs w:val="24"/>
        </w:rPr>
        <w:t xml:space="preserve">Positions corresponding to financial instruments having same ISIN and different Currency are kept separated but the respective price/currency scenarios are </w:t>
      </w:r>
      <w:proofErr w:type="spellStart"/>
      <w:r w:rsidRPr="00520E34">
        <w:rPr>
          <w:sz w:val="24"/>
          <w:szCs w:val="24"/>
        </w:rPr>
        <w:t>offsetted</w:t>
      </w:r>
      <w:proofErr w:type="spellEnd"/>
      <w:r w:rsidRPr="00520E34">
        <w:rPr>
          <w:sz w:val="24"/>
          <w:szCs w:val="24"/>
        </w:rPr>
        <w:t xml:space="preserve"> to produce a single Margin Requirement. </w:t>
      </w:r>
    </w:p>
    <w:p w:rsidR="003C4B39" w:rsidRPr="00520E34" w:rsidRDefault="003C4B39" w:rsidP="00CA0939">
      <w:pPr>
        <w:jc w:val="both"/>
        <w:rPr>
          <w:sz w:val="24"/>
          <w:szCs w:val="24"/>
        </w:rPr>
      </w:pPr>
      <w:r w:rsidRPr="00520E34">
        <w:rPr>
          <w:sz w:val="24"/>
          <w:szCs w:val="24"/>
        </w:rPr>
        <w:t>The scenario worst case in such case is calculated over the following factors:</w:t>
      </w:r>
    </w:p>
    <w:p w:rsidR="00CA0939" w:rsidRDefault="007C045C" w:rsidP="00CA0939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CA0939">
        <w:rPr>
          <w:sz w:val="24"/>
          <w:szCs w:val="24"/>
        </w:rPr>
        <w:t xml:space="preserve">price variation: </w:t>
      </w:r>
      <w:r w:rsidR="003C4B39" w:rsidRPr="00CA0939">
        <w:rPr>
          <w:sz w:val="24"/>
          <w:szCs w:val="24"/>
        </w:rPr>
        <w:t>represented by the financial instrument risk factor</w:t>
      </w:r>
      <w:r w:rsidR="00CA0939">
        <w:rPr>
          <w:sz w:val="24"/>
          <w:szCs w:val="24"/>
        </w:rPr>
        <w:t>;</w:t>
      </w:r>
      <w:r w:rsidR="003C4B39" w:rsidRPr="00CA0939">
        <w:rPr>
          <w:sz w:val="24"/>
          <w:szCs w:val="24"/>
        </w:rPr>
        <w:t xml:space="preserve"> </w:t>
      </w:r>
    </w:p>
    <w:p w:rsidR="003C4B39" w:rsidRPr="00CA0939" w:rsidRDefault="003C4B39" w:rsidP="00CA0939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CA0939">
        <w:rPr>
          <w:sz w:val="24"/>
          <w:szCs w:val="24"/>
        </w:rPr>
        <w:t>currency variation: represented by the currency haircut (for the "Cash Call Currency" the haircut factor is always 0)</w:t>
      </w:r>
    </w:p>
    <w:p w:rsidR="00C16DE8" w:rsidRPr="00520E34" w:rsidRDefault="003C4B39" w:rsidP="00CA0939">
      <w:pPr>
        <w:jc w:val="both"/>
        <w:rPr>
          <w:sz w:val="24"/>
          <w:szCs w:val="24"/>
        </w:rPr>
      </w:pPr>
      <w:r w:rsidRPr="00520E34">
        <w:rPr>
          <w:sz w:val="24"/>
          <w:szCs w:val="24"/>
        </w:rPr>
        <w:t xml:space="preserve">The calculation specification is </w:t>
      </w:r>
      <w:r w:rsidR="00327BD8" w:rsidRPr="00520E34">
        <w:rPr>
          <w:sz w:val="24"/>
          <w:szCs w:val="24"/>
        </w:rPr>
        <w:t>described below:</w:t>
      </w:r>
    </w:p>
    <w:p w:rsidR="00327BD8" w:rsidRPr="007C045C" w:rsidRDefault="00327BD8" w:rsidP="00327BD8">
      <w:pPr>
        <w:pStyle w:val="Caption"/>
        <w:rPr>
          <w:color w:val="auto"/>
        </w:rPr>
      </w:pPr>
      <w:r w:rsidRPr="007C045C">
        <w:rPr>
          <w:color w:val="auto"/>
        </w:rPr>
        <w:t xml:space="preserve">Figure </w:t>
      </w:r>
      <w:r w:rsidRPr="007C045C">
        <w:rPr>
          <w:color w:val="auto"/>
        </w:rPr>
        <w:fldChar w:fldCharType="begin"/>
      </w:r>
      <w:r w:rsidRPr="007C045C">
        <w:rPr>
          <w:color w:val="auto"/>
        </w:rPr>
        <w:instrText xml:space="preserve"> SEQ Figure \* ARABIC </w:instrText>
      </w:r>
      <w:r w:rsidRPr="007C045C">
        <w:rPr>
          <w:color w:val="auto"/>
        </w:rPr>
        <w:fldChar w:fldCharType="separate"/>
      </w:r>
      <w:r w:rsidR="007370BA">
        <w:rPr>
          <w:noProof/>
          <w:color w:val="auto"/>
        </w:rPr>
        <w:t>1</w:t>
      </w:r>
      <w:r w:rsidRPr="007C045C">
        <w:rPr>
          <w:color w:val="auto"/>
        </w:rPr>
        <w:fldChar w:fldCharType="end"/>
      </w:r>
    </w:p>
    <w:p w:rsidR="00327BD8" w:rsidRPr="00327BD8" w:rsidRDefault="001F39AF" w:rsidP="00960DA1">
      <w:pPr>
        <w:jc w:val="center"/>
      </w:pPr>
      <w:r>
        <w:rPr>
          <w:noProof/>
          <w:lang w:val="it-IT" w:eastAsia="it-IT"/>
        </w:rPr>
        <w:drawing>
          <wp:inline distT="0" distB="0" distL="0" distR="0" wp14:anchorId="6CFD11C4" wp14:editId="439F9027">
            <wp:extent cx="3992722" cy="4150111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06" cy="415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5C56" w:rsidRDefault="00C16DE8" w:rsidP="00960DA1">
      <w:pPr>
        <w:tabs>
          <w:tab w:val="left" w:pos="7100"/>
        </w:tabs>
        <w:spacing w:after="120" w:line="360" w:lineRule="auto"/>
      </w:pPr>
      <w:r>
        <w:tab/>
      </w:r>
    </w:p>
    <w:p w:rsidR="001F39AF" w:rsidRPr="00520E34" w:rsidRDefault="001F39AF" w:rsidP="00960DA1">
      <w:pPr>
        <w:pStyle w:val="Heading2"/>
        <w:spacing w:after="120"/>
        <w:rPr>
          <w:color w:val="auto"/>
          <w:sz w:val="30"/>
          <w:szCs w:val="30"/>
        </w:rPr>
      </w:pPr>
      <w:r w:rsidRPr="00520E34">
        <w:rPr>
          <w:color w:val="auto"/>
          <w:sz w:val="30"/>
          <w:szCs w:val="30"/>
        </w:rPr>
        <w:lastRenderedPageBreak/>
        <w:t xml:space="preserve"> </w:t>
      </w:r>
      <w:bookmarkStart w:id="3" w:name="_Toc525911848"/>
      <w:r w:rsidRPr="00520E34">
        <w:rPr>
          <w:color w:val="auto"/>
          <w:sz w:val="30"/>
          <w:szCs w:val="30"/>
        </w:rPr>
        <w:t>Mark-to-Market Calculation</w:t>
      </w:r>
      <w:bookmarkEnd w:id="3"/>
    </w:p>
    <w:p w:rsidR="001F39AF" w:rsidRPr="00520E34" w:rsidRDefault="001F39AF" w:rsidP="00960DA1">
      <w:pPr>
        <w:spacing w:after="120" w:line="360" w:lineRule="auto"/>
        <w:rPr>
          <w:b/>
          <w:sz w:val="24"/>
          <w:szCs w:val="24"/>
        </w:rPr>
      </w:pPr>
      <w:r w:rsidRPr="00520E34">
        <w:rPr>
          <w:b/>
          <w:sz w:val="24"/>
          <w:szCs w:val="24"/>
        </w:rPr>
        <w:t>1a) The CCP carries out the calculation for each ISIN separately per Position Account:</w:t>
      </w:r>
    </w:p>
    <w:p w:rsidR="001F39AF" w:rsidRPr="00520E34" w:rsidRDefault="001F39AF" w:rsidP="007F0936">
      <w:pPr>
        <w:pStyle w:val="ListParagraph"/>
        <w:numPr>
          <w:ilvl w:val="0"/>
          <w:numId w:val="19"/>
        </w:numPr>
        <w:spacing w:after="0" w:line="360" w:lineRule="auto"/>
        <w:ind w:left="714" w:hanging="357"/>
        <w:rPr>
          <w:i/>
          <w:sz w:val="24"/>
          <w:szCs w:val="24"/>
        </w:rPr>
      </w:pPr>
      <w:r w:rsidRPr="00520E34">
        <w:rPr>
          <w:sz w:val="24"/>
          <w:szCs w:val="24"/>
        </w:rPr>
        <w:t>If Position = Long</w:t>
      </w:r>
    </w:p>
    <w:p w:rsidR="001F39AF" w:rsidRPr="00520E34" w:rsidRDefault="001F39AF" w:rsidP="007F0936">
      <w:pPr>
        <w:spacing w:after="120" w:line="360" w:lineRule="auto"/>
        <w:ind w:firstLine="357"/>
        <w:jc w:val="center"/>
        <w:rPr>
          <w:i/>
          <w:sz w:val="24"/>
          <w:szCs w:val="24"/>
        </w:rPr>
      </w:pPr>
      <w:r w:rsidRPr="00520E34">
        <w:rPr>
          <w:i/>
          <w:sz w:val="24"/>
          <w:szCs w:val="24"/>
        </w:rPr>
        <w:t>Mark-to-Market (</w:t>
      </w:r>
      <w:r w:rsidR="007370BA">
        <w:rPr>
          <w:i/>
          <w:sz w:val="24"/>
          <w:szCs w:val="24"/>
        </w:rPr>
        <w:t>Trade</w:t>
      </w:r>
      <w:r w:rsidRPr="00520E34">
        <w:rPr>
          <w:i/>
          <w:sz w:val="24"/>
          <w:szCs w:val="24"/>
        </w:rPr>
        <w:t xml:space="preserve"> currency) = Net Quantity</w:t>
      </w:r>
      <w:r w:rsidR="00610947">
        <w:rPr>
          <w:rStyle w:val="FootnoteReference"/>
          <w:i/>
          <w:sz w:val="24"/>
          <w:szCs w:val="24"/>
        </w:rPr>
        <w:footnoteReference w:id="1"/>
      </w:r>
      <w:r w:rsidRPr="00520E34">
        <w:rPr>
          <w:i/>
          <w:sz w:val="24"/>
          <w:szCs w:val="24"/>
        </w:rPr>
        <w:t xml:space="preserve"> * (Last Price – </w:t>
      </w:r>
      <w:proofErr w:type="spellStart"/>
      <w:r w:rsidRPr="00520E34">
        <w:rPr>
          <w:i/>
          <w:sz w:val="24"/>
          <w:szCs w:val="24"/>
        </w:rPr>
        <w:t>Settl</w:t>
      </w:r>
      <w:proofErr w:type="spellEnd"/>
      <w:r w:rsidRPr="00520E34">
        <w:rPr>
          <w:i/>
          <w:sz w:val="24"/>
          <w:szCs w:val="24"/>
        </w:rPr>
        <w:t>. Price)</w:t>
      </w:r>
    </w:p>
    <w:p w:rsidR="001F39AF" w:rsidRPr="00520E34" w:rsidRDefault="001F39AF" w:rsidP="007F0936">
      <w:pPr>
        <w:pStyle w:val="ListParagraph"/>
        <w:numPr>
          <w:ilvl w:val="0"/>
          <w:numId w:val="19"/>
        </w:numPr>
        <w:spacing w:after="0" w:line="360" w:lineRule="auto"/>
        <w:ind w:left="714" w:hanging="357"/>
        <w:rPr>
          <w:sz w:val="24"/>
          <w:szCs w:val="24"/>
        </w:rPr>
      </w:pPr>
      <w:r w:rsidRPr="00520E34">
        <w:rPr>
          <w:sz w:val="24"/>
          <w:szCs w:val="24"/>
        </w:rPr>
        <w:t>If Position = Short</w:t>
      </w:r>
    </w:p>
    <w:p w:rsidR="001F39AF" w:rsidRPr="00520E34" w:rsidRDefault="001F39AF" w:rsidP="007F0936">
      <w:pPr>
        <w:spacing w:after="120" w:line="360" w:lineRule="auto"/>
        <w:ind w:firstLine="357"/>
        <w:jc w:val="center"/>
        <w:rPr>
          <w:i/>
          <w:sz w:val="24"/>
          <w:szCs w:val="24"/>
        </w:rPr>
      </w:pPr>
      <w:r w:rsidRPr="00520E34">
        <w:rPr>
          <w:i/>
          <w:sz w:val="24"/>
          <w:szCs w:val="24"/>
        </w:rPr>
        <w:t>Mark-to-Market (</w:t>
      </w:r>
      <w:r w:rsidR="007370BA">
        <w:rPr>
          <w:i/>
          <w:sz w:val="24"/>
          <w:szCs w:val="24"/>
        </w:rPr>
        <w:t>Trade</w:t>
      </w:r>
      <w:r w:rsidRPr="00520E34">
        <w:rPr>
          <w:i/>
          <w:sz w:val="24"/>
          <w:szCs w:val="24"/>
        </w:rPr>
        <w:t xml:space="preserve"> currency) = Net Quantity</w:t>
      </w:r>
      <w:r w:rsidR="00610947">
        <w:rPr>
          <w:rStyle w:val="FootnoteReference"/>
          <w:i/>
          <w:sz w:val="24"/>
          <w:szCs w:val="24"/>
        </w:rPr>
        <w:footnoteReference w:id="2"/>
      </w:r>
      <w:r w:rsidRPr="00520E34">
        <w:rPr>
          <w:i/>
          <w:sz w:val="24"/>
          <w:szCs w:val="24"/>
        </w:rPr>
        <w:t xml:space="preserve"> * (Last Price – </w:t>
      </w:r>
      <w:proofErr w:type="spellStart"/>
      <w:r w:rsidRPr="00520E34">
        <w:rPr>
          <w:i/>
          <w:sz w:val="24"/>
          <w:szCs w:val="24"/>
        </w:rPr>
        <w:t>Settl</w:t>
      </w:r>
      <w:proofErr w:type="spellEnd"/>
      <w:r w:rsidRPr="00520E34">
        <w:rPr>
          <w:i/>
          <w:sz w:val="24"/>
          <w:szCs w:val="24"/>
        </w:rPr>
        <w:t>. Price)</w:t>
      </w:r>
    </w:p>
    <w:p w:rsidR="001F39AF" w:rsidRPr="00520E34" w:rsidRDefault="001F39AF" w:rsidP="00CA0939">
      <w:pPr>
        <w:spacing w:after="120" w:line="360" w:lineRule="auto"/>
        <w:jc w:val="both"/>
        <w:rPr>
          <w:i/>
          <w:sz w:val="24"/>
          <w:szCs w:val="24"/>
        </w:rPr>
      </w:pPr>
      <w:r w:rsidRPr="00520E34">
        <w:rPr>
          <w:sz w:val="24"/>
          <w:szCs w:val="24"/>
        </w:rPr>
        <w:t xml:space="preserve">If the </w:t>
      </w:r>
      <w:r w:rsidR="007370BA">
        <w:rPr>
          <w:i/>
          <w:sz w:val="24"/>
          <w:szCs w:val="24"/>
        </w:rPr>
        <w:t>Trade</w:t>
      </w:r>
      <w:r w:rsidRPr="00520E34">
        <w:rPr>
          <w:i/>
          <w:sz w:val="24"/>
          <w:szCs w:val="24"/>
        </w:rPr>
        <w:t xml:space="preserve"> Currency ≠ Clearing Currency</w:t>
      </w:r>
      <w:r w:rsidRPr="00520E34">
        <w:rPr>
          <w:sz w:val="24"/>
          <w:szCs w:val="24"/>
        </w:rPr>
        <w:t xml:space="preserve"> the </w:t>
      </w:r>
      <w:r w:rsidRPr="00520E34">
        <w:rPr>
          <w:i/>
          <w:sz w:val="24"/>
          <w:szCs w:val="24"/>
        </w:rPr>
        <w:t>Exchange Rate</w:t>
      </w:r>
      <w:r w:rsidRPr="00520E34">
        <w:rPr>
          <w:sz w:val="24"/>
          <w:szCs w:val="24"/>
        </w:rPr>
        <w:t xml:space="preserve"> and </w:t>
      </w:r>
      <w:r w:rsidRPr="00520E34">
        <w:rPr>
          <w:i/>
          <w:sz w:val="24"/>
          <w:szCs w:val="24"/>
        </w:rPr>
        <w:t>Haircut on Exchange Rate</w:t>
      </w:r>
      <w:r w:rsidRPr="00520E34">
        <w:rPr>
          <w:sz w:val="24"/>
          <w:szCs w:val="24"/>
        </w:rPr>
        <w:t xml:space="preserve"> is applied. The </w:t>
      </w:r>
      <w:r w:rsidRPr="00520E34">
        <w:rPr>
          <w:i/>
          <w:sz w:val="24"/>
          <w:szCs w:val="24"/>
        </w:rPr>
        <w:t>Haircut on Exchange Rate</w:t>
      </w:r>
      <w:r w:rsidRPr="00520E34">
        <w:rPr>
          <w:sz w:val="24"/>
          <w:szCs w:val="24"/>
        </w:rPr>
        <w:t xml:space="preserve"> is applied considering the sign of Mark-to-Market:</w:t>
      </w:r>
    </w:p>
    <w:p w:rsidR="001F39AF" w:rsidRPr="00520E34" w:rsidRDefault="001F39AF" w:rsidP="007F0936">
      <w:pPr>
        <w:pStyle w:val="ListParagraph"/>
        <w:numPr>
          <w:ilvl w:val="0"/>
          <w:numId w:val="19"/>
        </w:numPr>
        <w:spacing w:after="0" w:line="360" w:lineRule="auto"/>
        <w:ind w:left="714" w:hanging="357"/>
        <w:rPr>
          <w:sz w:val="24"/>
          <w:szCs w:val="24"/>
        </w:rPr>
      </w:pPr>
      <w:r w:rsidRPr="00520E34">
        <w:rPr>
          <w:sz w:val="24"/>
          <w:szCs w:val="24"/>
        </w:rPr>
        <w:t>If the Mark-to-Market is a debit amount:</w:t>
      </w:r>
    </w:p>
    <w:p w:rsidR="001F39AF" w:rsidRPr="00520E34" w:rsidRDefault="001F39AF" w:rsidP="007F0936">
      <w:pPr>
        <w:spacing w:after="120" w:line="360" w:lineRule="auto"/>
        <w:jc w:val="center"/>
        <w:rPr>
          <w:i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Mark-to-Market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clearing currency</m:t>
            </m:r>
          </m:e>
        </m:d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Mark-to-Market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trading currency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Exchange Rate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520E34">
        <w:rPr>
          <w:rFonts w:eastAsiaTheme="minorEastAsia"/>
          <w:sz w:val="20"/>
          <w:szCs w:val="20"/>
        </w:rPr>
        <w:t>*(1+</w:t>
      </w:r>
      <w:r w:rsidRPr="00520E34">
        <w:rPr>
          <w:i/>
          <w:sz w:val="20"/>
          <w:szCs w:val="20"/>
        </w:rPr>
        <w:t xml:space="preserve"> Haircut on Exchange Rate)</w:t>
      </w:r>
    </w:p>
    <w:p w:rsidR="001F39AF" w:rsidRPr="00520E34" w:rsidRDefault="001F39AF" w:rsidP="007F0936">
      <w:pPr>
        <w:pStyle w:val="ListParagraph"/>
        <w:numPr>
          <w:ilvl w:val="0"/>
          <w:numId w:val="19"/>
        </w:numPr>
        <w:spacing w:after="0" w:line="360" w:lineRule="auto"/>
        <w:ind w:left="714" w:hanging="357"/>
        <w:rPr>
          <w:sz w:val="24"/>
          <w:szCs w:val="24"/>
        </w:rPr>
      </w:pPr>
      <w:r w:rsidRPr="00520E34">
        <w:rPr>
          <w:sz w:val="24"/>
          <w:szCs w:val="24"/>
        </w:rPr>
        <w:t>If the Mark-to-Market is a credit amount:</w:t>
      </w:r>
    </w:p>
    <w:p w:rsidR="001F39AF" w:rsidRPr="00520E34" w:rsidRDefault="001F39AF" w:rsidP="007F0936">
      <w:pPr>
        <w:spacing w:after="120" w:line="360" w:lineRule="auto"/>
        <w:jc w:val="center"/>
        <w:rPr>
          <w:i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Mark-to-Market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clearing currency</m:t>
            </m:r>
          </m:e>
        </m:d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Mark-to-Market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trading currency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Exchange Rate</m:t>
            </m:r>
          </m:den>
        </m:f>
      </m:oMath>
      <w:r w:rsidRPr="00520E34">
        <w:rPr>
          <w:rFonts w:eastAsiaTheme="minorEastAsia"/>
          <w:sz w:val="20"/>
          <w:szCs w:val="20"/>
        </w:rPr>
        <w:t xml:space="preserve"> *(1-</w:t>
      </w:r>
      <w:r w:rsidRPr="00520E34">
        <w:rPr>
          <w:i/>
          <w:sz w:val="20"/>
          <w:szCs w:val="20"/>
        </w:rPr>
        <w:t xml:space="preserve"> Haircut on Exchange Rate)</w:t>
      </w:r>
    </w:p>
    <w:p w:rsidR="001F39AF" w:rsidRPr="00520E34" w:rsidRDefault="001F39AF" w:rsidP="00CA0939">
      <w:pPr>
        <w:tabs>
          <w:tab w:val="left" w:pos="426"/>
        </w:tabs>
        <w:spacing w:after="120" w:line="360" w:lineRule="auto"/>
        <w:jc w:val="both"/>
        <w:rPr>
          <w:b/>
          <w:sz w:val="24"/>
          <w:szCs w:val="24"/>
        </w:rPr>
      </w:pPr>
      <w:r w:rsidRPr="00520E34">
        <w:rPr>
          <w:b/>
          <w:sz w:val="24"/>
          <w:szCs w:val="24"/>
        </w:rPr>
        <w:t>2a) Cross Mark-to-Market Calculation per Margin Account ID:</w:t>
      </w:r>
    </w:p>
    <w:p w:rsidR="001F39AF" w:rsidRPr="00520E34" w:rsidRDefault="001F39AF" w:rsidP="00CA0939">
      <w:pPr>
        <w:spacing w:after="120" w:line="360" w:lineRule="auto"/>
        <w:jc w:val="both"/>
        <w:rPr>
          <w:sz w:val="24"/>
          <w:szCs w:val="24"/>
        </w:rPr>
      </w:pPr>
      <w:r w:rsidRPr="00520E34">
        <w:rPr>
          <w:sz w:val="24"/>
          <w:szCs w:val="24"/>
        </w:rPr>
        <w:t>Once the Mark-to-Market has been calculated in the Clearing Currency for each Position Account ID, the CCP sums the amounts obtained for the same ISIN traded in the different Market (Position Account)</w:t>
      </w:r>
      <w:r w:rsidR="00CA0939">
        <w:rPr>
          <w:sz w:val="24"/>
          <w:szCs w:val="24"/>
        </w:rPr>
        <w:t>.</w:t>
      </w:r>
    </w:p>
    <w:p w:rsidR="001F39AF" w:rsidRPr="00520E34" w:rsidRDefault="001F39AF" w:rsidP="007F0936">
      <w:pPr>
        <w:spacing w:after="120" w:line="360" w:lineRule="auto"/>
        <w:jc w:val="center"/>
        <w:rPr>
          <w:i/>
        </w:rPr>
      </w:pPr>
      <w:r w:rsidRPr="00520E34">
        <w:rPr>
          <w:i/>
        </w:rPr>
        <w:t>Cross Mark-to-Market  =  Mark-to-Market (Position Account 1) + Mark-to-Market(Position Account2)</w:t>
      </w:r>
    </w:p>
    <w:p w:rsidR="001F39AF" w:rsidRPr="00520E34" w:rsidRDefault="001F39AF" w:rsidP="00960DA1">
      <w:pPr>
        <w:spacing w:after="120" w:line="360" w:lineRule="auto"/>
        <w:rPr>
          <w:rFonts w:eastAsiaTheme="minorEastAsia"/>
          <w:sz w:val="24"/>
          <w:szCs w:val="24"/>
        </w:rPr>
      </w:pPr>
      <w:r w:rsidRPr="00520E34">
        <w:rPr>
          <w:rFonts w:eastAsiaTheme="minorEastAsia"/>
          <w:sz w:val="24"/>
          <w:szCs w:val="24"/>
        </w:rPr>
        <w:br w:type="page"/>
      </w:r>
    </w:p>
    <w:p w:rsidR="001F39AF" w:rsidRPr="00520E34" w:rsidRDefault="001F39AF" w:rsidP="00960DA1">
      <w:pPr>
        <w:pStyle w:val="Heading2"/>
        <w:spacing w:after="120"/>
        <w:rPr>
          <w:color w:val="auto"/>
          <w:sz w:val="30"/>
          <w:szCs w:val="30"/>
        </w:rPr>
      </w:pPr>
      <w:r w:rsidRPr="00520E34">
        <w:rPr>
          <w:color w:val="auto"/>
          <w:sz w:val="30"/>
          <w:szCs w:val="30"/>
        </w:rPr>
        <w:lastRenderedPageBreak/>
        <w:t xml:space="preserve"> </w:t>
      </w:r>
      <w:bookmarkStart w:id="4" w:name="_Toc525911849"/>
      <w:r w:rsidRPr="00520E34">
        <w:rPr>
          <w:color w:val="auto"/>
          <w:sz w:val="30"/>
          <w:szCs w:val="30"/>
        </w:rPr>
        <w:t>Additional Margin Calculation</w:t>
      </w:r>
      <w:bookmarkEnd w:id="4"/>
    </w:p>
    <w:p w:rsidR="001F39AF" w:rsidRPr="00520E34" w:rsidRDefault="001F39AF" w:rsidP="00960DA1">
      <w:pPr>
        <w:spacing w:after="120" w:line="360" w:lineRule="auto"/>
        <w:rPr>
          <w:b/>
          <w:sz w:val="24"/>
          <w:szCs w:val="24"/>
        </w:rPr>
      </w:pPr>
      <w:r w:rsidRPr="00520E34">
        <w:rPr>
          <w:b/>
          <w:sz w:val="24"/>
          <w:szCs w:val="24"/>
        </w:rPr>
        <w:t>1b) Calculation for each ISIN, separately per</w:t>
      </w:r>
      <w:r w:rsidR="00754AB5">
        <w:rPr>
          <w:b/>
          <w:sz w:val="24"/>
          <w:szCs w:val="24"/>
        </w:rPr>
        <w:t xml:space="preserve"> Position Account ID, of the </w:t>
      </w:r>
      <w:r w:rsidRPr="00520E34">
        <w:rPr>
          <w:b/>
          <w:sz w:val="24"/>
          <w:szCs w:val="24"/>
        </w:rPr>
        <w:t xml:space="preserve">Downside and Upside theoretical price. </w:t>
      </w:r>
    </w:p>
    <w:p w:rsidR="001F39AF" w:rsidRPr="00520E34" w:rsidRDefault="001F39AF" w:rsidP="00960DA1">
      <w:pPr>
        <w:spacing w:after="120"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Downside Scenario=Last Pr</m:t>
          </m:r>
          <m:r>
            <w:rPr>
              <w:rFonts w:ascii="Cambria Math" w:hAnsi="Cambria Math"/>
              <w:sz w:val="24"/>
              <w:szCs w:val="24"/>
            </w:rPr>
            <m:t xml:space="preserve">ice*(1-Margin Interval) </m:t>
          </m:r>
        </m:oMath>
      </m:oMathPara>
    </w:p>
    <w:p w:rsidR="001F39AF" w:rsidRPr="00520E34" w:rsidRDefault="001F39AF" w:rsidP="00960DA1">
      <w:pPr>
        <w:spacing w:after="120" w:line="360" w:lineRule="auto"/>
        <w:ind w:left="142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Upside Scenario=Last Price*(1+Margin Interval)</m:t>
          </m:r>
        </m:oMath>
      </m:oMathPara>
    </w:p>
    <w:p w:rsidR="001F39AF" w:rsidRPr="00520E34" w:rsidRDefault="001F39AF" w:rsidP="00960DA1">
      <w:pPr>
        <w:spacing w:after="120" w:line="360" w:lineRule="auto"/>
        <w:rPr>
          <w:b/>
          <w:sz w:val="24"/>
          <w:szCs w:val="24"/>
        </w:rPr>
      </w:pPr>
      <w:r w:rsidRPr="00520E34">
        <w:rPr>
          <w:b/>
          <w:sz w:val="24"/>
          <w:szCs w:val="24"/>
        </w:rPr>
        <w:t>Calculation for each ISIN, separately per Position Account ID, of the “</w:t>
      </w:r>
      <w:r w:rsidR="00754AB5">
        <w:rPr>
          <w:b/>
          <w:sz w:val="24"/>
          <w:szCs w:val="24"/>
        </w:rPr>
        <w:t>D</w:t>
      </w:r>
      <w:r w:rsidRPr="00520E34">
        <w:rPr>
          <w:b/>
          <w:sz w:val="24"/>
          <w:szCs w:val="24"/>
        </w:rPr>
        <w:t>ownside Gain/Loss” and the “</w:t>
      </w:r>
      <w:r w:rsidR="00754AB5">
        <w:rPr>
          <w:b/>
          <w:sz w:val="24"/>
          <w:szCs w:val="24"/>
        </w:rPr>
        <w:t>U</w:t>
      </w:r>
      <w:r w:rsidRPr="00520E34">
        <w:rPr>
          <w:b/>
          <w:sz w:val="24"/>
          <w:szCs w:val="24"/>
        </w:rPr>
        <w:t>pside Gain/Loss”:</w:t>
      </w:r>
    </w:p>
    <w:p w:rsidR="001F39AF" w:rsidRPr="00520E34" w:rsidRDefault="001F39AF" w:rsidP="00960DA1">
      <w:pPr>
        <w:pStyle w:val="ListParagraph"/>
        <w:numPr>
          <w:ilvl w:val="0"/>
          <w:numId w:val="23"/>
        </w:numPr>
        <w:spacing w:after="120" w:line="360" w:lineRule="auto"/>
        <w:rPr>
          <w:sz w:val="24"/>
          <w:szCs w:val="24"/>
        </w:rPr>
      </w:pPr>
      <w:r w:rsidRPr="00520E34">
        <w:rPr>
          <w:sz w:val="24"/>
          <w:szCs w:val="24"/>
        </w:rPr>
        <w:t>Downside Gain Loss:</w:t>
      </w:r>
    </w:p>
    <w:p w:rsidR="001F39AF" w:rsidRPr="00520E34" w:rsidRDefault="001F39AF" w:rsidP="00960DA1">
      <w:pPr>
        <w:spacing w:after="120" w:line="360" w:lineRule="auto"/>
        <w:ind w:left="142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Downside Gain Loss=Quantity</m:t>
          </m:r>
          <m:r>
            <w:rPr>
              <w:rStyle w:val="FootnoteReference"/>
              <w:rFonts w:ascii="Cambria Math" w:hAnsi="Cambria Math"/>
              <w:i/>
              <w:sz w:val="24"/>
              <w:szCs w:val="24"/>
            </w:rPr>
            <w:footnoteReference w:id="3"/>
          </m:r>
          <m:r>
            <w:rPr>
              <w:rFonts w:ascii="Cambria Math" w:hAnsi="Cambria Math"/>
              <w:sz w:val="24"/>
              <w:szCs w:val="24"/>
            </w:rPr>
            <m:t>*(Max Downside Scenario- Last Price)</m:t>
          </m:r>
        </m:oMath>
      </m:oMathPara>
    </w:p>
    <w:p w:rsidR="001F39AF" w:rsidRPr="00520E34" w:rsidRDefault="001F39AF" w:rsidP="00960DA1">
      <w:pPr>
        <w:pStyle w:val="ListParagraph"/>
        <w:numPr>
          <w:ilvl w:val="0"/>
          <w:numId w:val="23"/>
        </w:numPr>
        <w:spacing w:after="120" w:line="360" w:lineRule="auto"/>
        <w:rPr>
          <w:sz w:val="24"/>
          <w:szCs w:val="24"/>
        </w:rPr>
      </w:pPr>
      <w:r w:rsidRPr="00520E34">
        <w:rPr>
          <w:sz w:val="24"/>
          <w:szCs w:val="24"/>
        </w:rPr>
        <w:t>Upside Gain Loss:</w:t>
      </w:r>
    </w:p>
    <w:p w:rsidR="001F39AF" w:rsidRPr="00520E34" w:rsidRDefault="001F39AF" w:rsidP="00960DA1">
      <w:pPr>
        <w:spacing w:after="120" w:line="360" w:lineRule="auto"/>
        <w:ind w:left="142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Upside Gain Loss=Quantity</m:t>
          </m:r>
          <m:r>
            <w:rPr>
              <w:rStyle w:val="FootnoteReference"/>
              <w:rFonts w:ascii="Cambria Math" w:hAnsi="Cambria Math"/>
              <w:i/>
              <w:sz w:val="24"/>
              <w:szCs w:val="24"/>
            </w:rPr>
            <w:footnoteReference w:id="4"/>
          </m:r>
          <m:r>
            <w:rPr>
              <w:rFonts w:ascii="Cambria Math" w:hAnsi="Cambria Math"/>
              <w:sz w:val="24"/>
              <w:szCs w:val="24"/>
            </w:rPr>
            <m:t>*(Max Upside Scenario- Last Price)</m:t>
          </m:r>
        </m:oMath>
      </m:oMathPara>
    </w:p>
    <w:p w:rsidR="001F39AF" w:rsidRPr="00520E34" w:rsidRDefault="001F39AF" w:rsidP="00CA0939">
      <w:pPr>
        <w:spacing w:after="120" w:line="360" w:lineRule="auto"/>
        <w:jc w:val="both"/>
        <w:rPr>
          <w:rFonts w:eastAsiaTheme="minorEastAsia"/>
          <w:b/>
          <w:sz w:val="24"/>
          <w:szCs w:val="24"/>
        </w:rPr>
      </w:pPr>
      <w:r w:rsidRPr="00520E34">
        <w:rPr>
          <w:rFonts w:eastAsiaTheme="minorEastAsia"/>
          <w:b/>
          <w:sz w:val="24"/>
          <w:szCs w:val="24"/>
        </w:rPr>
        <w:t>Calculation of Downside and Upside Gain Loss in Clearing currency</w:t>
      </w:r>
    </w:p>
    <w:p w:rsidR="001F39AF" w:rsidRDefault="001F39AF" w:rsidP="00CA0939">
      <w:pPr>
        <w:spacing w:after="120" w:line="360" w:lineRule="auto"/>
        <w:jc w:val="both"/>
        <w:rPr>
          <w:sz w:val="24"/>
          <w:szCs w:val="24"/>
        </w:rPr>
      </w:pPr>
      <w:r w:rsidRPr="00520E34">
        <w:rPr>
          <w:sz w:val="24"/>
          <w:szCs w:val="24"/>
        </w:rPr>
        <w:t xml:space="preserve">If the </w:t>
      </w:r>
      <w:r w:rsidR="007370BA">
        <w:rPr>
          <w:i/>
          <w:sz w:val="24"/>
          <w:szCs w:val="24"/>
        </w:rPr>
        <w:t>Trade</w:t>
      </w:r>
      <w:r w:rsidRPr="00520E34">
        <w:rPr>
          <w:i/>
          <w:sz w:val="24"/>
          <w:szCs w:val="24"/>
        </w:rPr>
        <w:t xml:space="preserve"> Currency ≠ Clearing Currency</w:t>
      </w:r>
      <w:r w:rsidRPr="00520E34">
        <w:rPr>
          <w:sz w:val="24"/>
          <w:szCs w:val="24"/>
        </w:rPr>
        <w:t xml:space="preserve"> the </w:t>
      </w:r>
      <w:r w:rsidRPr="00520E34">
        <w:rPr>
          <w:i/>
          <w:sz w:val="24"/>
          <w:szCs w:val="24"/>
        </w:rPr>
        <w:t>Exchange Rate</w:t>
      </w:r>
      <w:r w:rsidRPr="00520E34">
        <w:rPr>
          <w:sz w:val="24"/>
          <w:szCs w:val="24"/>
        </w:rPr>
        <w:t xml:space="preserve"> and </w:t>
      </w:r>
      <w:r w:rsidRPr="00520E34">
        <w:rPr>
          <w:i/>
          <w:sz w:val="24"/>
          <w:szCs w:val="24"/>
        </w:rPr>
        <w:t>Haircut on Exchange Rate</w:t>
      </w:r>
      <w:r w:rsidRPr="00520E34">
        <w:rPr>
          <w:sz w:val="24"/>
          <w:szCs w:val="24"/>
        </w:rPr>
        <w:t xml:space="preserve"> is applied. The </w:t>
      </w:r>
      <w:r w:rsidRPr="00520E34">
        <w:rPr>
          <w:i/>
          <w:sz w:val="24"/>
          <w:szCs w:val="24"/>
        </w:rPr>
        <w:t>Haircut on Exchange Rate</w:t>
      </w:r>
      <w:r w:rsidRPr="00520E34">
        <w:rPr>
          <w:sz w:val="24"/>
          <w:szCs w:val="24"/>
        </w:rPr>
        <w:t xml:space="preserve"> is applied considering the signs of </w:t>
      </w:r>
      <w:r w:rsidR="00CA0939">
        <w:rPr>
          <w:i/>
          <w:sz w:val="24"/>
          <w:szCs w:val="24"/>
        </w:rPr>
        <w:t>U</w:t>
      </w:r>
      <w:r w:rsidRPr="00520E34">
        <w:rPr>
          <w:i/>
          <w:sz w:val="24"/>
          <w:szCs w:val="24"/>
        </w:rPr>
        <w:t>pside/Downside Gain Loss</w:t>
      </w:r>
      <w:r w:rsidRPr="00520E34">
        <w:rPr>
          <w:sz w:val="24"/>
          <w:szCs w:val="24"/>
        </w:rPr>
        <w:t xml:space="preserve"> calculated in the previous step</w:t>
      </w:r>
      <w:r w:rsidR="00520E34">
        <w:rPr>
          <w:sz w:val="24"/>
          <w:szCs w:val="24"/>
        </w:rPr>
        <w:t>:</w:t>
      </w:r>
    </w:p>
    <w:p w:rsidR="001F39AF" w:rsidRPr="00520E34" w:rsidRDefault="001F39AF" w:rsidP="00960DA1">
      <w:pPr>
        <w:pStyle w:val="ListParagraph"/>
        <w:numPr>
          <w:ilvl w:val="0"/>
          <w:numId w:val="23"/>
        </w:numPr>
        <w:spacing w:after="120" w:line="360" w:lineRule="auto"/>
        <w:rPr>
          <w:sz w:val="24"/>
          <w:szCs w:val="24"/>
        </w:rPr>
      </w:pPr>
      <w:r w:rsidRPr="00520E34">
        <w:rPr>
          <w:sz w:val="24"/>
          <w:szCs w:val="24"/>
        </w:rPr>
        <w:t xml:space="preserve">If </w:t>
      </w:r>
      <w:r w:rsidRPr="00520E34">
        <w:rPr>
          <w:i/>
          <w:sz w:val="24"/>
          <w:szCs w:val="24"/>
        </w:rPr>
        <w:t>Downside/Upside Gain</w:t>
      </w:r>
      <w:r w:rsidRPr="00520E34">
        <w:rPr>
          <w:sz w:val="24"/>
          <w:szCs w:val="24"/>
        </w:rPr>
        <w:t xml:space="preserve"> Loss is a debit amount</w:t>
      </w:r>
      <w:r w:rsidRPr="00520E34">
        <w:rPr>
          <w:i/>
          <w:sz w:val="24"/>
          <w:szCs w:val="24"/>
        </w:rPr>
        <w:t>:</w:t>
      </w:r>
    </w:p>
    <w:p w:rsidR="001F39AF" w:rsidRPr="00520E34" w:rsidRDefault="001F39AF" w:rsidP="00960DA1">
      <w:pPr>
        <w:spacing w:after="120" w:line="36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Downside Gain Loss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Clearing Currency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 xml:space="preserve">Max Downside Gain Loss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Trading Currency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Exchange Rate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*(1+Haircut on Exchange Rate)</m:t>
          </m:r>
        </m:oMath>
      </m:oMathPara>
    </w:p>
    <w:p w:rsidR="001F39AF" w:rsidRPr="00520E34" w:rsidRDefault="001F39AF" w:rsidP="00960DA1">
      <w:pPr>
        <w:pStyle w:val="ListParagraph"/>
        <w:numPr>
          <w:ilvl w:val="0"/>
          <w:numId w:val="23"/>
        </w:numPr>
        <w:spacing w:after="120" w:line="360" w:lineRule="auto"/>
        <w:rPr>
          <w:sz w:val="24"/>
          <w:szCs w:val="24"/>
        </w:rPr>
      </w:pPr>
      <w:r w:rsidRPr="00520E34">
        <w:rPr>
          <w:sz w:val="24"/>
          <w:szCs w:val="24"/>
        </w:rPr>
        <w:t xml:space="preserve">If </w:t>
      </w:r>
      <w:r w:rsidRPr="00520E34">
        <w:rPr>
          <w:i/>
          <w:sz w:val="24"/>
          <w:szCs w:val="24"/>
        </w:rPr>
        <w:t>Downside/Upside Gain</w:t>
      </w:r>
      <w:r w:rsidRPr="00520E34">
        <w:rPr>
          <w:sz w:val="24"/>
          <w:szCs w:val="24"/>
        </w:rPr>
        <w:t xml:space="preserve"> Loss is a credit amount</w:t>
      </w:r>
      <w:r w:rsidRPr="00520E34">
        <w:rPr>
          <w:i/>
          <w:sz w:val="24"/>
          <w:szCs w:val="24"/>
        </w:rPr>
        <w:t>:</w:t>
      </w:r>
    </w:p>
    <w:p w:rsidR="001F39AF" w:rsidRPr="001C7A4F" w:rsidRDefault="001F39AF" w:rsidP="00960DA1">
      <w:pPr>
        <w:spacing w:after="120" w:line="36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Downside Gain Loss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Clearing Currency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 xml:space="preserve">Max Downside Gain Loss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Trading Currency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Exchange Rate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*(1-Haircut on Exchange Rate)</m:t>
          </m:r>
        </m:oMath>
      </m:oMathPara>
    </w:p>
    <w:p w:rsidR="001C7A4F" w:rsidRDefault="001C7A4F" w:rsidP="00960DA1">
      <w:pPr>
        <w:spacing w:after="120" w:line="360" w:lineRule="auto"/>
        <w:rPr>
          <w:rFonts w:eastAsiaTheme="minorEastAsia"/>
          <w:sz w:val="20"/>
          <w:szCs w:val="20"/>
        </w:rPr>
      </w:pPr>
    </w:p>
    <w:p w:rsidR="001C7A4F" w:rsidRPr="00520E34" w:rsidRDefault="001C7A4F" w:rsidP="00960DA1">
      <w:pPr>
        <w:spacing w:after="120" w:line="360" w:lineRule="auto"/>
        <w:rPr>
          <w:rFonts w:eastAsiaTheme="minorEastAsia"/>
          <w:sz w:val="20"/>
          <w:szCs w:val="20"/>
        </w:rPr>
      </w:pPr>
    </w:p>
    <w:p w:rsidR="001F39AF" w:rsidRPr="00520E34" w:rsidRDefault="001F39AF" w:rsidP="00960DA1">
      <w:pPr>
        <w:spacing w:after="120" w:line="360" w:lineRule="auto"/>
        <w:rPr>
          <w:rFonts w:eastAsiaTheme="minorEastAsia"/>
          <w:b/>
          <w:sz w:val="24"/>
          <w:szCs w:val="24"/>
        </w:rPr>
      </w:pPr>
      <w:r w:rsidRPr="00520E34">
        <w:rPr>
          <w:rFonts w:eastAsiaTheme="minorEastAsia"/>
          <w:b/>
          <w:sz w:val="24"/>
          <w:szCs w:val="24"/>
        </w:rPr>
        <w:lastRenderedPageBreak/>
        <w:t>2b) Calculation of cross Downside and Upside Gain Loss at Margin Account ID Level</w:t>
      </w:r>
    </w:p>
    <w:p w:rsidR="001F39AF" w:rsidRPr="00520E34" w:rsidRDefault="001F39AF" w:rsidP="00CA0939">
      <w:pPr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520E34">
        <w:rPr>
          <w:rFonts w:eastAsiaTheme="minorEastAsia"/>
          <w:sz w:val="24"/>
          <w:szCs w:val="24"/>
        </w:rPr>
        <w:t>The CCP sums the “</w:t>
      </w:r>
      <w:r w:rsidRPr="00520E34">
        <w:rPr>
          <w:rFonts w:eastAsiaTheme="minorEastAsia"/>
          <w:i/>
          <w:sz w:val="24"/>
          <w:szCs w:val="24"/>
        </w:rPr>
        <w:t xml:space="preserve">Downside Gain Loss” </w:t>
      </w:r>
      <w:r w:rsidRPr="00520E34">
        <w:rPr>
          <w:rFonts w:eastAsiaTheme="minorEastAsia"/>
          <w:sz w:val="24"/>
          <w:szCs w:val="24"/>
        </w:rPr>
        <w:t>and the “</w:t>
      </w:r>
      <w:r w:rsidRPr="00520E34">
        <w:rPr>
          <w:rFonts w:eastAsiaTheme="minorEastAsia"/>
          <w:i/>
          <w:sz w:val="24"/>
          <w:szCs w:val="24"/>
        </w:rPr>
        <w:t xml:space="preserve">Upside Gain Loss” </w:t>
      </w:r>
      <w:r w:rsidRPr="00520E34">
        <w:rPr>
          <w:rFonts w:eastAsiaTheme="minorEastAsia"/>
          <w:sz w:val="24"/>
          <w:szCs w:val="24"/>
        </w:rPr>
        <w:t>obtained in different Position ID:</w:t>
      </w:r>
    </w:p>
    <w:p w:rsidR="001F39AF" w:rsidRPr="00520E34" w:rsidRDefault="001F39AF" w:rsidP="00960DA1">
      <w:pPr>
        <w:spacing w:after="120" w:line="36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Cross Downside Gain Loss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Clearing Currency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 Downside Gain Loss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Pos. Acc. 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+Downside Gain Loss (Pos.Acc.2)</m:t>
          </m:r>
        </m:oMath>
      </m:oMathPara>
    </w:p>
    <w:p w:rsidR="001F39AF" w:rsidRPr="00520E34" w:rsidRDefault="001F39AF" w:rsidP="00960DA1">
      <w:pPr>
        <w:spacing w:after="120" w:line="36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Cross Upside Gain Loss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Clearing Currency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 U</m:t>
          </m:r>
          <m:r>
            <w:rPr>
              <w:rFonts w:ascii="Cambria Math" w:hAnsi="Cambria Math"/>
              <w:sz w:val="20"/>
              <w:szCs w:val="20"/>
            </w:rPr>
            <m:t xml:space="preserve">pside Gain Loss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Pos. Acc. 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+Upside Gain Loss (Pos.Acc.2)</m:t>
          </m:r>
        </m:oMath>
      </m:oMathPara>
    </w:p>
    <w:p w:rsidR="001F39AF" w:rsidRPr="00520E34" w:rsidRDefault="001F39AF" w:rsidP="00960DA1">
      <w:pPr>
        <w:spacing w:after="120" w:line="360" w:lineRule="auto"/>
        <w:rPr>
          <w:rFonts w:eastAsiaTheme="minorEastAsia"/>
          <w:b/>
          <w:sz w:val="24"/>
          <w:szCs w:val="24"/>
        </w:rPr>
      </w:pPr>
      <w:r w:rsidRPr="00520E34">
        <w:rPr>
          <w:rFonts w:eastAsiaTheme="minorEastAsia"/>
          <w:b/>
          <w:sz w:val="24"/>
          <w:szCs w:val="24"/>
        </w:rPr>
        <w:t>Calculation of Cross Additional Margin at Margin Account ID:</w:t>
      </w:r>
    </w:p>
    <w:p w:rsidR="008A184C" w:rsidRPr="00D215E0" w:rsidRDefault="001F39AF" w:rsidP="00D215E0">
      <w:pPr>
        <w:pStyle w:val="ListParagraph"/>
        <w:tabs>
          <w:tab w:val="left" w:pos="1408"/>
          <w:tab w:val="left" w:pos="1805"/>
        </w:tabs>
        <w:spacing w:after="120" w:line="360" w:lineRule="auto"/>
        <w:ind w:left="360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Cross Additional Margin=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min⁡</m:t>
        </m:r>
        <m:r>
          <w:rPr>
            <w:rFonts w:ascii="Cambria Math" w:hAnsi="Cambria Math"/>
            <w:sz w:val="20"/>
            <w:szCs w:val="20"/>
          </w:rPr>
          <m:t>(Cross Downside Gain Loss</m:t>
        </m:r>
        <m:r>
          <w:rPr>
            <w:rFonts w:ascii="Cambria Math" w:hAnsi="Cambria Math"/>
            <w:sz w:val="20"/>
            <w:szCs w:val="20"/>
          </w:rPr>
          <m:t xml:space="preserve"> (Clear. Curr)</m:t>
        </m:r>
        <m:r>
          <w:rPr>
            <w:rFonts w:ascii="Cambria Math" w:hAnsi="Cambria Math"/>
            <w:sz w:val="20"/>
            <w:szCs w:val="20"/>
          </w:rPr>
          <m:t>; Cross Upside Gain Loss</m:t>
        </m:r>
        <m:r>
          <w:rPr>
            <w:rFonts w:ascii="Cambria Math" w:hAnsi="Cambria Math"/>
            <w:sz w:val="20"/>
            <w:szCs w:val="20"/>
          </w:rPr>
          <m:t>(Clear. Curr.)</m:t>
        </m:r>
      </m:oMath>
      <w:r w:rsidR="007370BA">
        <w:rPr>
          <w:rFonts w:eastAsiaTheme="minorEastAsia"/>
          <w:sz w:val="20"/>
          <w:szCs w:val="20"/>
        </w:rPr>
        <w:t>)</w:t>
      </w:r>
    </w:p>
    <w:p w:rsidR="001F39AF" w:rsidRPr="00520E34" w:rsidRDefault="00960DA1" w:rsidP="00960DA1">
      <w:pPr>
        <w:pStyle w:val="Heading2"/>
        <w:spacing w:after="120"/>
        <w:rPr>
          <w:color w:val="auto"/>
          <w:sz w:val="30"/>
          <w:szCs w:val="30"/>
        </w:rPr>
      </w:pPr>
      <w:r w:rsidRPr="00520E34">
        <w:rPr>
          <w:color w:val="auto"/>
          <w:sz w:val="30"/>
          <w:szCs w:val="30"/>
        </w:rPr>
        <w:t xml:space="preserve"> </w:t>
      </w:r>
      <w:bookmarkStart w:id="5" w:name="_Toc525911850"/>
      <w:r w:rsidR="007C045C" w:rsidRPr="00520E34">
        <w:rPr>
          <w:color w:val="auto"/>
          <w:sz w:val="30"/>
          <w:szCs w:val="30"/>
        </w:rPr>
        <w:t xml:space="preserve">Cross </w:t>
      </w:r>
      <w:r w:rsidR="001F39AF" w:rsidRPr="00520E34">
        <w:rPr>
          <w:color w:val="auto"/>
          <w:sz w:val="30"/>
          <w:szCs w:val="30"/>
        </w:rPr>
        <w:t>Initial Margin Amount</w:t>
      </w:r>
      <w:bookmarkEnd w:id="5"/>
    </w:p>
    <w:p w:rsidR="00960DA1" w:rsidRPr="00520E34" w:rsidRDefault="001F39AF" w:rsidP="00960DA1">
      <w:pPr>
        <w:spacing w:after="120" w:line="360" w:lineRule="auto"/>
        <w:jc w:val="both"/>
        <w:rPr>
          <w:sz w:val="24"/>
          <w:szCs w:val="24"/>
        </w:rPr>
      </w:pPr>
      <w:r w:rsidRPr="00520E34">
        <w:rPr>
          <w:b/>
          <w:sz w:val="24"/>
          <w:szCs w:val="24"/>
        </w:rPr>
        <w:t>C)</w:t>
      </w:r>
      <w:r w:rsidRPr="00520E34">
        <w:rPr>
          <w:sz w:val="24"/>
          <w:szCs w:val="24"/>
        </w:rPr>
        <w:t xml:space="preserve"> </w:t>
      </w:r>
      <w:r w:rsidR="00960DA1" w:rsidRPr="00520E34">
        <w:rPr>
          <w:sz w:val="24"/>
          <w:szCs w:val="24"/>
        </w:rPr>
        <w:t>Cross Initial Margins is equal to the sum of Cross Mark to Market calculated in the previous step 2a and Cross Additional Margin calculated in the previous step 2b</w:t>
      </w:r>
    </w:p>
    <w:p w:rsidR="001F39AF" w:rsidRPr="00520E34" w:rsidRDefault="001F39AF" w:rsidP="00960DA1">
      <w:pPr>
        <w:spacing w:after="120" w:line="360" w:lineRule="auto"/>
        <w:jc w:val="center"/>
        <w:rPr>
          <w:i/>
          <w:sz w:val="24"/>
          <w:szCs w:val="24"/>
        </w:rPr>
      </w:pPr>
      <w:r w:rsidRPr="00520E34">
        <w:rPr>
          <w:i/>
          <w:sz w:val="24"/>
          <w:szCs w:val="24"/>
        </w:rPr>
        <w:t xml:space="preserve">Initial Margin=Cross Mark to Market  + Cross Additional Margin </w:t>
      </w:r>
    </w:p>
    <w:p w:rsidR="007C045C" w:rsidRPr="00520E34" w:rsidRDefault="007C045C" w:rsidP="00960DA1">
      <w:pPr>
        <w:spacing w:after="120" w:line="360" w:lineRule="auto"/>
        <w:rPr>
          <w:sz w:val="24"/>
          <w:szCs w:val="24"/>
        </w:rPr>
      </w:pPr>
      <w:r w:rsidRPr="00520E34">
        <w:rPr>
          <w:sz w:val="24"/>
          <w:szCs w:val="24"/>
        </w:rPr>
        <w:br w:type="page"/>
      </w:r>
    </w:p>
    <w:p w:rsidR="00CA0939" w:rsidRDefault="00CA0939" w:rsidP="00CA0939">
      <w:pPr>
        <w:pStyle w:val="Heading1"/>
        <w:rPr>
          <w:color w:val="auto"/>
        </w:rPr>
      </w:pPr>
      <w:bookmarkStart w:id="6" w:name="_Toc525911851"/>
      <w:r w:rsidRPr="00E8505A">
        <w:rPr>
          <w:color w:val="auto"/>
        </w:rPr>
        <w:lastRenderedPageBreak/>
        <w:t>Calculation of Initial Margin – Cross Margining Model</w:t>
      </w:r>
      <w:bookmarkEnd w:id="6"/>
    </w:p>
    <w:p w:rsidR="00960DA1" w:rsidRPr="00CA0939" w:rsidRDefault="00960DA1" w:rsidP="00CA0939">
      <w:pPr>
        <w:jc w:val="both"/>
        <w:rPr>
          <w:rFonts w:cs="Arial"/>
          <w:sz w:val="24"/>
          <w:szCs w:val="24"/>
        </w:rPr>
      </w:pPr>
      <w:r w:rsidRPr="00520E34">
        <w:rPr>
          <w:rFonts w:cs="Arial"/>
          <w:sz w:val="24"/>
          <w:szCs w:val="24"/>
        </w:rPr>
        <w:t xml:space="preserve">If </w:t>
      </w:r>
      <w:r w:rsidRPr="00CA0939">
        <w:rPr>
          <w:rFonts w:cs="Arial"/>
          <w:sz w:val="24"/>
          <w:szCs w:val="24"/>
        </w:rPr>
        <w:t>Multicurrency/Multimarket Cross Margining is not performed</w:t>
      </w:r>
      <w:r w:rsidR="00FF6D03">
        <w:rPr>
          <w:rFonts w:cs="Arial"/>
          <w:sz w:val="24"/>
          <w:szCs w:val="24"/>
        </w:rPr>
        <w:t xml:space="preserve"> </w:t>
      </w:r>
      <w:r w:rsidR="00FF6D03" w:rsidRPr="00520E34">
        <w:rPr>
          <w:rFonts w:cs="Arial"/>
          <w:sz w:val="24"/>
          <w:szCs w:val="24"/>
        </w:rPr>
        <w:t>in a Clearing</w:t>
      </w:r>
      <w:r w:rsidR="00FF6D03">
        <w:rPr>
          <w:rFonts w:cs="Arial"/>
          <w:sz w:val="24"/>
          <w:szCs w:val="24"/>
        </w:rPr>
        <w:t xml:space="preserve"> Account the</w:t>
      </w:r>
      <w:r w:rsidRPr="00CA0939">
        <w:rPr>
          <w:rFonts w:cs="Arial"/>
          <w:sz w:val="24"/>
          <w:szCs w:val="24"/>
        </w:rPr>
        <w:t>:</w:t>
      </w:r>
    </w:p>
    <w:p w:rsidR="00960DA1" w:rsidRPr="00CA0939" w:rsidRDefault="00960DA1" w:rsidP="00CA0939">
      <w:pPr>
        <w:pStyle w:val="ListParagraph"/>
        <w:numPr>
          <w:ilvl w:val="0"/>
          <w:numId w:val="32"/>
        </w:numPr>
        <w:jc w:val="both"/>
        <w:rPr>
          <w:rFonts w:cs="Arial"/>
          <w:sz w:val="24"/>
          <w:szCs w:val="24"/>
        </w:rPr>
      </w:pPr>
      <w:r w:rsidRPr="00CA0939">
        <w:rPr>
          <w:rFonts w:cs="Arial"/>
          <w:sz w:val="24"/>
          <w:szCs w:val="24"/>
        </w:rPr>
        <w:t>Positions corresponding to financial instruments having same ISIN and Currency and different Market are not netted in a single position and produce multiple margin requirement;</w:t>
      </w:r>
    </w:p>
    <w:p w:rsidR="00960DA1" w:rsidRPr="00CA0939" w:rsidRDefault="00960DA1" w:rsidP="00CA0939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CA0939">
        <w:rPr>
          <w:rFonts w:cs="Arial"/>
          <w:sz w:val="24"/>
          <w:szCs w:val="24"/>
        </w:rPr>
        <w:t>Positions corresponding to financial instruments having same ISIN and different</w:t>
      </w:r>
      <w:r w:rsidRPr="00CA0939">
        <w:rPr>
          <w:sz w:val="24"/>
          <w:szCs w:val="24"/>
        </w:rPr>
        <w:t xml:space="preserve"> Currency are kept separated and the respective price/currency scenarios are not </w:t>
      </w:r>
      <w:proofErr w:type="spellStart"/>
      <w:r w:rsidRPr="00CA0939">
        <w:rPr>
          <w:sz w:val="24"/>
          <w:szCs w:val="24"/>
        </w:rPr>
        <w:t>offsetted</w:t>
      </w:r>
      <w:proofErr w:type="spellEnd"/>
      <w:r w:rsidRPr="00CA0939">
        <w:rPr>
          <w:sz w:val="24"/>
          <w:szCs w:val="24"/>
        </w:rPr>
        <w:t xml:space="preserve">. In this way multiple Margin Requirement are produced. </w:t>
      </w:r>
    </w:p>
    <w:p w:rsidR="00960DA1" w:rsidRPr="00520E34" w:rsidRDefault="00960DA1" w:rsidP="00CA0939">
      <w:pPr>
        <w:spacing w:after="120" w:line="360" w:lineRule="auto"/>
        <w:jc w:val="both"/>
        <w:rPr>
          <w:sz w:val="24"/>
          <w:szCs w:val="24"/>
        </w:rPr>
      </w:pPr>
      <w:r w:rsidRPr="00520E34">
        <w:rPr>
          <w:sz w:val="24"/>
          <w:szCs w:val="24"/>
        </w:rPr>
        <w:t>The calculation specification is described below:</w:t>
      </w:r>
    </w:p>
    <w:p w:rsidR="007F0936" w:rsidRPr="007C045C" w:rsidRDefault="007F0936" w:rsidP="007F0936">
      <w:pPr>
        <w:pStyle w:val="Caption"/>
        <w:rPr>
          <w:color w:val="auto"/>
        </w:rPr>
      </w:pPr>
      <w:r w:rsidRPr="007C045C">
        <w:rPr>
          <w:color w:val="auto"/>
        </w:rPr>
        <w:t xml:space="preserve">Figure </w:t>
      </w:r>
      <w:r w:rsidRPr="007C045C">
        <w:rPr>
          <w:color w:val="auto"/>
        </w:rPr>
        <w:fldChar w:fldCharType="begin"/>
      </w:r>
      <w:r w:rsidRPr="007C045C">
        <w:rPr>
          <w:color w:val="auto"/>
        </w:rPr>
        <w:instrText xml:space="preserve"> SEQ Figure \* ARABIC </w:instrText>
      </w:r>
      <w:r w:rsidRPr="007C045C">
        <w:rPr>
          <w:color w:val="auto"/>
        </w:rPr>
        <w:fldChar w:fldCharType="separate"/>
      </w:r>
      <w:r w:rsidR="007370BA">
        <w:rPr>
          <w:noProof/>
          <w:color w:val="auto"/>
        </w:rPr>
        <w:t>2</w:t>
      </w:r>
      <w:r w:rsidRPr="007C045C">
        <w:rPr>
          <w:color w:val="auto"/>
        </w:rPr>
        <w:fldChar w:fldCharType="end"/>
      </w:r>
    </w:p>
    <w:p w:rsidR="00960DA1" w:rsidRPr="00327BD8" w:rsidRDefault="00960DA1" w:rsidP="00960DA1">
      <w:r>
        <w:rPr>
          <w:noProof/>
          <w:lang w:val="it-IT" w:eastAsia="it-IT"/>
        </w:rPr>
        <w:drawing>
          <wp:inline distT="0" distB="0" distL="0" distR="0" wp14:anchorId="1273D053" wp14:editId="000BBDF9">
            <wp:extent cx="5311254" cy="49601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52" cy="4957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0939" w:rsidRPr="00CA0939" w:rsidRDefault="00CA0939" w:rsidP="00CA0939"/>
    <w:p w:rsidR="00E8505A" w:rsidRPr="00E8505A" w:rsidRDefault="00E8505A" w:rsidP="00E8505A">
      <w:pPr>
        <w:pStyle w:val="Heading2"/>
        <w:numPr>
          <w:ilvl w:val="1"/>
          <w:numId w:val="26"/>
        </w:numPr>
        <w:rPr>
          <w:color w:val="auto"/>
        </w:rPr>
      </w:pPr>
      <w:r w:rsidRPr="00E8505A">
        <w:rPr>
          <w:color w:val="auto"/>
        </w:rPr>
        <w:lastRenderedPageBreak/>
        <w:t xml:space="preserve"> </w:t>
      </w:r>
      <w:bookmarkStart w:id="7" w:name="_Toc525911852"/>
      <w:r w:rsidRPr="00E8505A">
        <w:rPr>
          <w:color w:val="auto"/>
        </w:rPr>
        <w:t>Mark-to-Market Calculation</w:t>
      </w:r>
      <w:bookmarkEnd w:id="7"/>
    </w:p>
    <w:p w:rsidR="00960DA1" w:rsidRPr="00520E34" w:rsidRDefault="00960DA1" w:rsidP="007F0936">
      <w:pPr>
        <w:spacing w:after="120" w:line="360" w:lineRule="auto"/>
        <w:rPr>
          <w:b/>
          <w:sz w:val="24"/>
          <w:szCs w:val="24"/>
        </w:rPr>
      </w:pPr>
      <w:r w:rsidRPr="00520E34">
        <w:rPr>
          <w:b/>
          <w:sz w:val="24"/>
          <w:szCs w:val="24"/>
        </w:rPr>
        <w:t>1a) The CCP carries out the calculation for each ISIN separately per Position Account:</w:t>
      </w:r>
    </w:p>
    <w:p w:rsidR="00960DA1" w:rsidRPr="00520E34" w:rsidRDefault="00960DA1" w:rsidP="00520E34">
      <w:pPr>
        <w:pStyle w:val="ListParagraph"/>
        <w:numPr>
          <w:ilvl w:val="0"/>
          <w:numId w:val="19"/>
        </w:numPr>
        <w:spacing w:after="0" w:line="360" w:lineRule="auto"/>
        <w:ind w:left="714" w:hanging="357"/>
        <w:rPr>
          <w:i/>
          <w:sz w:val="24"/>
          <w:szCs w:val="24"/>
        </w:rPr>
      </w:pPr>
      <w:r w:rsidRPr="00520E34">
        <w:rPr>
          <w:sz w:val="24"/>
          <w:szCs w:val="24"/>
        </w:rPr>
        <w:t>If Position = Long</w:t>
      </w:r>
    </w:p>
    <w:p w:rsidR="00960DA1" w:rsidRPr="00520E34" w:rsidRDefault="00960DA1" w:rsidP="007F0936">
      <w:pPr>
        <w:spacing w:after="120" w:line="360" w:lineRule="auto"/>
        <w:ind w:firstLine="357"/>
        <w:rPr>
          <w:i/>
          <w:sz w:val="24"/>
          <w:szCs w:val="24"/>
        </w:rPr>
      </w:pPr>
      <w:r w:rsidRPr="00520E34">
        <w:rPr>
          <w:i/>
          <w:sz w:val="24"/>
          <w:szCs w:val="24"/>
        </w:rPr>
        <w:t>Mark-to-Market (</w:t>
      </w:r>
      <w:r w:rsidR="007370BA">
        <w:rPr>
          <w:i/>
          <w:sz w:val="24"/>
          <w:szCs w:val="24"/>
        </w:rPr>
        <w:t>Trade</w:t>
      </w:r>
      <w:r w:rsidRPr="00520E34">
        <w:rPr>
          <w:i/>
          <w:sz w:val="24"/>
          <w:szCs w:val="24"/>
        </w:rPr>
        <w:t xml:space="preserve"> currency) = Net Quantity</w:t>
      </w:r>
      <w:r w:rsidR="001C7A4F">
        <w:rPr>
          <w:rStyle w:val="FootnoteReference"/>
          <w:i/>
          <w:sz w:val="24"/>
          <w:szCs w:val="24"/>
        </w:rPr>
        <w:footnoteReference w:id="5"/>
      </w:r>
      <w:r w:rsidRPr="00520E34">
        <w:rPr>
          <w:i/>
          <w:sz w:val="24"/>
          <w:szCs w:val="24"/>
        </w:rPr>
        <w:t xml:space="preserve"> * (Last Price – </w:t>
      </w:r>
      <w:proofErr w:type="spellStart"/>
      <w:r w:rsidRPr="00520E34">
        <w:rPr>
          <w:i/>
          <w:sz w:val="24"/>
          <w:szCs w:val="24"/>
        </w:rPr>
        <w:t>Settl</w:t>
      </w:r>
      <w:proofErr w:type="spellEnd"/>
      <w:r w:rsidRPr="00520E34">
        <w:rPr>
          <w:i/>
          <w:sz w:val="24"/>
          <w:szCs w:val="24"/>
        </w:rPr>
        <w:t>. Price)</w:t>
      </w:r>
    </w:p>
    <w:p w:rsidR="00960DA1" w:rsidRPr="00520E34" w:rsidRDefault="00960DA1" w:rsidP="00520E34">
      <w:pPr>
        <w:pStyle w:val="ListParagraph"/>
        <w:numPr>
          <w:ilvl w:val="0"/>
          <w:numId w:val="19"/>
        </w:numPr>
        <w:spacing w:after="0" w:line="360" w:lineRule="auto"/>
        <w:ind w:left="714" w:hanging="357"/>
        <w:rPr>
          <w:sz w:val="24"/>
          <w:szCs w:val="24"/>
        </w:rPr>
      </w:pPr>
      <w:r w:rsidRPr="00520E34">
        <w:rPr>
          <w:sz w:val="24"/>
          <w:szCs w:val="24"/>
        </w:rPr>
        <w:t>If Position = Short</w:t>
      </w:r>
    </w:p>
    <w:p w:rsidR="00960DA1" w:rsidRPr="00520E34" w:rsidRDefault="00960DA1" w:rsidP="007F0936">
      <w:pPr>
        <w:spacing w:after="120" w:line="360" w:lineRule="auto"/>
        <w:ind w:firstLine="357"/>
        <w:rPr>
          <w:i/>
          <w:sz w:val="24"/>
          <w:szCs w:val="24"/>
        </w:rPr>
      </w:pPr>
      <w:r w:rsidRPr="00520E34">
        <w:rPr>
          <w:i/>
          <w:sz w:val="24"/>
          <w:szCs w:val="24"/>
        </w:rPr>
        <w:t>Mark-to-Market (</w:t>
      </w:r>
      <w:r w:rsidR="007370BA">
        <w:rPr>
          <w:i/>
          <w:sz w:val="24"/>
          <w:szCs w:val="24"/>
        </w:rPr>
        <w:t>Trade</w:t>
      </w:r>
      <w:r w:rsidRPr="00520E34">
        <w:rPr>
          <w:i/>
          <w:sz w:val="24"/>
          <w:szCs w:val="24"/>
        </w:rPr>
        <w:t xml:space="preserve"> currency) = Net Quantity</w:t>
      </w:r>
      <w:r w:rsidR="001C7A4F">
        <w:rPr>
          <w:rStyle w:val="FootnoteReference"/>
          <w:i/>
          <w:sz w:val="24"/>
          <w:szCs w:val="24"/>
        </w:rPr>
        <w:footnoteReference w:id="6"/>
      </w:r>
      <w:r w:rsidRPr="00520E34">
        <w:rPr>
          <w:i/>
          <w:sz w:val="24"/>
          <w:szCs w:val="24"/>
        </w:rPr>
        <w:t xml:space="preserve"> * (Last Price – </w:t>
      </w:r>
      <w:proofErr w:type="spellStart"/>
      <w:r w:rsidRPr="00520E34">
        <w:rPr>
          <w:i/>
          <w:sz w:val="24"/>
          <w:szCs w:val="24"/>
        </w:rPr>
        <w:t>Settl</w:t>
      </w:r>
      <w:proofErr w:type="spellEnd"/>
      <w:r w:rsidRPr="00520E34">
        <w:rPr>
          <w:i/>
          <w:sz w:val="24"/>
          <w:szCs w:val="24"/>
        </w:rPr>
        <w:t>. Price)</w:t>
      </w:r>
    </w:p>
    <w:p w:rsidR="00960DA1" w:rsidRPr="00520E34" w:rsidRDefault="00960DA1" w:rsidP="007F0936">
      <w:pPr>
        <w:spacing w:after="120" w:line="360" w:lineRule="auto"/>
        <w:rPr>
          <w:i/>
          <w:sz w:val="24"/>
          <w:szCs w:val="24"/>
        </w:rPr>
      </w:pPr>
      <w:r w:rsidRPr="00520E34">
        <w:rPr>
          <w:sz w:val="24"/>
          <w:szCs w:val="24"/>
        </w:rPr>
        <w:t xml:space="preserve">If the </w:t>
      </w:r>
      <w:r w:rsidR="007370BA">
        <w:rPr>
          <w:i/>
          <w:sz w:val="24"/>
          <w:szCs w:val="24"/>
        </w:rPr>
        <w:t>Trade</w:t>
      </w:r>
      <w:r w:rsidRPr="00520E34">
        <w:rPr>
          <w:i/>
          <w:sz w:val="24"/>
          <w:szCs w:val="24"/>
        </w:rPr>
        <w:t xml:space="preserve"> Currency ≠ Clearing Currency</w:t>
      </w:r>
      <w:r w:rsidRPr="00520E34">
        <w:rPr>
          <w:sz w:val="24"/>
          <w:szCs w:val="24"/>
        </w:rPr>
        <w:t xml:space="preserve"> the </w:t>
      </w:r>
      <w:r w:rsidRPr="00520E34">
        <w:rPr>
          <w:i/>
          <w:sz w:val="24"/>
          <w:szCs w:val="24"/>
        </w:rPr>
        <w:t>Exchange Rate</w:t>
      </w:r>
      <w:r w:rsidRPr="00520E34">
        <w:rPr>
          <w:sz w:val="24"/>
          <w:szCs w:val="24"/>
        </w:rPr>
        <w:t xml:space="preserve"> and </w:t>
      </w:r>
      <w:r w:rsidRPr="00520E34">
        <w:rPr>
          <w:i/>
          <w:sz w:val="24"/>
          <w:szCs w:val="24"/>
        </w:rPr>
        <w:t>Haircut on Exchange Rate</w:t>
      </w:r>
      <w:r w:rsidRPr="00520E34">
        <w:rPr>
          <w:sz w:val="24"/>
          <w:szCs w:val="24"/>
        </w:rPr>
        <w:t xml:space="preserve"> is applied. The </w:t>
      </w:r>
      <w:r w:rsidRPr="00520E34">
        <w:rPr>
          <w:i/>
          <w:sz w:val="24"/>
          <w:szCs w:val="24"/>
        </w:rPr>
        <w:t>Haircut on Exchange Rate</w:t>
      </w:r>
      <w:r w:rsidRPr="00520E34">
        <w:rPr>
          <w:sz w:val="24"/>
          <w:szCs w:val="24"/>
        </w:rPr>
        <w:t xml:space="preserve"> is applied considering the sign of Mark-to-Market:</w:t>
      </w:r>
    </w:p>
    <w:p w:rsidR="00960DA1" w:rsidRPr="00520E34" w:rsidRDefault="00960DA1" w:rsidP="00520E34">
      <w:pPr>
        <w:pStyle w:val="ListParagraph"/>
        <w:numPr>
          <w:ilvl w:val="0"/>
          <w:numId w:val="19"/>
        </w:numPr>
        <w:spacing w:after="0" w:line="360" w:lineRule="auto"/>
        <w:ind w:left="714" w:hanging="357"/>
        <w:rPr>
          <w:sz w:val="24"/>
          <w:szCs w:val="24"/>
        </w:rPr>
      </w:pPr>
      <w:r w:rsidRPr="00520E34">
        <w:rPr>
          <w:sz w:val="24"/>
          <w:szCs w:val="24"/>
        </w:rPr>
        <w:t>If the Mark-to-Market is a debit amount:</w:t>
      </w:r>
    </w:p>
    <w:p w:rsidR="00960DA1" w:rsidRPr="00520E34" w:rsidRDefault="00960DA1" w:rsidP="007F0936">
      <w:pPr>
        <w:spacing w:after="120" w:line="360" w:lineRule="auto"/>
        <w:rPr>
          <w:i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ark-to-Market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clearing currency</m:t>
            </m:r>
          </m:e>
        </m:d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Mark-to-Market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trading currency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Exchange Rate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520E34">
        <w:rPr>
          <w:rFonts w:eastAsiaTheme="minorEastAsia"/>
          <w:sz w:val="20"/>
          <w:szCs w:val="20"/>
        </w:rPr>
        <w:t>*(1+</w:t>
      </w:r>
      <w:r w:rsidRPr="00520E34">
        <w:rPr>
          <w:i/>
          <w:sz w:val="20"/>
          <w:szCs w:val="20"/>
        </w:rPr>
        <w:t xml:space="preserve"> Haircut on Exchange Rate)</w:t>
      </w:r>
    </w:p>
    <w:p w:rsidR="00960DA1" w:rsidRPr="00520E34" w:rsidRDefault="00960DA1" w:rsidP="00520E34">
      <w:pPr>
        <w:pStyle w:val="ListParagraph"/>
        <w:numPr>
          <w:ilvl w:val="0"/>
          <w:numId w:val="19"/>
        </w:numPr>
        <w:spacing w:after="0" w:line="360" w:lineRule="auto"/>
        <w:ind w:left="714" w:hanging="357"/>
        <w:rPr>
          <w:sz w:val="24"/>
          <w:szCs w:val="24"/>
        </w:rPr>
      </w:pPr>
      <w:r w:rsidRPr="00520E34">
        <w:rPr>
          <w:sz w:val="24"/>
          <w:szCs w:val="24"/>
        </w:rPr>
        <w:t>If the Mark-to-Market is a credit amount:</w:t>
      </w:r>
    </w:p>
    <w:p w:rsidR="00960DA1" w:rsidRPr="00520E34" w:rsidRDefault="00960DA1" w:rsidP="007F0936">
      <w:pPr>
        <w:spacing w:after="120" w:line="360" w:lineRule="auto"/>
        <w:rPr>
          <w:i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Mark-to-Market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clearin</m:t>
            </m:r>
            <m:r>
              <w:rPr>
                <w:rFonts w:ascii="Cambria Math" w:hAnsi="Cambria Math"/>
                <w:sz w:val="20"/>
                <w:szCs w:val="20"/>
              </w:rPr>
              <m:t>g currency</m:t>
            </m:r>
          </m:e>
        </m:d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Mark-to-Market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trading currency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Exchange Rate</m:t>
            </m:r>
          </m:den>
        </m:f>
      </m:oMath>
      <w:r w:rsidRPr="00520E34">
        <w:rPr>
          <w:rFonts w:eastAsiaTheme="minorEastAsia"/>
          <w:sz w:val="20"/>
          <w:szCs w:val="20"/>
        </w:rPr>
        <w:t xml:space="preserve"> *(1-</w:t>
      </w:r>
      <w:r w:rsidRPr="00520E34">
        <w:rPr>
          <w:i/>
          <w:sz w:val="20"/>
          <w:szCs w:val="20"/>
        </w:rPr>
        <w:t xml:space="preserve"> Haircut on Exchange Rate)</w:t>
      </w:r>
    </w:p>
    <w:p w:rsidR="007F0936" w:rsidRDefault="007F0936" w:rsidP="007F0936">
      <w:pPr>
        <w:spacing w:after="120" w:line="360" w:lineRule="auto"/>
        <w:rPr>
          <w:i/>
          <w:sz w:val="19"/>
          <w:szCs w:val="19"/>
        </w:rPr>
      </w:pPr>
      <w:r>
        <w:rPr>
          <w:i/>
          <w:sz w:val="19"/>
          <w:szCs w:val="19"/>
        </w:rPr>
        <w:br w:type="page"/>
      </w:r>
    </w:p>
    <w:p w:rsidR="00CA0939" w:rsidRPr="00CA0939" w:rsidRDefault="00960DA1" w:rsidP="00CA0939">
      <w:pPr>
        <w:pStyle w:val="Heading2"/>
        <w:numPr>
          <w:ilvl w:val="1"/>
          <w:numId w:val="26"/>
        </w:numPr>
        <w:rPr>
          <w:color w:val="auto"/>
        </w:rPr>
      </w:pPr>
      <w:r w:rsidRPr="007C045C">
        <w:rPr>
          <w:color w:val="auto"/>
        </w:rPr>
        <w:lastRenderedPageBreak/>
        <w:t xml:space="preserve"> </w:t>
      </w:r>
      <w:bookmarkStart w:id="8" w:name="_Toc525911853"/>
      <w:r w:rsidRPr="007C045C">
        <w:rPr>
          <w:color w:val="auto"/>
        </w:rPr>
        <w:t>Additional Margin Calculation</w:t>
      </w:r>
      <w:bookmarkEnd w:id="8"/>
    </w:p>
    <w:p w:rsidR="00960DA1" w:rsidRPr="007F0936" w:rsidRDefault="00960DA1" w:rsidP="007F0936">
      <w:pPr>
        <w:spacing w:after="120" w:line="360" w:lineRule="auto"/>
        <w:rPr>
          <w:b/>
          <w:sz w:val="24"/>
          <w:szCs w:val="24"/>
        </w:rPr>
      </w:pPr>
      <w:r w:rsidRPr="007F0936">
        <w:rPr>
          <w:b/>
          <w:sz w:val="24"/>
          <w:szCs w:val="24"/>
        </w:rPr>
        <w:t xml:space="preserve">1b) Calculation for each ISIN, separately per Position Account ID, of the Downside and Upside theoretical price. </w:t>
      </w:r>
    </w:p>
    <w:p w:rsidR="00960DA1" w:rsidRPr="0002121E" w:rsidRDefault="00960DA1" w:rsidP="007F0936">
      <w:pPr>
        <w:spacing w:after="120" w:line="360" w:lineRule="auto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9"/>
              <w:szCs w:val="19"/>
            </w:rPr>
            <m:t xml:space="preserve">Downside Scenario=Last Price*(1-Margin Interval) </m:t>
          </m:r>
        </m:oMath>
      </m:oMathPara>
    </w:p>
    <w:p w:rsidR="00960DA1" w:rsidRPr="00466B4F" w:rsidRDefault="00754AB5" w:rsidP="007F0936">
      <w:pPr>
        <w:spacing w:after="120" w:line="360" w:lineRule="auto"/>
        <w:ind w:left="142"/>
        <w:rPr>
          <w:rFonts w:eastAsiaTheme="minorEastAsia"/>
          <w:sz w:val="19"/>
          <w:szCs w:val="19"/>
        </w:rPr>
      </w:pPr>
      <m:oMathPara>
        <m:oMath>
          <m:r>
            <w:rPr>
              <w:rFonts w:ascii="Cambria Math" w:hAnsi="Cambria Math"/>
              <w:sz w:val="19"/>
              <w:szCs w:val="19"/>
            </w:rPr>
            <m:t>Upside Scenario=Last Price*(1+Margin Interval)</m:t>
          </m:r>
        </m:oMath>
      </m:oMathPara>
    </w:p>
    <w:p w:rsidR="00960DA1" w:rsidRPr="007F0936" w:rsidRDefault="00960DA1" w:rsidP="007F0936">
      <w:pPr>
        <w:spacing w:after="120" w:line="360" w:lineRule="auto"/>
        <w:rPr>
          <w:b/>
          <w:sz w:val="24"/>
          <w:szCs w:val="24"/>
        </w:rPr>
      </w:pPr>
      <w:r w:rsidRPr="007F0936">
        <w:rPr>
          <w:b/>
          <w:sz w:val="24"/>
          <w:szCs w:val="24"/>
        </w:rPr>
        <w:t>Calculation for each ISIN, separately per Position Account ID, of the “downside Gain/Loss”</w:t>
      </w:r>
      <w:r w:rsidRPr="007C045C">
        <w:rPr>
          <w:sz w:val="24"/>
          <w:szCs w:val="24"/>
        </w:rPr>
        <w:t xml:space="preserve"> </w:t>
      </w:r>
      <w:r w:rsidRPr="007F0936">
        <w:rPr>
          <w:b/>
          <w:sz w:val="24"/>
          <w:szCs w:val="24"/>
        </w:rPr>
        <w:t>and the “upside Gain/Loss”:</w:t>
      </w:r>
    </w:p>
    <w:p w:rsidR="00960DA1" w:rsidRPr="00A93FE1" w:rsidRDefault="00960DA1" w:rsidP="007F0936">
      <w:pPr>
        <w:pStyle w:val="ListParagraph"/>
        <w:numPr>
          <w:ilvl w:val="0"/>
          <w:numId w:val="23"/>
        </w:numPr>
        <w:spacing w:after="120" w:line="360" w:lineRule="auto"/>
      </w:pPr>
      <w:r w:rsidRPr="00A93FE1">
        <w:t>Downside Gain Loss:</w:t>
      </w:r>
    </w:p>
    <w:p w:rsidR="00960DA1" w:rsidRPr="00A93FE1" w:rsidRDefault="00960DA1" w:rsidP="007F0936">
      <w:pPr>
        <w:spacing w:after="120" w:line="360" w:lineRule="auto"/>
        <w:ind w:left="142"/>
        <w:rPr>
          <w:rFonts w:eastAsiaTheme="minorEastAsia"/>
          <w:sz w:val="19"/>
          <w:szCs w:val="19"/>
        </w:rPr>
      </w:pPr>
      <m:oMathPara>
        <m:oMath>
          <m:r>
            <w:rPr>
              <w:rFonts w:ascii="Cambria Math" w:hAnsi="Cambria Math"/>
              <w:sz w:val="19"/>
              <w:szCs w:val="19"/>
            </w:rPr>
            <m:t>Downside Gain Loss=Net Quantity</m:t>
          </m:r>
          <m:r>
            <w:rPr>
              <w:rStyle w:val="FootnoteReference"/>
              <w:rFonts w:ascii="Cambria Math" w:hAnsi="Cambria Math"/>
              <w:i/>
              <w:sz w:val="19"/>
              <w:szCs w:val="19"/>
            </w:rPr>
            <w:footnoteReference w:id="7"/>
          </m:r>
          <m:r>
            <w:rPr>
              <w:rFonts w:ascii="Cambria Math" w:hAnsi="Cambria Math"/>
              <w:sz w:val="19"/>
              <w:szCs w:val="19"/>
            </w:rPr>
            <m:t>*(Downside Scenario- Last Price)</m:t>
          </m:r>
        </m:oMath>
      </m:oMathPara>
    </w:p>
    <w:p w:rsidR="00960DA1" w:rsidRDefault="00960DA1" w:rsidP="007F0936">
      <w:pPr>
        <w:pStyle w:val="ListParagraph"/>
        <w:numPr>
          <w:ilvl w:val="0"/>
          <w:numId w:val="23"/>
        </w:numPr>
        <w:spacing w:after="120" w:line="360" w:lineRule="auto"/>
      </w:pPr>
      <w:r>
        <w:t>Upside Gain Loss:</w:t>
      </w:r>
    </w:p>
    <w:p w:rsidR="00960DA1" w:rsidRPr="00A93FE1" w:rsidRDefault="00960DA1" w:rsidP="001C7A4F">
      <w:pPr>
        <w:spacing w:after="120" w:line="360" w:lineRule="auto"/>
        <w:rPr>
          <w:rFonts w:eastAsiaTheme="minorEastAsia"/>
          <w:sz w:val="19"/>
          <w:szCs w:val="19"/>
        </w:rPr>
      </w:pPr>
      <m:oMathPara>
        <m:oMath>
          <m:r>
            <w:rPr>
              <w:rFonts w:ascii="Cambria Math" w:hAnsi="Cambria Math"/>
              <w:sz w:val="19"/>
              <w:szCs w:val="19"/>
            </w:rPr>
            <m:t>Upside Gain Loss=Quantity</m:t>
          </m:r>
          <m:r>
            <w:rPr>
              <w:rStyle w:val="FootnoteReference"/>
              <w:rFonts w:ascii="Cambria Math" w:hAnsi="Cambria Math"/>
              <w:i/>
              <w:sz w:val="19"/>
              <w:szCs w:val="19"/>
            </w:rPr>
            <w:footnoteReference w:id="8"/>
          </m:r>
          <m:r>
            <w:rPr>
              <w:rFonts w:ascii="Cambria Math" w:hAnsi="Cambria Math"/>
              <w:sz w:val="19"/>
              <w:szCs w:val="19"/>
            </w:rPr>
            <m:t>*(Upside Scenario- Last Price)</m:t>
          </m:r>
        </m:oMath>
      </m:oMathPara>
    </w:p>
    <w:p w:rsidR="00960DA1" w:rsidRPr="007F0936" w:rsidRDefault="00960DA1" w:rsidP="007F0936">
      <w:pPr>
        <w:spacing w:after="120" w:line="360" w:lineRule="auto"/>
        <w:rPr>
          <w:rFonts w:eastAsiaTheme="minorEastAsia"/>
          <w:b/>
          <w:sz w:val="24"/>
          <w:szCs w:val="24"/>
        </w:rPr>
      </w:pPr>
      <w:r w:rsidRPr="007F0936">
        <w:rPr>
          <w:rFonts w:eastAsiaTheme="minorEastAsia"/>
          <w:b/>
          <w:sz w:val="24"/>
          <w:szCs w:val="24"/>
        </w:rPr>
        <w:t>Calculation of Downside and Upside Gain Loss in Clearing currency</w:t>
      </w:r>
    </w:p>
    <w:p w:rsidR="00960DA1" w:rsidRDefault="00960DA1" w:rsidP="007F0936">
      <w:pPr>
        <w:spacing w:after="120" w:line="360" w:lineRule="auto"/>
      </w:pPr>
      <w:r w:rsidRPr="00D91DD9">
        <w:t xml:space="preserve">If the </w:t>
      </w:r>
      <w:r w:rsidR="007370BA">
        <w:rPr>
          <w:i/>
        </w:rPr>
        <w:t>Trade</w:t>
      </w:r>
      <w:r w:rsidRPr="00D91DD9">
        <w:rPr>
          <w:i/>
        </w:rPr>
        <w:t xml:space="preserve"> Currency ≠ Clearing Currency</w:t>
      </w:r>
      <w:r w:rsidRPr="00D91DD9">
        <w:t xml:space="preserve"> the </w:t>
      </w:r>
      <w:r w:rsidRPr="00D91DD9">
        <w:rPr>
          <w:i/>
        </w:rPr>
        <w:t>Exchange Rate</w:t>
      </w:r>
      <w:r w:rsidRPr="00D91DD9">
        <w:t xml:space="preserve"> and </w:t>
      </w:r>
      <w:r w:rsidRPr="00D91DD9">
        <w:rPr>
          <w:i/>
        </w:rPr>
        <w:t>Haircut on Exchange Rate</w:t>
      </w:r>
      <w:r w:rsidRPr="00D91DD9">
        <w:t xml:space="preserve"> is applied. The </w:t>
      </w:r>
      <w:r w:rsidRPr="00D91DD9">
        <w:rPr>
          <w:i/>
        </w:rPr>
        <w:t>Haircut on Exchange Rate</w:t>
      </w:r>
      <w:r w:rsidRPr="00D91DD9">
        <w:t xml:space="preserve"> is applied considering the sign</w:t>
      </w:r>
      <w:r>
        <w:t>s</w:t>
      </w:r>
      <w:r w:rsidRPr="00D91DD9">
        <w:t xml:space="preserve"> of</w:t>
      </w:r>
      <w:r>
        <w:t xml:space="preserve"> </w:t>
      </w:r>
      <w:r w:rsidRPr="00D61865">
        <w:rPr>
          <w:i/>
        </w:rPr>
        <w:t>Upside/Downside Gain Loss</w:t>
      </w:r>
      <w:r>
        <w:t xml:space="preserve"> calculated in the previous step</w:t>
      </w:r>
    </w:p>
    <w:p w:rsidR="00960DA1" w:rsidRPr="00D61865" w:rsidRDefault="00960DA1" w:rsidP="007F0936">
      <w:pPr>
        <w:pStyle w:val="ListParagraph"/>
        <w:numPr>
          <w:ilvl w:val="0"/>
          <w:numId w:val="23"/>
        </w:numPr>
        <w:spacing w:after="120" w:line="360" w:lineRule="auto"/>
      </w:pPr>
      <w:r w:rsidRPr="00D61865">
        <w:t xml:space="preserve">If </w:t>
      </w:r>
      <w:r w:rsidRPr="00D61865">
        <w:rPr>
          <w:i/>
        </w:rPr>
        <w:t>Downside</w:t>
      </w:r>
      <w:r>
        <w:rPr>
          <w:i/>
        </w:rPr>
        <w:t>/Upside</w:t>
      </w:r>
      <w:r w:rsidRPr="00D61865">
        <w:rPr>
          <w:i/>
        </w:rPr>
        <w:t xml:space="preserve"> Gain</w:t>
      </w:r>
      <w:r w:rsidRPr="00D61865">
        <w:t xml:space="preserve"> Loss is a debit</w:t>
      </w:r>
      <w:r>
        <w:t xml:space="preserve"> amount</w:t>
      </w:r>
      <w:r>
        <w:rPr>
          <w:i/>
        </w:rPr>
        <w:t>:</w:t>
      </w:r>
    </w:p>
    <w:p w:rsidR="00960DA1" w:rsidRPr="00A91AE6" w:rsidRDefault="00960DA1" w:rsidP="007F0936">
      <w:pPr>
        <w:spacing w:after="120" w:line="360" w:lineRule="auto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Downside Gain Loss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Clearing Currency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Downside Gain Loss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Trading Currency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Exchange Rate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*(1+Haircut on Exchange Rate)</m:t>
          </m:r>
        </m:oMath>
      </m:oMathPara>
    </w:p>
    <w:p w:rsidR="00960DA1" w:rsidRPr="00D61865" w:rsidRDefault="00960DA1" w:rsidP="007F0936">
      <w:pPr>
        <w:pStyle w:val="ListParagraph"/>
        <w:numPr>
          <w:ilvl w:val="0"/>
          <w:numId w:val="23"/>
        </w:numPr>
        <w:spacing w:after="120" w:line="360" w:lineRule="auto"/>
      </w:pPr>
      <w:r w:rsidRPr="00D61865">
        <w:t xml:space="preserve">If </w:t>
      </w:r>
      <w:r w:rsidRPr="00D61865">
        <w:rPr>
          <w:i/>
        </w:rPr>
        <w:t>Downside</w:t>
      </w:r>
      <w:r>
        <w:rPr>
          <w:i/>
        </w:rPr>
        <w:t>/Upside</w:t>
      </w:r>
      <w:r w:rsidRPr="00D61865">
        <w:rPr>
          <w:i/>
        </w:rPr>
        <w:t xml:space="preserve"> Gain</w:t>
      </w:r>
      <w:r w:rsidRPr="00D61865">
        <w:t xml:space="preserve"> Loss is a </w:t>
      </w:r>
      <w:r>
        <w:t>credit amount</w:t>
      </w:r>
      <w:r>
        <w:rPr>
          <w:i/>
        </w:rPr>
        <w:t>:</w:t>
      </w:r>
    </w:p>
    <w:p w:rsidR="00960DA1" w:rsidRPr="007F0936" w:rsidRDefault="00960DA1" w:rsidP="007F0936">
      <w:pPr>
        <w:spacing w:after="120" w:line="360" w:lineRule="auto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Downside Gain Loss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Clearing Currency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Downside Gain Loss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Trading Currency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Exchange Rate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*(1-Haircut on Exchange Rate)</m:t>
          </m:r>
        </m:oMath>
      </m:oMathPara>
    </w:p>
    <w:p w:rsidR="00D215E0" w:rsidRDefault="00D215E0" w:rsidP="00D215E0">
      <w:pPr>
        <w:spacing w:after="120" w:line="360" w:lineRule="auto"/>
        <w:rPr>
          <w:rFonts w:eastAsiaTheme="minorEastAsia"/>
          <w:b/>
          <w:sz w:val="24"/>
          <w:szCs w:val="24"/>
        </w:rPr>
      </w:pPr>
      <w:r w:rsidRPr="00D215E0">
        <w:rPr>
          <w:rFonts w:eastAsiaTheme="minorEastAsia"/>
          <w:b/>
          <w:sz w:val="24"/>
          <w:szCs w:val="24"/>
        </w:rPr>
        <w:t>Additional Margin Calculation</w:t>
      </w:r>
    </w:p>
    <w:p w:rsidR="00D215E0" w:rsidRPr="00D215E0" w:rsidRDefault="00D215E0" w:rsidP="00D215E0">
      <w:pPr>
        <w:pStyle w:val="ListParagraph"/>
        <w:tabs>
          <w:tab w:val="left" w:pos="1408"/>
          <w:tab w:val="left" w:pos="1805"/>
        </w:tabs>
        <w:spacing w:after="120" w:line="360" w:lineRule="auto"/>
        <w:ind w:left="360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dditional Margin=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min⁡</m:t>
        </m:r>
        <m:r>
          <w:rPr>
            <w:rFonts w:ascii="Cambria Math" w:hAnsi="Cambria Math"/>
            <w:sz w:val="20"/>
            <w:szCs w:val="20"/>
          </w:rPr>
          <m:t>(Downside Gain Loss (Clear. Curr); Upside Gain Loss(Clear. Curr.)</m:t>
        </m:r>
      </m:oMath>
      <w:r>
        <w:rPr>
          <w:rFonts w:eastAsiaTheme="minorEastAsia"/>
          <w:sz w:val="20"/>
          <w:szCs w:val="20"/>
        </w:rPr>
        <w:t>)</w:t>
      </w:r>
    </w:p>
    <w:p w:rsidR="00D215E0" w:rsidRPr="00D215E0" w:rsidRDefault="00D215E0" w:rsidP="00D215E0">
      <w:pPr>
        <w:spacing w:after="120" w:line="360" w:lineRule="auto"/>
        <w:rPr>
          <w:rFonts w:eastAsiaTheme="minorEastAsia"/>
          <w:b/>
          <w:sz w:val="24"/>
          <w:szCs w:val="24"/>
        </w:rPr>
      </w:pPr>
    </w:p>
    <w:p w:rsidR="007F0936" w:rsidRPr="007F0936" w:rsidRDefault="007F0936" w:rsidP="00CA0939">
      <w:pPr>
        <w:pStyle w:val="Heading2"/>
        <w:numPr>
          <w:ilvl w:val="1"/>
          <w:numId w:val="26"/>
        </w:numPr>
        <w:rPr>
          <w:color w:val="auto"/>
        </w:rPr>
      </w:pPr>
      <w:r>
        <w:rPr>
          <w:color w:val="auto"/>
        </w:rPr>
        <w:lastRenderedPageBreak/>
        <w:t xml:space="preserve"> </w:t>
      </w:r>
      <w:bookmarkStart w:id="9" w:name="_Toc525911854"/>
      <w:r w:rsidRPr="007C045C">
        <w:rPr>
          <w:color w:val="auto"/>
        </w:rPr>
        <w:t>Initial Margin Amount</w:t>
      </w:r>
      <w:bookmarkEnd w:id="9"/>
    </w:p>
    <w:p w:rsidR="007F0936" w:rsidRDefault="007F0936" w:rsidP="007F0936">
      <w:pPr>
        <w:spacing w:after="120" w:line="360" w:lineRule="auto"/>
        <w:jc w:val="both"/>
        <w:rPr>
          <w:sz w:val="24"/>
          <w:szCs w:val="24"/>
        </w:rPr>
      </w:pPr>
      <w:r w:rsidRPr="007C045C"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Initial Margins is equal to the sum of </w:t>
      </w:r>
      <w:r w:rsidRPr="001F39AF">
        <w:rPr>
          <w:sz w:val="24"/>
          <w:szCs w:val="24"/>
        </w:rPr>
        <w:t>Mark to Market</w:t>
      </w:r>
      <w:r>
        <w:rPr>
          <w:sz w:val="24"/>
          <w:szCs w:val="24"/>
        </w:rPr>
        <w:t xml:space="preserve"> calculated in the previous step 1a and Additional Margin calculated in the previous step 1b</w:t>
      </w:r>
    </w:p>
    <w:p w:rsidR="007F0936" w:rsidRPr="00960DA1" w:rsidRDefault="007F0936" w:rsidP="007F0936">
      <w:pPr>
        <w:spacing w:after="120" w:line="360" w:lineRule="auto"/>
        <w:jc w:val="center"/>
        <w:rPr>
          <w:i/>
          <w:sz w:val="24"/>
          <w:szCs w:val="24"/>
        </w:rPr>
      </w:pPr>
      <w:r w:rsidRPr="00960DA1">
        <w:rPr>
          <w:i/>
          <w:sz w:val="24"/>
          <w:szCs w:val="24"/>
        </w:rPr>
        <w:t>Initial Margin=</w:t>
      </w:r>
      <w:r w:rsidR="00D215E0">
        <w:rPr>
          <w:i/>
          <w:sz w:val="24"/>
          <w:szCs w:val="24"/>
        </w:rPr>
        <w:t xml:space="preserve"> Mark to Market  + </w:t>
      </w:r>
      <w:r w:rsidRPr="00960DA1">
        <w:rPr>
          <w:i/>
          <w:sz w:val="24"/>
          <w:szCs w:val="24"/>
        </w:rPr>
        <w:t xml:space="preserve"> Additional Margin </w:t>
      </w:r>
    </w:p>
    <w:sectPr w:rsidR="007F0936" w:rsidRPr="00960DA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90D" w:rsidRDefault="00D9590D" w:rsidP="008052E1">
      <w:pPr>
        <w:spacing w:after="0" w:line="240" w:lineRule="auto"/>
      </w:pPr>
      <w:r>
        <w:separator/>
      </w:r>
    </w:p>
  </w:endnote>
  <w:endnote w:type="continuationSeparator" w:id="0">
    <w:p w:rsidR="00D9590D" w:rsidRDefault="00D9590D" w:rsidP="008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5111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90D" w:rsidRDefault="00D959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4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590D" w:rsidRDefault="00D95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90D" w:rsidRDefault="00D9590D" w:rsidP="008052E1">
      <w:pPr>
        <w:spacing w:after="0" w:line="240" w:lineRule="auto"/>
      </w:pPr>
      <w:r>
        <w:separator/>
      </w:r>
    </w:p>
  </w:footnote>
  <w:footnote w:type="continuationSeparator" w:id="0">
    <w:p w:rsidR="00D9590D" w:rsidRDefault="00D9590D" w:rsidP="008052E1">
      <w:pPr>
        <w:spacing w:after="0" w:line="240" w:lineRule="auto"/>
      </w:pPr>
      <w:r>
        <w:continuationSeparator/>
      </w:r>
    </w:p>
  </w:footnote>
  <w:footnote w:id="1">
    <w:p w:rsidR="00610947" w:rsidRPr="00610947" w:rsidRDefault="006109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0947">
        <w:t>If the position is Short the “net quantity”</w:t>
      </w:r>
      <w:r>
        <w:t xml:space="preserve"> is a negative </w:t>
      </w:r>
      <w:r w:rsidR="003347EB">
        <w:t>number</w:t>
      </w:r>
      <w:r w:rsidRPr="00610947">
        <w:t xml:space="preserve"> </w:t>
      </w:r>
    </w:p>
  </w:footnote>
  <w:footnote w:id="2">
    <w:p w:rsidR="00610947" w:rsidRPr="00610947" w:rsidRDefault="00610947" w:rsidP="006109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0947">
        <w:t>If the position is Short the “net quantity”</w:t>
      </w:r>
      <w:r>
        <w:t xml:space="preserve"> is a negative </w:t>
      </w:r>
      <w:r w:rsidR="003347EB">
        <w:t>number</w:t>
      </w:r>
      <w:r w:rsidRPr="00610947">
        <w:t xml:space="preserve"> </w:t>
      </w:r>
    </w:p>
    <w:p w:rsidR="00610947" w:rsidRPr="00610947" w:rsidRDefault="00610947">
      <w:pPr>
        <w:pStyle w:val="FootnoteText"/>
      </w:pPr>
    </w:p>
  </w:footnote>
  <w:footnote w:id="3">
    <w:p w:rsidR="00610947" w:rsidRPr="00610947" w:rsidRDefault="006109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0947">
        <w:t>If the position is Short the “net quantity”</w:t>
      </w:r>
      <w:r>
        <w:t xml:space="preserve"> is a negative </w:t>
      </w:r>
      <w:r w:rsidR="003347EB">
        <w:t>number</w:t>
      </w:r>
    </w:p>
  </w:footnote>
  <w:footnote w:id="4">
    <w:p w:rsidR="00610947" w:rsidRPr="00610947" w:rsidRDefault="006109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0947">
        <w:t>If the position is Short the “net quantity”</w:t>
      </w:r>
      <w:r>
        <w:t xml:space="preserve"> is a negative </w:t>
      </w:r>
      <w:r w:rsidR="003347EB">
        <w:t>number</w:t>
      </w:r>
    </w:p>
  </w:footnote>
  <w:footnote w:id="5">
    <w:p w:rsidR="001C7A4F" w:rsidRPr="001C7A4F" w:rsidRDefault="001C7A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0947">
        <w:t>If the position is Short the “net quantity”</w:t>
      </w:r>
      <w:r w:rsidR="003347EB">
        <w:t xml:space="preserve"> is a negative number</w:t>
      </w:r>
    </w:p>
  </w:footnote>
  <w:footnote w:id="6">
    <w:p w:rsidR="001C7A4F" w:rsidRPr="001C7A4F" w:rsidRDefault="001C7A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0947">
        <w:t>If the position is Short the “net quantity”</w:t>
      </w:r>
      <w:r>
        <w:t xml:space="preserve"> is a negative </w:t>
      </w:r>
      <w:r w:rsidR="003347EB">
        <w:t>number</w:t>
      </w:r>
    </w:p>
  </w:footnote>
  <w:footnote w:id="7">
    <w:p w:rsidR="001C7A4F" w:rsidRPr="001C7A4F" w:rsidRDefault="001C7A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0947">
        <w:t>If the position is Short the “net quantity”</w:t>
      </w:r>
      <w:r>
        <w:t xml:space="preserve"> is a negative </w:t>
      </w:r>
      <w:r w:rsidR="003347EB">
        <w:t>number</w:t>
      </w:r>
    </w:p>
  </w:footnote>
  <w:footnote w:id="8">
    <w:p w:rsidR="001C7A4F" w:rsidRPr="001C7A4F" w:rsidRDefault="001C7A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0947">
        <w:t>If the position is Short the “net quantity”</w:t>
      </w:r>
      <w:r>
        <w:t xml:space="preserve"> is a negative </w:t>
      </w:r>
      <w:r w:rsidR="003347EB">
        <w:t>number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089A"/>
    <w:multiLevelType w:val="hybridMultilevel"/>
    <w:tmpl w:val="C5B07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D3CA7"/>
    <w:multiLevelType w:val="hybridMultilevel"/>
    <w:tmpl w:val="C72C7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3D2F"/>
    <w:multiLevelType w:val="hybridMultilevel"/>
    <w:tmpl w:val="EFE25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771A7"/>
    <w:multiLevelType w:val="hybridMultilevel"/>
    <w:tmpl w:val="EE06F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721C6"/>
    <w:multiLevelType w:val="hybridMultilevel"/>
    <w:tmpl w:val="B94C1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F7EAF"/>
    <w:multiLevelType w:val="hybridMultilevel"/>
    <w:tmpl w:val="D85E1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7716A1"/>
    <w:multiLevelType w:val="hybridMultilevel"/>
    <w:tmpl w:val="1B060A8E"/>
    <w:lvl w:ilvl="0" w:tplc="C372A92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B723B"/>
    <w:multiLevelType w:val="hybridMultilevel"/>
    <w:tmpl w:val="8EA6D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154DD"/>
    <w:multiLevelType w:val="hybridMultilevel"/>
    <w:tmpl w:val="D9E6E0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D2E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F20FE0"/>
    <w:multiLevelType w:val="hybridMultilevel"/>
    <w:tmpl w:val="7E84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52212"/>
    <w:multiLevelType w:val="hybridMultilevel"/>
    <w:tmpl w:val="53508444"/>
    <w:lvl w:ilvl="0" w:tplc="CD4697F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21BFD"/>
    <w:multiLevelType w:val="hybridMultilevel"/>
    <w:tmpl w:val="D4C88092"/>
    <w:lvl w:ilvl="0" w:tplc="05FE4518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0F4EF8"/>
    <w:multiLevelType w:val="hybridMultilevel"/>
    <w:tmpl w:val="02C815F2"/>
    <w:lvl w:ilvl="0" w:tplc="B34C04A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C479E"/>
    <w:multiLevelType w:val="hybridMultilevel"/>
    <w:tmpl w:val="296A4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73066"/>
    <w:multiLevelType w:val="hybridMultilevel"/>
    <w:tmpl w:val="45089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755D5"/>
    <w:multiLevelType w:val="hybridMultilevel"/>
    <w:tmpl w:val="5DE0B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2C1913"/>
    <w:multiLevelType w:val="hybridMultilevel"/>
    <w:tmpl w:val="4C245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A335E"/>
    <w:multiLevelType w:val="hybridMultilevel"/>
    <w:tmpl w:val="3C04F23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4BDC6E62"/>
    <w:multiLevelType w:val="hybridMultilevel"/>
    <w:tmpl w:val="C6A09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D0609B"/>
    <w:multiLevelType w:val="hybridMultilevel"/>
    <w:tmpl w:val="F7A0723C"/>
    <w:lvl w:ilvl="0" w:tplc="DDB63B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A97A3E"/>
    <w:multiLevelType w:val="hybridMultilevel"/>
    <w:tmpl w:val="C8481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F1B21"/>
    <w:multiLevelType w:val="hybridMultilevel"/>
    <w:tmpl w:val="DE9EF8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84DBF"/>
    <w:multiLevelType w:val="hybridMultilevel"/>
    <w:tmpl w:val="B12EB6A0"/>
    <w:lvl w:ilvl="0" w:tplc="7BBEA2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182C04"/>
    <w:multiLevelType w:val="hybridMultilevel"/>
    <w:tmpl w:val="C3508B7A"/>
    <w:lvl w:ilvl="0" w:tplc="C372A92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D21EBE"/>
    <w:multiLevelType w:val="multilevel"/>
    <w:tmpl w:val="C1D8011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6FEC1184"/>
    <w:multiLevelType w:val="hybridMultilevel"/>
    <w:tmpl w:val="9EF4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5F3033"/>
    <w:multiLevelType w:val="hybridMultilevel"/>
    <w:tmpl w:val="6CFC5BC6"/>
    <w:lvl w:ilvl="0" w:tplc="2E386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4"/>
  </w:num>
  <w:num w:numId="4">
    <w:abstractNumId w:val="15"/>
  </w:num>
  <w:num w:numId="5">
    <w:abstractNumId w:val="16"/>
  </w:num>
  <w:num w:numId="6">
    <w:abstractNumId w:val="21"/>
  </w:num>
  <w:num w:numId="7">
    <w:abstractNumId w:val="3"/>
  </w:num>
  <w:num w:numId="8">
    <w:abstractNumId w:val="17"/>
  </w:num>
  <w:num w:numId="9">
    <w:abstractNumId w:val="11"/>
  </w:num>
  <w:num w:numId="10">
    <w:abstractNumId w:val="6"/>
  </w:num>
  <w:num w:numId="11">
    <w:abstractNumId w:val="24"/>
  </w:num>
  <w:num w:numId="12">
    <w:abstractNumId w:val="2"/>
  </w:num>
  <w:num w:numId="13">
    <w:abstractNumId w:val="0"/>
  </w:num>
  <w:num w:numId="14">
    <w:abstractNumId w:val="14"/>
  </w:num>
  <w:num w:numId="15">
    <w:abstractNumId w:val="10"/>
  </w:num>
  <w:num w:numId="16">
    <w:abstractNumId w:val="22"/>
  </w:num>
  <w:num w:numId="17">
    <w:abstractNumId w:val="13"/>
  </w:num>
  <w:num w:numId="18">
    <w:abstractNumId w:val="12"/>
  </w:num>
  <w:num w:numId="19">
    <w:abstractNumId w:val="5"/>
  </w:num>
  <w:num w:numId="20">
    <w:abstractNumId w:val="19"/>
  </w:num>
  <w:num w:numId="21">
    <w:abstractNumId w:val="20"/>
  </w:num>
  <w:num w:numId="22">
    <w:abstractNumId w:val="26"/>
  </w:num>
  <w:num w:numId="23">
    <w:abstractNumId w:val="23"/>
  </w:num>
  <w:num w:numId="24">
    <w:abstractNumId w:val="18"/>
  </w:num>
  <w:num w:numId="25">
    <w:abstractNumId w:val="8"/>
  </w:num>
  <w:num w:numId="26">
    <w:abstractNumId w:val="25"/>
  </w:num>
  <w:num w:numId="27">
    <w:abstractNumId w:val="12"/>
    <w:lvlOverride w:ilvl="0">
      <w:startOverride w:val="1"/>
    </w:lvlOverride>
  </w:num>
  <w:num w:numId="28">
    <w:abstractNumId w:val="9"/>
  </w:num>
  <w:num w:numId="29">
    <w:abstractNumId w:val="12"/>
    <w:lvlOverride w:ilvl="0">
      <w:startOverride w:val="1"/>
    </w:lvlOverride>
  </w:num>
  <w:num w:numId="30">
    <w:abstractNumId w:val="12"/>
  </w:num>
  <w:num w:numId="31">
    <w:abstractNumId w:val="1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DC"/>
    <w:rsid w:val="00006522"/>
    <w:rsid w:val="000262A9"/>
    <w:rsid w:val="000B338A"/>
    <w:rsid w:val="000B3D34"/>
    <w:rsid w:val="000E01CE"/>
    <w:rsid w:val="000E72E2"/>
    <w:rsid w:val="000F247C"/>
    <w:rsid w:val="00124B62"/>
    <w:rsid w:val="00133491"/>
    <w:rsid w:val="0016753C"/>
    <w:rsid w:val="001851FF"/>
    <w:rsid w:val="001A13BE"/>
    <w:rsid w:val="001B10FF"/>
    <w:rsid w:val="001C3629"/>
    <w:rsid w:val="001C3E10"/>
    <w:rsid w:val="001C7A4F"/>
    <w:rsid w:val="001F39AF"/>
    <w:rsid w:val="00201D08"/>
    <w:rsid w:val="00220F58"/>
    <w:rsid w:val="00223CB0"/>
    <w:rsid w:val="00227BC6"/>
    <w:rsid w:val="00283B71"/>
    <w:rsid w:val="00286933"/>
    <w:rsid w:val="002A1C95"/>
    <w:rsid w:val="002A5172"/>
    <w:rsid w:val="002A6324"/>
    <w:rsid w:val="002B60F3"/>
    <w:rsid w:val="002C5713"/>
    <w:rsid w:val="002C5FC4"/>
    <w:rsid w:val="002D186B"/>
    <w:rsid w:val="002F4F0A"/>
    <w:rsid w:val="00304319"/>
    <w:rsid w:val="00316C08"/>
    <w:rsid w:val="00321F1F"/>
    <w:rsid w:val="00327BD8"/>
    <w:rsid w:val="003347EB"/>
    <w:rsid w:val="0034390E"/>
    <w:rsid w:val="003B785D"/>
    <w:rsid w:val="003C4B39"/>
    <w:rsid w:val="003E4A72"/>
    <w:rsid w:val="003E5B2E"/>
    <w:rsid w:val="003E6404"/>
    <w:rsid w:val="004123D0"/>
    <w:rsid w:val="00412CD6"/>
    <w:rsid w:val="00415C0E"/>
    <w:rsid w:val="00420F54"/>
    <w:rsid w:val="00431FBC"/>
    <w:rsid w:val="004356D7"/>
    <w:rsid w:val="004514AE"/>
    <w:rsid w:val="004515B7"/>
    <w:rsid w:val="00453316"/>
    <w:rsid w:val="004A439C"/>
    <w:rsid w:val="004E7B4A"/>
    <w:rsid w:val="004F1FCB"/>
    <w:rsid w:val="00520E34"/>
    <w:rsid w:val="0052776A"/>
    <w:rsid w:val="005614F8"/>
    <w:rsid w:val="005709C5"/>
    <w:rsid w:val="00581D11"/>
    <w:rsid w:val="00587958"/>
    <w:rsid w:val="005B02CC"/>
    <w:rsid w:val="005B13DB"/>
    <w:rsid w:val="005B63F1"/>
    <w:rsid w:val="005E3B5C"/>
    <w:rsid w:val="005E42F4"/>
    <w:rsid w:val="005E440F"/>
    <w:rsid w:val="005F01E3"/>
    <w:rsid w:val="00610947"/>
    <w:rsid w:val="00617F0D"/>
    <w:rsid w:val="006252F8"/>
    <w:rsid w:val="00625BD0"/>
    <w:rsid w:val="00637DE9"/>
    <w:rsid w:val="00670D9C"/>
    <w:rsid w:val="00680540"/>
    <w:rsid w:val="006B51F3"/>
    <w:rsid w:val="006D75D5"/>
    <w:rsid w:val="006E234A"/>
    <w:rsid w:val="007370BA"/>
    <w:rsid w:val="00754AB5"/>
    <w:rsid w:val="0078516E"/>
    <w:rsid w:val="007C045C"/>
    <w:rsid w:val="007D292F"/>
    <w:rsid w:val="007E5C04"/>
    <w:rsid w:val="007F0936"/>
    <w:rsid w:val="007F4B9B"/>
    <w:rsid w:val="008052E1"/>
    <w:rsid w:val="008477F9"/>
    <w:rsid w:val="00850D60"/>
    <w:rsid w:val="008972FA"/>
    <w:rsid w:val="008A184C"/>
    <w:rsid w:val="008A73FF"/>
    <w:rsid w:val="008B338B"/>
    <w:rsid w:val="008D16CD"/>
    <w:rsid w:val="0091164C"/>
    <w:rsid w:val="00922897"/>
    <w:rsid w:val="00950BC7"/>
    <w:rsid w:val="00960DA1"/>
    <w:rsid w:val="009741F3"/>
    <w:rsid w:val="009920A5"/>
    <w:rsid w:val="009B1822"/>
    <w:rsid w:val="009F04A1"/>
    <w:rsid w:val="009F5CC9"/>
    <w:rsid w:val="00A03F9F"/>
    <w:rsid w:val="00A229D9"/>
    <w:rsid w:val="00A22FBC"/>
    <w:rsid w:val="00A75C56"/>
    <w:rsid w:val="00A87497"/>
    <w:rsid w:val="00AB4488"/>
    <w:rsid w:val="00AB79C2"/>
    <w:rsid w:val="00AC7307"/>
    <w:rsid w:val="00AD762B"/>
    <w:rsid w:val="00AE7106"/>
    <w:rsid w:val="00AF23BD"/>
    <w:rsid w:val="00AF7E9D"/>
    <w:rsid w:val="00B02BD7"/>
    <w:rsid w:val="00B14F14"/>
    <w:rsid w:val="00B204B2"/>
    <w:rsid w:val="00B46FA9"/>
    <w:rsid w:val="00B9250C"/>
    <w:rsid w:val="00BA60F5"/>
    <w:rsid w:val="00BB28DC"/>
    <w:rsid w:val="00BC3D15"/>
    <w:rsid w:val="00BC5488"/>
    <w:rsid w:val="00BC6A09"/>
    <w:rsid w:val="00C070A5"/>
    <w:rsid w:val="00C11920"/>
    <w:rsid w:val="00C126A3"/>
    <w:rsid w:val="00C16ADC"/>
    <w:rsid w:val="00C16DE8"/>
    <w:rsid w:val="00C37A18"/>
    <w:rsid w:val="00C418CC"/>
    <w:rsid w:val="00C577DD"/>
    <w:rsid w:val="00C627B1"/>
    <w:rsid w:val="00C8112B"/>
    <w:rsid w:val="00C90280"/>
    <w:rsid w:val="00CA0939"/>
    <w:rsid w:val="00CB6182"/>
    <w:rsid w:val="00CE478C"/>
    <w:rsid w:val="00D03273"/>
    <w:rsid w:val="00D04318"/>
    <w:rsid w:val="00D14480"/>
    <w:rsid w:val="00D215E0"/>
    <w:rsid w:val="00D50CAE"/>
    <w:rsid w:val="00D56C49"/>
    <w:rsid w:val="00D75D8B"/>
    <w:rsid w:val="00D814CE"/>
    <w:rsid w:val="00D9186B"/>
    <w:rsid w:val="00D9590D"/>
    <w:rsid w:val="00DC2289"/>
    <w:rsid w:val="00DC75C2"/>
    <w:rsid w:val="00DD3024"/>
    <w:rsid w:val="00DF3E4D"/>
    <w:rsid w:val="00DF4A79"/>
    <w:rsid w:val="00E066F3"/>
    <w:rsid w:val="00E4101E"/>
    <w:rsid w:val="00E51208"/>
    <w:rsid w:val="00E61EAE"/>
    <w:rsid w:val="00E77E44"/>
    <w:rsid w:val="00E8337A"/>
    <w:rsid w:val="00E84911"/>
    <w:rsid w:val="00E8505A"/>
    <w:rsid w:val="00E925D6"/>
    <w:rsid w:val="00EA40F4"/>
    <w:rsid w:val="00EE676E"/>
    <w:rsid w:val="00EF5AAE"/>
    <w:rsid w:val="00F2255D"/>
    <w:rsid w:val="00F624E9"/>
    <w:rsid w:val="00F963E4"/>
    <w:rsid w:val="00FA1AEB"/>
    <w:rsid w:val="00FD56E7"/>
    <w:rsid w:val="00FD7A93"/>
    <w:rsid w:val="00FF5150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4F1FCB"/>
  </w:style>
  <w:style w:type="paragraph" w:styleId="Heading1">
    <w:name w:val="heading 1"/>
    <w:basedOn w:val="Normal"/>
    <w:next w:val="Normal"/>
    <w:link w:val="Heading1Char"/>
    <w:uiPriority w:val="9"/>
    <w:qFormat/>
    <w:rsid w:val="00E8505A"/>
    <w:pPr>
      <w:numPr>
        <w:numId w:val="26"/>
      </w:numPr>
      <w:spacing w:after="0" w:line="360" w:lineRule="auto"/>
      <w:outlineLvl w:val="0"/>
    </w:pPr>
    <w:rPr>
      <w:b/>
      <w:color w:val="365F91" w:themeColor="accent1" w:themeShade="BF"/>
      <w:sz w:val="3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5A"/>
    <w:pPr>
      <w:numPr>
        <w:numId w:val="18"/>
      </w:numPr>
      <w:spacing w:after="0" w:line="360" w:lineRule="auto"/>
      <w:outlineLvl w:val="1"/>
    </w:pPr>
    <w:rPr>
      <w:b/>
      <w:color w:val="365F91" w:themeColor="accent1" w:themeShade="BF"/>
      <w:sz w:val="28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2E1"/>
  </w:style>
  <w:style w:type="paragraph" w:styleId="Footer">
    <w:name w:val="footer"/>
    <w:basedOn w:val="Normal"/>
    <w:link w:val="FooterChar"/>
    <w:uiPriority w:val="99"/>
    <w:unhideWhenUsed/>
    <w:rsid w:val="008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2E1"/>
  </w:style>
  <w:style w:type="paragraph" w:styleId="BalloonText">
    <w:name w:val="Balloon Text"/>
    <w:basedOn w:val="Normal"/>
    <w:link w:val="BalloonTextChar"/>
    <w:uiPriority w:val="99"/>
    <w:semiHidden/>
    <w:unhideWhenUsed/>
    <w:rsid w:val="009F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505A"/>
    <w:rPr>
      <w:b/>
      <w:color w:val="365F91" w:themeColor="accent1" w:themeShade="BF"/>
      <w:sz w:val="32"/>
      <w:szCs w:val="72"/>
    </w:rPr>
  </w:style>
  <w:style w:type="paragraph" w:styleId="TOCHeading">
    <w:name w:val="TOC Heading"/>
    <w:basedOn w:val="Normal"/>
    <w:next w:val="Normal"/>
    <w:rsid w:val="005E42F4"/>
    <w:pPr>
      <w:spacing w:before="240" w:after="80" w:line="240" w:lineRule="auto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uiPriority w:val="39"/>
    <w:rsid w:val="005E42F4"/>
    <w:pPr>
      <w:spacing w:before="120" w:after="40" w:line="240" w:lineRule="auto"/>
      <w:ind w:right="720"/>
    </w:pPr>
    <w:rPr>
      <w:rFonts w:ascii="Calibri" w:eastAsia="Calibri" w:hAnsi="Calibri" w:cs="Calibri"/>
      <w:b/>
    </w:rPr>
  </w:style>
  <w:style w:type="paragraph" w:styleId="TOC2">
    <w:name w:val="toc 2"/>
    <w:basedOn w:val="Normal"/>
    <w:next w:val="Normal"/>
    <w:uiPriority w:val="39"/>
    <w:rsid w:val="005E42F4"/>
    <w:pPr>
      <w:spacing w:before="40" w:after="20" w:line="240" w:lineRule="auto"/>
      <w:ind w:right="720"/>
    </w:pPr>
    <w:rPr>
      <w:rFonts w:ascii="Calibri" w:eastAsia="Calibri" w:hAnsi="Calibri" w:cs="Calibri"/>
    </w:rPr>
  </w:style>
  <w:style w:type="paragraph" w:styleId="TOC3">
    <w:name w:val="toc 3"/>
    <w:basedOn w:val="Normal"/>
    <w:next w:val="Normal"/>
    <w:uiPriority w:val="39"/>
    <w:rsid w:val="005E42F4"/>
    <w:pPr>
      <w:spacing w:before="40" w:after="20" w:line="240" w:lineRule="auto"/>
      <w:ind w:right="720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E8505A"/>
    <w:rPr>
      <w:b/>
      <w:color w:val="365F91" w:themeColor="accent1" w:themeShade="BF"/>
      <w:sz w:val="28"/>
      <w:szCs w:val="72"/>
    </w:rPr>
  </w:style>
  <w:style w:type="paragraph" w:styleId="Caption">
    <w:name w:val="caption"/>
    <w:basedOn w:val="Normal"/>
    <w:next w:val="Normal"/>
    <w:uiPriority w:val="35"/>
    <w:unhideWhenUsed/>
    <w:qFormat/>
    <w:rsid w:val="00327B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20E34"/>
    <w:rPr>
      <w:b/>
      <w:bCs/>
    </w:rPr>
  </w:style>
  <w:style w:type="character" w:styleId="Emphasis">
    <w:name w:val="Emphasis"/>
    <w:basedOn w:val="DefaultParagraphFont"/>
    <w:uiPriority w:val="20"/>
    <w:qFormat/>
    <w:rsid w:val="00520E34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9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9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0947"/>
    <w:rPr>
      <w:vertAlign w:val="superscript"/>
    </w:rPr>
  </w:style>
  <w:style w:type="paragraph" w:customStyle="1" w:styleId="CoverHeading1">
    <w:name w:val="Cover Heading 1"/>
    <w:basedOn w:val="Normal"/>
    <w:next w:val="Normal"/>
    <w:rsid w:val="0016753C"/>
    <w:pPr>
      <w:spacing w:after="0" w:line="240" w:lineRule="auto"/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rsid w:val="0016753C"/>
    <w:pPr>
      <w:spacing w:after="0" w:line="240" w:lineRule="auto"/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rsid w:val="0016753C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rsid w:val="0016753C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customStyle="1" w:styleId="CoverText3">
    <w:name w:val="Cover Text 3"/>
    <w:basedOn w:val="Normal"/>
    <w:next w:val="Normal"/>
    <w:rsid w:val="0016753C"/>
    <w:pPr>
      <w:spacing w:after="0" w:line="240" w:lineRule="auto"/>
      <w:jc w:val="right"/>
    </w:pPr>
    <w:rPr>
      <w:rFonts w:ascii="Calibri" w:eastAsia="Calibri" w:hAnsi="Calibri" w:cs="Calibri"/>
      <w:b/>
      <w:color w:val="004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4F1FCB"/>
  </w:style>
  <w:style w:type="paragraph" w:styleId="Heading1">
    <w:name w:val="heading 1"/>
    <w:basedOn w:val="Normal"/>
    <w:next w:val="Normal"/>
    <w:link w:val="Heading1Char"/>
    <w:uiPriority w:val="9"/>
    <w:qFormat/>
    <w:rsid w:val="00E8505A"/>
    <w:pPr>
      <w:numPr>
        <w:numId w:val="26"/>
      </w:numPr>
      <w:spacing w:after="0" w:line="360" w:lineRule="auto"/>
      <w:outlineLvl w:val="0"/>
    </w:pPr>
    <w:rPr>
      <w:b/>
      <w:color w:val="365F91" w:themeColor="accent1" w:themeShade="BF"/>
      <w:sz w:val="3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5A"/>
    <w:pPr>
      <w:numPr>
        <w:numId w:val="18"/>
      </w:numPr>
      <w:spacing w:after="0" w:line="360" w:lineRule="auto"/>
      <w:outlineLvl w:val="1"/>
    </w:pPr>
    <w:rPr>
      <w:b/>
      <w:color w:val="365F91" w:themeColor="accent1" w:themeShade="BF"/>
      <w:sz w:val="28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2E1"/>
  </w:style>
  <w:style w:type="paragraph" w:styleId="Footer">
    <w:name w:val="footer"/>
    <w:basedOn w:val="Normal"/>
    <w:link w:val="FooterChar"/>
    <w:uiPriority w:val="99"/>
    <w:unhideWhenUsed/>
    <w:rsid w:val="008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2E1"/>
  </w:style>
  <w:style w:type="paragraph" w:styleId="BalloonText">
    <w:name w:val="Balloon Text"/>
    <w:basedOn w:val="Normal"/>
    <w:link w:val="BalloonTextChar"/>
    <w:uiPriority w:val="99"/>
    <w:semiHidden/>
    <w:unhideWhenUsed/>
    <w:rsid w:val="009F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505A"/>
    <w:rPr>
      <w:b/>
      <w:color w:val="365F91" w:themeColor="accent1" w:themeShade="BF"/>
      <w:sz w:val="32"/>
      <w:szCs w:val="72"/>
    </w:rPr>
  </w:style>
  <w:style w:type="paragraph" w:styleId="TOCHeading">
    <w:name w:val="TOC Heading"/>
    <w:basedOn w:val="Normal"/>
    <w:next w:val="Normal"/>
    <w:rsid w:val="005E42F4"/>
    <w:pPr>
      <w:spacing w:before="240" w:after="80" w:line="240" w:lineRule="auto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uiPriority w:val="39"/>
    <w:rsid w:val="005E42F4"/>
    <w:pPr>
      <w:spacing w:before="120" w:after="40" w:line="240" w:lineRule="auto"/>
      <w:ind w:right="720"/>
    </w:pPr>
    <w:rPr>
      <w:rFonts w:ascii="Calibri" w:eastAsia="Calibri" w:hAnsi="Calibri" w:cs="Calibri"/>
      <w:b/>
    </w:rPr>
  </w:style>
  <w:style w:type="paragraph" w:styleId="TOC2">
    <w:name w:val="toc 2"/>
    <w:basedOn w:val="Normal"/>
    <w:next w:val="Normal"/>
    <w:uiPriority w:val="39"/>
    <w:rsid w:val="005E42F4"/>
    <w:pPr>
      <w:spacing w:before="40" w:after="20" w:line="240" w:lineRule="auto"/>
      <w:ind w:right="720"/>
    </w:pPr>
    <w:rPr>
      <w:rFonts w:ascii="Calibri" w:eastAsia="Calibri" w:hAnsi="Calibri" w:cs="Calibri"/>
    </w:rPr>
  </w:style>
  <w:style w:type="paragraph" w:styleId="TOC3">
    <w:name w:val="toc 3"/>
    <w:basedOn w:val="Normal"/>
    <w:next w:val="Normal"/>
    <w:uiPriority w:val="39"/>
    <w:rsid w:val="005E42F4"/>
    <w:pPr>
      <w:spacing w:before="40" w:after="20" w:line="240" w:lineRule="auto"/>
      <w:ind w:right="720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E8505A"/>
    <w:rPr>
      <w:b/>
      <w:color w:val="365F91" w:themeColor="accent1" w:themeShade="BF"/>
      <w:sz w:val="28"/>
      <w:szCs w:val="72"/>
    </w:rPr>
  </w:style>
  <w:style w:type="paragraph" w:styleId="Caption">
    <w:name w:val="caption"/>
    <w:basedOn w:val="Normal"/>
    <w:next w:val="Normal"/>
    <w:uiPriority w:val="35"/>
    <w:unhideWhenUsed/>
    <w:qFormat/>
    <w:rsid w:val="00327B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20E34"/>
    <w:rPr>
      <w:b/>
      <w:bCs/>
    </w:rPr>
  </w:style>
  <w:style w:type="character" w:styleId="Emphasis">
    <w:name w:val="Emphasis"/>
    <w:basedOn w:val="DefaultParagraphFont"/>
    <w:uiPriority w:val="20"/>
    <w:qFormat/>
    <w:rsid w:val="00520E34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9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9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0947"/>
    <w:rPr>
      <w:vertAlign w:val="superscript"/>
    </w:rPr>
  </w:style>
  <w:style w:type="paragraph" w:customStyle="1" w:styleId="CoverHeading1">
    <w:name w:val="Cover Heading 1"/>
    <w:basedOn w:val="Normal"/>
    <w:next w:val="Normal"/>
    <w:rsid w:val="0016753C"/>
    <w:pPr>
      <w:spacing w:after="0" w:line="240" w:lineRule="auto"/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rsid w:val="0016753C"/>
    <w:pPr>
      <w:spacing w:after="0" w:line="240" w:lineRule="auto"/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rsid w:val="0016753C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rsid w:val="0016753C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customStyle="1" w:styleId="CoverText3">
    <w:name w:val="Cover Text 3"/>
    <w:basedOn w:val="Normal"/>
    <w:next w:val="Normal"/>
    <w:rsid w:val="0016753C"/>
    <w:pPr>
      <w:spacing w:after="0" w:line="240" w:lineRule="auto"/>
      <w:jc w:val="right"/>
    </w:pPr>
    <w:rPr>
      <w:rFonts w:ascii="Calibri" w:eastAsia="Calibri" w:hAnsi="Calibri" w:cs="Calibri"/>
      <w:b/>
      <w:color w:val="004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19A33-E2B5-4BA6-A7AC-A464134D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351FA584.dotm</Template>
  <TotalTime>88</TotalTime>
  <Pages>11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Stock Exchange</Company>
  <LinksUpToDate>false</LinksUpToDate>
  <CharactersWithSpaces>9959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Evangelista, Edoardo</dc:creator>
  <cp:lastModifiedBy>Cipriani, Luca</cp:lastModifiedBy>
  <cp:revision>10</cp:revision>
  <cp:lastPrinted>2018-09-28T12:51:00Z</cp:lastPrinted>
  <dcterms:created xsi:type="dcterms:W3CDTF">2018-09-28T10:48:00Z</dcterms:created>
  <dcterms:modified xsi:type="dcterms:W3CDTF">2018-09-28T13:28:00Z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1060138319</vt:i4>
  </property>
  <property fmtid="{D5CDD505-2E9C-101B-9397-08002B2CF9AE}" pid="3" name="_NewReviewCycle">
    <vt:lpwstr/>
  </property>
  <property fmtid="{D5CDD505-2E9C-101B-9397-08002B2CF9AE}" pid="4" name="_EmailSubject">
    <vt:lpwstr>Documento per CCPA Initial Margin Calculation</vt:lpwstr>
  </property>
  <property fmtid="{D5CDD505-2E9C-101B-9397-08002B2CF9AE}" pid="5" name="_AuthorEmail">
    <vt:lpwstr>luca.cipriani@lseg.com</vt:lpwstr>
  </property>
  <property fmtid="{D5CDD505-2E9C-101B-9397-08002B2CF9AE}" pid="6" name="_AuthorEmailDisplayName">
    <vt:lpwstr>Cipriani, Luca</vt:lpwstr>
  </property>
  <property fmtid="{D5CDD505-2E9C-101B-9397-08002B2CF9AE}" pid="8" name="_PreviousAdHocReviewCycleID">
    <vt:i4>-525807971</vt:i4>
  </property>
</Properties>
</file>