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266787">
        <w:trPr>
          <w:trHeight w:val="7755"/>
        </w:trPr>
        <w:tc>
          <w:tcPr>
            <w:tcW w:w="9810" w:type="dxa"/>
            <w:tcMar>
              <w:top w:w="0" w:type="dxa"/>
              <w:left w:w="3" w:type="dxa"/>
              <w:bottom w:w="0" w:type="dxa"/>
              <w:right w:w="60" w:type="dxa"/>
            </w:tcMar>
          </w:tcPr>
          <w:p w:rsidR="00266787" w:rsidRDefault="00664591">
            <w:pPr>
              <w:pStyle w:val="CoverHeading1"/>
            </w:pPr>
            <w:r>
              <w:t>Interface Design Specifications</w:t>
            </w:r>
          </w:p>
          <w:p w:rsidR="00266787" w:rsidRDefault="00266787">
            <w:pPr>
              <w:pStyle w:val="CoverHeading2"/>
            </w:pPr>
          </w:p>
          <w:p w:rsidR="00266787" w:rsidRDefault="00664591">
            <w:pPr>
              <w:pStyle w:val="CoverHeading2"/>
            </w:pPr>
            <w:r>
              <w:t>Cash Collateral Feed (IDS-CC)</w:t>
            </w:r>
          </w:p>
          <w:p w:rsidR="00266787" w:rsidRDefault="00266787">
            <w:pPr>
              <w:pStyle w:val="CoverText1"/>
            </w:pPr>
          </w:p>
          <w:p w:rsidR="00266787" w:rsidRDefault="00664591" w:rsidP="002F06CF">
            <w:pPr>
              <w:pStyle w:val="CoverText1"/>
            </w:pPr>
            <w:r>
              <w:t xml:space="preserve">Version  </w:t>
            </w:r>
            <w:r w:rsidR="002F06CF">
              <w:t>1.0</w:t>
            </w:r>
            <w:r>
              <w:t xml:space="preserve">  </w:t>
            </w:r>
            <w:r>
              <w:rPr>
                <w:color w:val="800000"/>
              </w:rPr>
              <w:t>●</w:t>
            </w:r>
            <w:r>
              <w:t xml:space="preserve">  </w:t>
            </w:r>
            <w:r w:rsidR="002F06CF">
              <w:t>Final</w:t>
            </w:r>
          </w:p>
        </w:tc>
      </w:tr>
      <w:tr w:rsidR="00266787">
        <w:trPr>
          <w:trHeight w:val="5786"/>
        </w:trPr>
        <w:tc>
          <w:tcPr>
            <w:tcW w:w="9810" w:type="dxa"/>
            <w:tcMar>
              <w:top w:w="0" w:type="dxa"/>
              <w:left w:w="3" w:type="dxa"/>
              <w:bottom w:w="0" w:type="dxa"/>
              <w:right w:w="60" w:type="dxa"/>
            </w:tcMar>
            <w:vAlign w:val="bottom"/>
          </w:tcPr>
          <w:p w:rsidR="00266787" w:rsidRDefault="00266787">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266787">
              <w:trPr>
                <w:gridAfter w:val="2"/>
                <w:wAfter w:w="6766" w:type="dxa"/>
                <w:trHeight w:val="244"/>
              </w:trPr>
              <w:tc>
                <w:tcPr>
                  <w:tcW w:w="1260" w:type="dxa"/>
                  <w:vMerge w:val="restart"/>
                  <w:tcMar>
                    <w:top w:w="0" w:type="dxa"/>
                    <w:left w:w="3" w:type="dxa"/>
                    <w:bottom w:w="0" w:type="dxa"/>
                    <w:right w:w="60" w:type="dxa"/>
                  </w:tcMar>
                </w:tcPr>
                <w:p w:rsidR="00266787" w:rsidRDefault="00266787">
                  <w:pPr>
                    <w:rPr>
                      <w:rFonts w:ascii="Calibri" w:eastAsia="Calibri" w:hAnsi="Calibri" w:cs="Calibri"/>
                      <w:sz w:val="20"/>
                      <w:szCs w:val="20"/>
                    </w:rPr>
                  </w:pPr>
                </w:p>
              </w:tc>
            </w:tr>
            <w:tr w:rsidR="00266787">
              <w:trPr>
                <w:trHeight w:val="466"/>
              </w:trPr>
              <w:tc>
                <w:tcPr>
                  <w:tcW w:w="1334" w:type="dxa"/>
                  <w:vMerge/>
                  <w:tcMar>
                    <w:top w:w="0" w:type="dxa"/>
                    <w:left w:w="3" w:type="dxa"/>
                    <w:bottom w:w="0" w:type="dxa"/>
                    <w:right w:w="60" w:type="dxa"/>
                  </w:tcMar>
                </w:tcPr>
                <w:p w:rsidR="00266787" w:rsidRDefault="00266787">
                  <w:pPr>
                    <w:rPr>
                      <w:rFonts w:ascii="Calibri" w:eastAsia="Calibri" w:hAnsi="Calibri" w:cs="Calibri"/>
                      <w:sz w:val="20"/>
                      <w:szCs w:val="20"/>
                    </w:rPr>
                  </w:pPr>
                </w:p>
              </w:tc>
              <w:tc>
                <w:tcPr>
                  <w:tcW w:w="2716" w:type="dxa"/>
                  <w:tcMar>
                    <w:top w:w="0" w:type="dxa"/>
                    <w:left w:w="3" w:type="dxa"/>
                    <w:bottom w:w="0" w:type="dxa"/>
                    <w:right w:w="60" w:type="dxa"/>
                  </w:tcMar>
                  <w:vAlign w:val="center"/>
                </w:tcPr>
                <w:p w:rsidR="00266787" w:rsidRDefault="00664591">
                  <w:pPr>
                    <w:pStyle w:val="CoverText1"/>
                    <w:ind w:left="90"/>
                    <w:jc w:val="left"/>
                  </w:pPr>
                  <w:r>
                    <w:t>Date/Time Generated:</w:t>
                  </w:r>
                </w:p>
              </w:tc>
              <w:tc>
                <w:tcPr>
                  <w:tcW w:w="3976" w:type="dxa"/>
                  <w:tcMar>
                    <w:top w:w="0" w:type="dxa"/>
                    <w:left w:w="3" w:type="dxa"/>
                    <w:bottom w:w="0" w:type="dxa"/>
                    <w:right w:w="60" w:type="dxa"/>
                  </w:tcMar>
                  <w:vAlign w:val="center"/>
                </w:tcPr>
                <w:p w:rsidR="00266787" w:rsidRDefault="002F06CF">
                  <w:pPr>
                    <w:pStyle w:val="CoverText1"/>
                  </w:pPr>
                  <w:r>
                    <w:t>01</w:t>
                  </w:r>
                  <w:r w:rsidR="00664591">
                    <w:t>/0</w:t>
                  </w:r>
                  <w:r>
                    <w:t>3</w:t>
                  </w:r>
                  <w:r w:rsidR="00664591">
                    <w:t>/2019 10:10:29</w:t>
                  </w:r>
                </w:p>
              </w:tc>
            </w:tr>
            <w:tr w:rsidR="00266787">
              <w:trPr>
                <w:trHeight w:val="405"/>
              </w:trPr>
              <w:tc>
                <w:tcPr>
                  <w:tcW w:w="1334" w:type="dxa"/>
                  <w:vMerge/>
                  <w:tcMar>
                    <w:top w:w="0" w:type="dxa"/>
                    <w:left w:w="3" w:type="dxa"/>
                    <w:bottom w:w="0" w:type="dxa"/>
                    <w:right w:w="60" w:type="dxa"/>
                  </w:tcMar>
                </w:tcPr>
                <w:p w:rsidR="00266787" w:rsidRDefault="00266787">
                  <w:pPr>
                    <w:rPr>
                      <w:rFonts w:ascii="Calibri" w:eastAsia="Calibri" w:hAnsi="Calibri" w:cs="Calibri"/>
                      <w:sz w:val="20"/>
                      <w:szCs w:val="20"/>
                    </w:rPr>
                  </w:pPr>
                </w:p>
              </w:tc>
              <w:tc>
                <w:tcPr>
                  <w:tcW w:w="2716" w:type="dxa"/>
                  <w:tcMar>
                    <w:top w:w="0" w:type="dxa"/>
                    <w:left w:w="3" w:type="dxa"/>
                    <w:bottom w:w="0" w:type="dxa"/>
                    <w:right w:w="60" w:type="dxa"/>
                  </w:tcMar>
                  <w:vAlign w:val="center"/>
                </w:tcPr>
                <w:p w:rsidR="00266787" w:rsidRDefault="00664591">
                  <w:pPr>
                    <w:pStyle w:val="CoverText1"/>
                    <w:ind w:left="90"/>
                    <w:jc w:val="left"/>
                  </w:pPr>
                  <w:r>
                    <w:t>Author:</w:t>
                  </w:r>
                </w:p>
              </w:tc>
              <w:tc>
                <w:tcPr>
                  <w:tcW w:w="3976" w:type="dxa"/>
                  <w:tcMar>
                    <w:top w:w="0" w:type="dxa"/>
                    <w:left w:w="3" w:type="dxa"/>
                    <w:bottom w:w="0" w:type="dxa"/>
                    <w:right w:w="60" w:type="dxa"/>
                  </w:tcMar>
                  <w:vAlign w:val="center"/>
                </w:tcPr>
                <w:p w:rsidR="00266787" w:rsidRDefault="00664591">
                  <w:pPr>
                    <w:pStyle w:val="CoverText1"/>
                  </w:pPr>
                  <w:r>
                    <w:t>CC&amp;G</w:t>
                  </w:r>
                </w:p>
              </w:tc>
            </w:tr>
          </w:tbl>
          <w:p w:rsidR="00266787" w:rsidRDefault="00266787">
            <w:pPr>
              <w:rPr>
                <w:rFonts w:ascii="Calibri" w:eastAsia="Calibri" w:hAnsi="Calibri" w:cs="Calibri"/>
                <w:sz w:val="20"/>
                <w:szCs w:val="20"/>
              </w:rPr>
            </w:pPr>
          </w:p>
          <w:p w:rsidR="00266787" w:rsidRDefault="00266787">
            <w:pPr>
              <w:pStyle w:val="CoverText2"/>
            </w:pPr>
          </w:p>
        </w:tc>
      </w:tr>
      <w:tr w:rsidR="00266787">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266787">
              <w:tc>
                <w:tcPr>
                  <w:tcW w:w="270" w:type="dxa"/>
                  <w:tcMar>
                    <w:top w:w="0" w:type="dxa"/>
                    <w:left w:w="3" w:type="dxa"/>
                    <w:bottom w:w="0" w:type="dxa"/>
                    <w:right w:w="60" w:type="dxa"/>
                  </w:tcMar>
                  <w:vAlign w:val="center"/>
                </w:tcPr>
                <w:p w:rsidR="00266787" w:rsidRDefault="00266787">
                  <w:pPr>
                    <w:pStyle w:val="CoverText3"/>
                  </w:pPr>
                </w:p>
              </w:tc>
              <w:tc>
                <w:tcPr>
                  <w:tcW w:w="3268" w:type="dxa"/>
                  <w:tcMar>
                    <w:top w:w="0" w:type="dxa"/>
                    <w:left w:w="3" w:type="dxa"/>
                    <w:bottom w:w="0" w:type="dxa"/>
                    <w:right w:w="60" w:type="dxa"/>
                  </w:tcMar>
                  <w:vAlign w:val="center"/>
                </w:tcPr>
                <w:p w:rsidR="00266787" w:rsidRDefault="00664591">
                  <w:pPr>
                    <w:jc w:val="right"/>
                    <w:rPr>
                      <w:rFonts w:ascii="Calibri" w:eastAsia="Calibri" w:hAnsi="Calibri" w:cs="Calibri"/>
                      <w:sz w:val="20"/>
                      <w:szCs w:val="20"/>
                    </w:rPr>
                  </w:pPr>
                  <w:r>
                    <w:rPr>
                      <w:noProof/>
                    </w:rPr>
                    <w:drawing>
                      <wp:inline distT="0" distB="0" distL="0" distR="0">
                        <wp:extent cx="19050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8"/>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266787" w:rsidRDefault="00266787">
            <w:pPr>
              <w:rPr>
                <w:rFonts w:ascii="Calibri" w:eastAsia="Calibri" w:hAnsi="Calibri" w:cs="Calibri"/>
                <w:sz w:val="20"/>
                <w:szCs w:val="20"/>
              </w:rPr>
            </w:pPr>
          </w:p>
        </w:tc>
      </w:tr>
    </w:tbl>
    <w:p w:rsidR="00266787" w:rsidRDefault="00266787">
      <w:pPr>
        <w:rPr>
          <w:rFonts w:ascii="Calibri" w:eastAsia="Calibri" w:hAnsi="Calibri" w:cs="Calibri"/>
          <w:sz w:val="20"/>
          <w:szCs w:val="20"/>
        </w:rPr>
      </w:pPr>
    </w:p>
    <w:p w:rsidR="00266787" w:rsidRDefault="00266787">
      <w:pPr>
        <w:rPr>
          <w:rFonts w:ascii="Calibri" w:eastAsia="Calibri" w:hAnsi="Calibri" w:cs="Calibri"/>
          <w:sz w:val="20"/>
          <w:szCs w:val="20"/>
        </w:rPr>
      </w:pPr>
    </w:p>
    <w:p w:rsidR="00266787" w:rsidRDefault="00664591">
      <w:pPr>
        <w:pStyle w:val="TOCHeading"/>
      </w:pPr>
      <w:r>
        <w:t>Table of Contents</w:t>
      </w:r>
    </w:p>
    <w:p w:rsidR="00266787" w:rsidRDefault="00266787">
      <w:pPr>
        <w:rPr>
          <w:rFonts w:ascii="Calibri" w:eastAsia="Calibri" w:hAnsi="Calibri" w:cs="Calibri"/>
          <w:sz w:val="20"/>
          <w:szCs w:val="20"/>
        </w:rPr>
      </w:pPr>
    </w:p>
    <w:p w:rsidR="00266787" w:rsidRDefault="00266787">
      <w:pPr>
        <w:rPr>
          <w:rFonts w:ascii="Calibri" w:eastAsia="Calibri" w:hAnsi="Calibri" w:cs="Calibri"/>
          <w:sz w:val="20"/>
          <w:szCs w:val="20"/>
        </w:rPr>
      </w:pPr>
    </w:p>
    <w:p w:rsidR="00725393" w:rsidRDefault="00664591">
      <w:pPr>
        <w:pStyle w:val="TOC1"/>
        <w:tabs>
          <w:tab w:val="left" w:pos="332"/>
          <w:tab w:val="right" w:leader="dot" w:pos="9732"/>
        </w:tabs>
        <w:rPr>
          <w:rFonts w:asciiTheme="minorHAnsi" w:eastAsiaTheme="minorEastAsia" w:hAnsiTheme="minorHAnsi" w:cstheme="minorBidi"/>
          <w:b w:val="0"/>
          <w:noProof/>
        </w:rPr>
      </w:pPr>
      <w:r>
        <w:fldChar w:fldCharType="begin"/>
      </w:r>
      <w:r>
        <w:instrText>TOC \o "1-9"</w:instrText>
      </w:r>
      <w:r>
        <w:fldChar w:fldCharType="separate"/>
      </w:r>
      <w:r w:rsidR="00725393">
        <w:rPr>
          <w:noProof/>
        </w:rPr>
        <w:t>1</w:t>
      </w:r>
      <w:r w:rsidR="00725393">
        <w:rPr>
          <w:rFonts w:asciiTheme="minorHAnsi" w:eastAsiaTheme="minorEastAsia" w:hAnsiTheme="minorHAnsi" w:cstheme="minorBidi"/>
          <w:b w:val="0"/>
          <w:noProof/>
        </w:rPr>
        <w:tab/>
      </w:r>
      <w:r w:rsidR="00725393">
        <w:rPr>
          <w:noProof/>
        </w:rPr>
        <w:t>Document history</w:t>
      </w:r>
      <w:r w:rsidR="00725393">
        <w:rPr>
          <w:noProof/>
        </w:rPr>
        <w:tab/>
      </w:r>
      <w:r w:rsidR="00725393">
        <w:rPr>
          <w:noProof/>
        </w:rPr>
        <w:fldChar w:fldCharType="begin"/>
      </w:r>
      <w:r w:rsidR="00725393">
        <w:rPr>
          <w:noProof/>
        </w:rPr>
        <w:instrText xml:space="preserve"> PAGEREF _Toc2331397 \h </w:instrText>
      </w:r>
      <w:r w:rsidR="00725393">
        <w:rPr>
          <w:noProof/>
        </w:rPr>
      </w:r>
      <w:r w:rsidR="00725393">
        <w:rPr>
          <w:noProof/>
        </w:rPr>
        <w:fldChar w:fldCharType="separate"/>
      </w:r>
      <w:r w:rsidR="00725393">
        <w:rPr>
          <w:noProof/>
        </w:rPr>
        <w:t>3</w:t>
      </w:r>
      <w:r w:rsidR="00725393">
        <w:rPr>
          <w:noProof/>
        </w:rPr>
        <w:fldChar w:fldCharType="end"/>
      </w:r>
    </w:p>
    <w:p w:rsidR="00725393" w:rsidRDefault="00725393">
      <w:pPr>
        <w:pStyle w:val="TOC1"/>
        <w:tabs>
          <w:tab w:val="left" w:pos="332"/>
          <w:tab w:val="right" w:leader="dot" w:pos="9732"/>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Document Control</w:t>
      </w:r>
      <w:r>
        <w:rPr>
          <w:noProof/>
        </w:rPr>
        <w:tab/>
      </w:r>
      <w:r>
        <w:rPr>
          <w:noProof/>
        </w:rPr>
        <w:fldChar w:fldCharType="begin"/>
      </w:r>
      <w:r>
        <w:rPr>
          <w:noProof/>
        </w:rPr>
        <w:instrText xml:space="preserve"> PAGEREF _Toc2331398 \h </w:instrText>
      </w:r>
      <w:r>
        <w:rPr>
          <w:noProof/>
        </w:rPr>
      </w:r>
      <w:r>
        <w:rPr>
          <w:noProof/>
        </w:rPr>
        <w:fldChar w:fldCharType="separate"/>
      </w:r>
      <w:r>
        <w:rPr>
          <w:noProof/>
        </w:rPr>
        <w:t>3</w:t>
      </w:r>
      <w:r>
        <w:rPr>
          <w:noProof/>
        </w:rPr>
        <w:fldChar w:fldCharType="end"/>
      </w:r>
    </w:p>
    <w:p w:rsidR="00725393" w:rsidRDefault="00725393">
      <w:pPr>
        <w:pStyle w:val="TOC1"/>
        <w:tabs>
          <w:tab w:val="left" w:pos="332"/>
          <w:tab w:val="right" w:leader="dot" w:pos="9732"/>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Overview</w:t>
      </w:r>
      <w:r>
        <w:rPr>
          <w:noProof/>
        </w:rPr>
        <w:tab/>
      </w:r>
      <w:r>
        <w:rPr>
          <w:noProof/>
        </w:rPr>
        <w:fldChar w:fldCharType="begin"/>
      </w:r>
      <w:r>
        <w:rPr>
          <w:noProof/>
        </w:rPr>
        <w:instrText xml:space="preserve"> PAGEREF _Toc2331399 \h </w:instrText>
      </w:r>
      <w:r>
        <w:rPr>
          <w:noProof/>
        </w:rPr>
      </w:r>
      <w:r>
        <w:rPr>
          <w:noProof/>
        </w:rPr>
        <w:fldChar w:fldCharType="separate"/>
      </w:r>
      <w:r>
        <w:rPr>
          <w:noProof/>
        </w:rPr>
        <w:t>4</w:t>
      </w:r>
      <w:r>
        <w:rPr>
          <w:noProof/>
        </w:rPr>
        <w:fldChar w:fldCharType="end"/>
      </w:r>
    </w:p>
    <w:p w:rsidR="00725393" w:rsidRDefault="00725393">
      <w:pPr>
        <w:pStyle w:val="TOC1"/>
        <w:tabs>
          <w:tab w:val="left" w:pos="332"/>
          <w:tab w:val="right" w:leader="dot" w:pos="9732"/>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Requirements</w:t>
      </w:r>
      <w:r>
        <w:rPr>
          <w:noProof/>
        </w:rPr>
        <w:tab/>
      </w:r>
      <w:r>
        <w:rPr>
          <w:noProof/>
        </w:rPr>
        <w:fldChar w:fldCharType="begin"/>
      </w:r>
      <w:r>
        <w:rPr>
          <w:noProof/>
        </w:rPr>
        <w:instrText xml:space="preserve"> PAGEREF _Toc2331400 \h </w:instrText>
      </w:r>
      <w:r>
        <w:rPr>
          <w:noProof/>
        </w:rPr>
      </w:r>
      <w:r>
        <w:rPr>
          <w:noProof/>
        </w:rPr>
        <w:fldChar w:fldCharType="separate"/>
      </w:r>
      <w:r>
        <w:rPr>
          <w:noProof/>
        </w:rPr>
        <w:t>4</w:t>
      </w:r>
      <w:r>
        <w:rPr>
          <w:noProof/>
        </w:rPr>
        <w:fldChar w:fldCharType="end"/>
      </w:r>
    </w:p>
    <w:p w:rsidR="00725393" w:rsidRDefault="00725393">
      <w:pPr>
        <w:pStyle w:val="TOC2"/>
        <w:tabs>
          <w:tab w:val="left" w:pos="499"/>
          <w:tab w:val="right" w:leader="dot" w:pos="9732"/>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File transfer</w:t>
      </w:r>
      <w:r>
        <w:rPr>
          <w:noProof/>
        </w:rPr>
        <w:tab/>
      </w:r>
      <w:r>
        <w:rPr>
          <w:noProof/>
        </w:rPr>
        <w:fldChar w:fldCharType="begin"/>
      </w:r>
      <w:r>
        <w:rPr>
          <w:noProof/>
        </w:rPr>
        <w:instrText xml:space="preserve"> PAGEREF _Toc2331401 \h </w:instrText>
      </w:r>
      <w:r>
        <w:rPr>
          <w:noProof/>
        </w:rPr>
      </w:r>
      <w:r>
        <w:rPr>
          <w:noProof/>
        </w:rPr>
        <w:fldChar w:fldCharType="separate"/>
      </w:r>
      <w:r>
        <w:rPr>
          <w:noProof/>
        </w:rPr>
        <w:t>4</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4.1.1</w:t>
      </w:r>
      <w:r>
        <w:rPr>
          <w:rFonts w:asciiTheme="minorHAnsi" w:eastAsiaTheme="minorEastAsia" w:hAnsiTheme="minorHAnsi" w:cstheme="minorBidi"/>
          <w:noProof/>
        </w:rPr>
        <w:tab/>
      </w:r>
      <w:r>
        <w:rPr>
          <w:noProof/>
        </w:rPr>
        <w:t>FN00008609 - Transfer process</w:t>
      </w:r>
      <w:r>
        <w:rPr>
          <w:noProof/>
        </w:rPr>
        <w:tab/>
      </w:r>
      <w:r>
        <w:rPr>
          <w:noProof/>
        </w:rPr>
        <w:fldChar w:fldCharType="begin"/>
      </w:r>
      <w:r>
        <w:rPr>
          <w:noProof/>
        </w:rPr>
        <w:instrText xml:space="preserve"> PAGEREF _Toc2331402 \h </w:instrText>
      </w:r>
      <w:r>
        <w:rPr>
          <w:noProof/>
        </w:rPr>
      </w:r>
      <w:r>
        <w:rPr>
          <w:noProof/>
        </w:rPr>
        <w:fldChar w:fldCharType="separate"/>
      </w:r>
      <w:r>
        <w:rPr>
          <w:noProof/>
        </w:rPr>
        <w:t>4</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4.1.2</w:t>
      </w:r>
      <w:r>
        <w:rPr>
          <w:rFonts w:asciiTheme="minorHAnsi" w:eastAsiaTheme="minorEastAsia" w:hAnsiTheme="minorHAnsi" w:cstheme="minorBidi"/>
          <w:noProof/>
        </w:rPr>
        <w:tab/>
      </w:r>
      <w:r>
        <w:rPr>
          <w:noProof/>
        </w:rPr>
        <w:t>FN00008605 - Transfer frequency</w:t>
      </w:r>
      <w:r>
        <w:rPr>
          <w:noProof/>
        </w:rPr>
        <w:tab/>
      </w:r>
      <w:r>
        <w:rPr>
          <w:noProof/>
        </w:rPr>
        <w:fldChar w:fldCharType="begin"/>
      </w:r>
      <w:r>
        <w:rPr>
          <w:noProof/>
        </w:rPr>
        <w:instrText xml:space="preserve"> PAGEREF _Toc2331403 \h </w:instrText>
      </w:r>
      <w:r>
        <w:rPr>
          <w:noProof/>
        </w:rPr>
      </w:r>
      <w:r>
        <w:rPr>
          <w:noProof/>
        </w:rPr>
        <w:fldChar w:fldCharType="separate"/>
      </w:r>
      <w:r>
        <w:rPr>
          <w:noProof/>
        </w:rPr>
        <w:t>5</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4.1.3</w:t>
      </w:r>
      <w:r>
        <w:rPr>
          <w:rFonts w:asciiTheme="minorHAnsi" w:eastAsiaTheme="minorEastAsia" w:hAnsiTheme="minorHAnsi" w:cstheme="minorBidi"/>
          <w:noProof/>
        </w:rPr>
        <w:tab/>
      </w:r>
      <w:r>
        <w:rPr>
          <w:noProof/>
        </w:rPr>
        <w:t>FN00008610 - File naming convention</w:t>
      </w:r>
      <w:r>
        <w:rPr>
          <w:noProof/>
        </w:rPr>
        <w:tab/>
      </w:r>
      <w:r>
        <w:rPr>
          <w:noProof/>
        </w:rPr>
        <w:fldChar w:fldCharType="begin"/>
      </w:r>
      <w:r>
        <w:rPr>
          <w:noProof/>
        </w:rPr>
        <w:instrText xml:space="preserve"> PAGEREF _Toc2331404 \h </w:instrText>
      </w:r>
      <w:r>
        <w:rPr>
          <w:noProof/>
        </w:rPr>
      </w:r>
      <w:r>
        <w:rPr>
          <w:noProof/>
        </w:rPr>
        <w:fldChar w:fldCharType="separate"/>
      </w:r>
      <w:r>
        <w:rPr>
          <w:noProof/>
        </w:rPr>
        <w:t>5</w:t>
      </w:r>
      <w:r>
        <w:rPr>
          <w:noProof/>
        </w:rPr>
        <w:fldChar w:fldCharType="end"/>
      </w:r>
    </w:p>
    <w:p w:rsidR="00725393" w:rsidRDefault="00725393">
      <w:pPr>
        <w:pStyle w:val="TOC2"/>
        <w:tabs>
          <w:tab w:val="left" w:pos="499"/>
          <w:tab w:val="right" w:leader="dot" w:pos="9732"/>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File processing</w:t>
      </w:r>
      <w:r>
        <w:rPr>
          <w:noProof/>
        </w:rPr>
        <w:tab/>
      </w:r>
      <w:r>
        <w:rPr>
          <w:noProof/>
        </w:rPr>
        <w:fldChar w:fldCharType="begin"/>
      </w:r>
      <w:r>
        <w:rPr>
          <w:noProof/>
        </w:rPr>
        <w:instrText xml:space="preserve"> PAGEREF _Toc2331405 \h </w:instrText>
      </w:r>
      <w:r>
        <w:rPr>
          <w:noProof/>
        </w:rPr>
      </w:r>
      <w:r>
        <w:rPr>
          <w:noProof/>
        </w:rPr>
        <w:fldChar w:fldCharType="separate"/>
      </w:r>
      <w:r>
        <w:rPr>
          <w:noProof/>
        </w:rPr>
        <w:t>5</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4.2.1</w:t>
      </w:r>
      <w:r>
        <w:rPr>
          <w:rFonts w:asciiTheme="minorHAnsi" w:eastAsiaTheme="minorEastAsia" w:hAnsiTheme="minorHAnsi" w:cstheme="minorBidi"/>
          <w:noProof/>
        </w:rPr>
        <w:tab/>
      </w:r>
      <w:r>
        <w:rPr>
          <w:noProof/>
        </w:rPr>
        <w:t>FN00008614 - File format</w:t>
      </w:r>
      <w:r>
        <w:rPr>
          <w:noProof/>
        </w:rPr>
        <w:tab/>
      </w:r>
      <w:r>
        <w:rPr>
          <w:noProof/>
        </w:rPr>
        <w:fldChar w:fldCharType="begin"/>
      </w:r>
      <w:r>
        <w:rPr>
          <w:noProof/>
        </w:rPr>
        <w:instrText xml:space="preserve"> PAGEREF _Toc2331406 \h </w:instrText>
      </w:r>
      <w:r>
        <w:rPr>
          <w:noProof/>
        </w:rPr>
      </w:r>
      <w:r>
        <w:rPr>
          <w:noProof/>
        </w:rPr>
        <w:fldChar w:fldCharType="separate"/>
      </w:r>
      <w:r>
        <w:rPr>
          <w:noProof/>
        </w:rPr>
        <w:t>5</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4.2.2</w:t>
      </w:r>
      <w:r>
        <w:rPr>
          <w:rFonts w:asciiTheme="minorHAnsi" w:eastAsiaTheme="minorEastAsia" w:hAnsiTheme="minorHAnsi" w:cstheme="minorBidi"/>
          <w:noProof/>
        </w:rPr>
        <w:tab/>
      </w:r>
      <w:r>
        <w:rPr>
          <w:noProof/>
        </w:rPr>
        <w:t>FN00008618 - Record filtering</w:t>
      </w:r>
      <w:r>
        <w:rPr>
          <w:noProof/>
        </w:rPr>
        <w:tab/>
      </w:r>
      <w:r>
        <w:rPr>
          <w:noProof/>
        </w:rPr>
        <w:fldChar w:fldCharType="begin"/>
      </w:r>
      <w:r>
        <w:rPr>
          <w:noProof/>
        </w:rPr>
        <w:instrText xml:space="preserve"> PAGEREF _Toc2331407 \h </w:instrText>
      </w:r>
      <w:r>
        <w:rPr>
          <w:noProof/>
        </w:rPr>
      </w:r>
      <w:r>
        <w:rPr>
          <w:noProof/>
        </w:rPr>
        <w:fldChar w:fldCharType="separate"/>
      </w:r>
      <w:r>
        <w:rPr>
          <w:noProof/>
        </w:rPr>
        <w:t>5</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4.2.3</w:t>
      </w:r>
      <w:r>
        <w:rPr>
          <w:rFonts w:asciiTheme="minorHAnsi" w:eastAsiaTheme="minorEastAsia" w:hAnsiTheme="minorHAnsi" w:cstheme="minorBidi"/>
          <w:noProof/>
        </w:rPr>
        <w:tab/>
      </w:r>
      <w:r>
        <w:rPr>
          <w:noProof/>
        </w:rPr>
        <w:t>FN00008615 - Record uniqueness check</w:t>
      </w:r>
      <w:r>
        <w:rPr>
          <w:noProof/>
        </w:rPr>
        <w:tab/>
      </w:r>
      <w:r>
        <w:rPr>
          <w:noProof/>
        </w:rPr>
        <w:fldChar w:fldCharType="begin"/>
      </w:r>
      <w:r>
        <w:rPr>
          <w:noProof/>
        </w:rPr>
        <w:instrText xml:space="preserve"> PAGEREF _Toc2331408 \h </w:instrText>
      </w:r>
      <w:r>
        <w:rPr>
          <w:noProof/>
        </w:rPr>
      </w:r>
      <w:r>
        <w:rPr>
          <w:noProof/>
        </w:rPr>
        <w:fldChar w:fldCharType="separate"/>
      </w:r>
      <w:r>
        <w:rPr>
          <w:noProof/>
        </w:rPr>
        <w:t>5</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4.2.4</w:t>
      </w:r>
      <w:r>
        <w:rPr>
          <w:rFonts w:asciiTheme="minorHAnsi" w:eastAsiaTheme="minorEastAsia" w:hAnsiTheme="minorHAnsi" w:cstheme="minorBidi"/>
          <w:noProof/>
        </w:rPr>
        <w:tab/>
      </w:r>
      <w:r>
        <w:rPr>
          <w:noProof/>
        </w:rPr>
        <w:t>FN00008613 - File validation</w:t>
      </w:r>
      <w:r>
        <w:rPr>
          <w:noProof/>
        </w:rPr>
        <w:tab/>
      </w:r>
      <w:r>
        <w:rPr>
          <w:noProof/>
        </w:rPr>
        <w:fldChar w:fldCharType="begin"/>
      </w:r>
      <w:r>
        <w:rPr>
          <w:noProof/>
        </w:rPr>
        <w:instrText xml:space="preserve"> PAGEREF _Toc2331409 \h </w:instrText>
      </w:r>
      <w:r>
        <w:rPr>
          <w:noProof/>
        </w:rPr>
      </w:r>
      <w:r>
        <w:rPr>
          <w:noProof/>
        </w:rPr>
        <w:fldChar w:fldCharType="separate"/>
      </w:r>
      <w:r>
        <w:rPr>
          <w:noProof/>
        </w:rPr>
        <w:t>5</w:t>
      </w:r>
      <w:r>
        <w:rPr>
          <w:noProof/>
        </w:rPr>
        <w:fldChar w:fldCharType="end"/>
      </w:r>
    </w:p>
    <w:p w:rsidR="00725393" w:rsidRDefault="00725393">
      <w:pPr>
        <w:pStyle w:val="TOC2"/>
        <w:tabs>
          <w:tab w:val="left" w:pos="499"/>
          <w:tab w:val="right" w:leader="dot" w:pos="9732"/>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Contingency solution</w:t>
      </w:r>
      <w:r>
        <w:rPr>
          <w:noProof/>
        </w:rPr>
        <w:tab/>
      </w:r>
      <w:r>
        <w:rPr>
          <w:noProof/>
        </w:rPr>
        <w:fldChar w:fldCharType="begin"/>
      </w:r>
      <w:r>
        <w:rPr>
          <w:noProof/>
        </w:rPr>
        <w:instrText xml:space="preserve"> PAGEREF _Toc2331410 \h </w:instrText>
      </w:r>
      <w:r>
        <w:rPr>
          <w:noProof/>
        </w:rPr>
      </w:r>
      <w:r>
        <w:rPr>
          <w:noProof/>
        </w:rPr>
        <w:fldChar w:fldCharType="separate"/>
      </w:r>
      <w:r>
        <w:rPr>
          <w:noProof/>
        </w:rPr>
        <w:t>6</w:t>
      </w:r>
      <w:r>
        <w:rPr>
          <w:noProof/>
        </w:rPr>
        <w:fldChar w:fldCharType="end"/>
      </w:r>
    </w:p>
    <w:p w:rsidR="00725393" w:rsidRDefault="00725393">
      <w:pPr>
        <w:pStyle w:val="TOC3"/>
        <w:tabs>
          <w:tab w:val="left" w:pos="666"/>
          <w:tab w:val="right" w:leader="dot" w:pos="9732"/>
        </w:tabs>
        <w:rPr>
          <w:rFonts w:asciiTheme="minorHAnsi" w:eastAsiaTheme="minorEastAsia" w:hAnsiTheme="minorHAnsi" w:cstheme="minorBidi"/>
          <w:noProof/>
        </w:rPr>
      </w:pPr>
      <w:r>
        <w:rPr>
          <w:noProof/>
        </w:rPr>
        <w:t>4.3.1</w:t>
      </w:r>
      <w:r>
        <w:rPr>
          <w:rFonts w:asciiTheme="minorHAnsi" w:eastAsiaTheme="minorEastAsia" w:hAnsiTheme="minorHAnsi" w:cstheme="minorBidi"/>
          <w:noProof/>
        </w:rPr>
        <w:tab/>
      </w:r>
      <w:r>
        <w:rPr>
          <w:noProof/>
        </w:rPr>
        <w:t>FN00008619 – Manual amendments</w:t>
      </w:r>
      <w:r>
        <w:rPr>
          <w:noProof/>
        </w:rPr>
        <w:tab/>
      </w:r>
      <w:r>
        <w:rPr>
          <w:noProof/>
        </w:rPr>
        <w:fldChar w:fldCharType="begin"/>
      </w:r>
      <w:r>
        <w:rPr>
          <w:noProof/>
        </w:rPr>
        <w:instrText xml:space="preserve"> PAGEREF _Toc2331411 \h </w:instrText>
      </w:r>
      <w:r>
        <w:rPr>
          <w:noProof/>
        </w:rPr>
      </w:r>
      <w:r>
        <w:rPr>
          <w:noProof/>
        </w:rPr>
        <w:fldChar w:fldCharType="separate"/>
      </w:r>
      <w:r>
        <w:rPr>
          <w:noProof/>
        </w:rPr>
        <w:t>6</w:t>
      </w:r>
      <w:r>
        <w:rPr>
          <w:noProof/>
        </w:rPr>
        <w:fldChar w:fldCharType="end"/>
      </w:r>
    </w:p>
    <w:p w:rsidR="00266787" w:rsidRDefault="00664591">
      <w:pPr>
        <w:pStyle w:val="TOC3"/>
        <w:tabs>
          <w:tab w:val="right" w:leader="dot" w:pos="9645"/>
        </w:tabs>
      </w:pPr>
      <w:r>
        <w:fldChar w:fldCharType="end"/>
      </w:r>
      <w:bookmarkStart w:id="0" w:name="_GoBack"/>
      <w:bookmarkEnd w:id="0"/>
    </w:p>
    <w:p w:rsidR="00266787" w:rsidRDefault="00266787">
      <w:pPr>
        <w:rPr>
          <w:rFonts w:ascii="Calibri" w:eastAsia="Calibri" w:hAnsi="Calibri" w:cs="Calibri"/>
          <w:sz w:val="20"/>
          <w:szCs w:val="20"/>
        </w:rPr>
      </w:pPr>
    </w:p>
    <w:p w:rsidR="00266787" w:rsidRDefault="00266787">
      <w:pPr>
        <w:rPr>
          <w:rFonts w:ascii="Calibri" w:eastAsia="Calibri" w:hAnsi="Calibri" w:cs="Calibri"/>
          <w:sz w:val="20"/>
          <w:szCs w:val="20"/>
        </w:rPr>
        <w:sectPr w:rsidR="00266787">
          <w:pgSz w:w="11902" w:h="16835"/>
          <w:pgMar w:top="1080" w:right="1080" w:bottom="1080" w:left="1080" w:header="720" w:footer="720" w:gutter="0"/>
          <w:cols w:space="720"/>
        </w:sectPr>
      </w:pPr>
    </w:p>
    <w:p w:rsidR="00266787" w:rsidRDefault="00664591">
      <w:pPr>
        <w:pStyle w:val="Heading1"/>
      </w:pPr>
      <w:bookmarkStart w:id="1" w:name="_Toc2331397"/>
      <w:r>
        <w:lastRenderedPageBreak/>
        <w:t>Document history</w:t>
      </w:r>
      <w:bookmarkEnd w:id="1"/>
    </w:p>
    <w:p w:rsidR="00266787" w:rsidRDefault="00266787">
      <w:pPr>
        <w:rPr>
          <w:color w:val="000000"/>
          <w:sz w:val="20"/>
          <w:szCs w:val="20"/>
        </w:rPr>
      </w:pPr>
    </w:p>
    <w:p w:rsidR="00266787" w:rsidRDefault="00664591">
      <w:pPr>
        <w:rPr>
          <w:color w:val="000000"/>
          <w:sz w:val="20"/>
          <w:szCs w:val="20"/>
        </w:rPr>
      </w:pPr>
      <w:r>
        <w:rPr>
          <w:color w:val="000000"/>
          <w:sz w:val="20"/>
          <w:szCs w:val="20"/>
        </w:rPr>
        <w:t>The following table contains the document revisions, including references to specific comments.</w:t>
      </w:r>
    </w:p>
    <w:p w:rsidR="00266787" w:rsidRDefault="00266787">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266787">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
            </w:pPr>
            <w:r>
              <w:t>Notes</w:t>
            </w:r>
          </w:p>
        </w:tc>
      </w:tr>
      <w:tr w:rsidR="00266787">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2" w:name="CASH_COLLATERAL_FEED"/>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rPr>
                <w:color w:val="000000"/>
              </w:rPr>
            </w:pPr>
            <w:r>
              <w:rPr>
                <w:color w:val="000000"/>
              </w:rPr>
              <w:t>First Draft</w:t>
            </w:r>
          </w:p>
          <w:p w:rsidR="00266787" w:rsidRDefault="00266787">
            <w:pPr>
              <w:pStyle w:val="TableTextLight"/>
            </w:pPr>
          </w:p>
        </w:tc>
      </w:tr>
      <w:tr w:rsidR="002F06CF">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F06CF" w:rsidRDefault="002F06CF">
            <w:pPr>
              <w:pStyle w:val="TableTextLight"/>
            </w:pPr>
            <w:r>
              <w:t>V 1.0</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F06CF" w:rsidRPr="002F06CF" w:rsidRDefault="002F06CF" w:rsidP="002F06CF">
            <w:pPr>
              <w:pStyle w:val="TableTextLight"/>
              <w:numPr>
                <w:ilvl w:val="0"/>
                <w:numId w:val="16"/>
              </w:numPr>
              <w:rPr>
                <w:color w:val="000000"/>
              </w:rPr>
            </w:pPr>
            <w:r w:rsidRPr="002F06CF">
              <w:rPr>
                <w:color w:val="000000"/>
              </w:rPr>
              <w:t>Corrected overview "csv" to "txt"</w:t>
            </w:r>
          </w:p>
          <w:p w:rsidR="002F06CF" w:rsidRDefault="002F06CF" w:rsidP="002F06CF">
            <w:pPr>
              <w:pStyle w:val="TableTextLight"/>
              <w:numPr>
                <w:ilvl w:val="0"/>
                <w:numId w:val="16"/>
              </w:numPr>
              <w:rPr>
                <w:color w:val="000000"/>
              </w:rPr>
            </w:pPr>
            <w:r w:rsidRPr="002F06CF">
              <w:rPr>
                <w:color w:val="000000"/>
              </w:rPr>
              <w:t>FN00008610: corrected file extension in the examp</w:t>
            </w:r>
            <w:r>
              <w:rPr>
                <w:color w:val="000000"/>
              </w:rPr>
              <w:t>l</w:t>
            </w:r>
            <w:r w:rsidRPr="002F06CF">
              <w:rPr>
                <w:color w:val="000000"/>
              </w:rPr>
              <w:t>e: from "md5" to "txt.md5"</w:t>
            </w:r>
          </w:p>
        </w:tc>
      </w:tr>
    </w:tbl>
    <w:p w:rsidR="00266787" w:rsidRDefault="00266787">
      <w:pPr>
        <w:rPr>
          <w:sz w:val="20"/>
          <w:szCs w:val="20"/>
        </w:rPr>
      </w:pPr>
    </w:p>
    <w:p w:rsidR="00266787" w:rsidRDefault="00266787">
      <w:pPr>
        <w:rPr>
          <w:sz w:val="20"/>
          <w:szCs w:val="20"/>
        </w:rPr>
      </w:pPr>
    </w:p>
    <w:p w:rsidR="00266787" w:rsidRDefault="00664591">
      <w:pPr>
        <w:pStyle w:val="Heading1"/>
      </w:pPr>
      <w:bookmarkStart w:id="3" w:name="_Toc2331398"/>
      <w:r>
        <w:t>Document Control</w:t>
      </w:r>
      <w:bookmarkEnd w:id="3"/>
    </w:p>
    <w:p w:rsidR="00266787" w:rsidRDefault="00266787">
      <w:pPr>
        <w:rPr>
          <w:color w:val="000000"/>
          <w:sz w:val="20"/>
          <w:szCs w:val="20"/>
        </w:rPr>
      </w:pPr>
    </w:p>
    <w:p w:rsidR="00266787" w:rsidRDefault="00664591">
      <w:pPr>
        <w:rPr>
          <w:color w:val="000000"/>
          <w:sz w:val="20"/>
          <w:szCs w:val="20"/>
        </w:rPr>
      </w:pPr>
      <w:r>
        <w:rPr>
          <w:color w:val="000000"/>
          <w:sz w:val="20"/>
          <w:szCs w:val="20"/>
        </w:rPr>
        <w:t>The following table contains the complete list of business requirements described in this document, together with their own identification code and status attributes.</w:t>
      </w:r>
    </w:p>
    <w:p w:rsidR="00266787" w:rsidRDefault="00266787">
      <w:pPr>
        <w:rPr>
          <w:color w:val="000000"/>
          <w:sz w:val="20"/>
          <w:szCs w:val="20"/>
        </w:rPr>
      </w:pPr>
    </w:p>
    <w:p w:rsidR="00266787" w:rsidRDefault="00664591">
      <w:pPr>
        <w:rPr>
          <w:color w:val="000000"/>
          <w:sz w:val="20"/>
          <w:szCs w:val="20"/>
        </w:rPr>
      </w:pPr>
      <w:r>
        <w:rPr>
          <w:color w:val="000000"/>
          <w:sz w:val="20"/>
          <w:szCs w:val="20"/>
        </w:rPr>
        <w:t>For each requirement the following attributes are provided:</w:t>
      </w:r>
    </w:p>
    <w:p w:rsidR="00266787" w:rsidRDefault="00664591">
      <w:pPr>
        <w:numPr>
          <w:ilvl w:val="0"/>
          <w:numId w:val="2"/>
        </w:numPr>
        <w:ind w:left="360" w:hanging="360"/>
        <w:rPr>
          <w:color w:val="000000"/>
          <w:sz w:val="20"/>
          <w:szCs w:val="20"/>
        </w:rPr>
      </w:pPr>
      <w:r>
        <w:rPr>
          <w:b/>
          <w:color w:val="000000"/>
          <w:sz w:val="20"/>
          <w:szCs w:val="20"/>
        </w:rPr>
        <w:t>Priority</w:t>
      </w:r>
      <w:r>
        <w:rPr>
          <w:color w:val="000000"/>
          <w:sz w:val="20"/>
          <w:szCs w:val="20"/>
        </w:rPr>
        <w:t xml:space="preserve">: describes the importance of the requirement using the </w:t>
      </w:r>
      <w:proofErr w:type="spellStart"/>
      <w:r>
        <w:rPr>
          <w:color w:val="000000"/>
          <w:sz w:val="20"/>
          <w:szCs w:val="20"/>
        </w:rPr>
        <w:t>MoSCoW</w:t>
      </w:r>
      <w:proofErr w:type="spellEnd"/>
      <w:r>
        <w:rPr>
          <w:color w:val="000000"/>
          <w:sz w:val="20"/>
          <w:szCs w:val="20"/>
        </w:rPr>
        <w:t xml:space="preserve"> standard. More specifically, "Must" is a category used for business critical </w:t>
      </w:r>
      <w:proofErr w:type="spellStart"/>
      <w:r>
        <w:rPr>
          <w:color w:val="000000"/>
          <w:sz w:val="20"/>
          <w:szCs w:val="20"/>
        </w:rPr>
        <w:t>requirements,"Should</w:t>
      </w:r>
      <w:proofErr w:type="spellEnd"/>
      <w:r>
        <w:rPr>
          <w:color w:val="000000"/>
          <w:sz w:val="20"/>
          <w:szCs w:val="20"/>
        </w:rPr>
        <w:t xml:space="preserve">" is specified for important but not "show-stopping" requirements, "Could" is used for "nice-to-have" requirements. </w:t>
      </w:r>
    </w:p>
    <w:p w:rsidR="00266787" w:rsidRDefault="00664591">
      <w:pPr>
        <w:numPr>
          <w:ilvl w:val="0"/>
          <w:numId w:val="2"/>
        </w:numPr>
        <w:ind w:left="360" w:hanging="360"/>
        <w:rPr>
          <w:color w:val="000000"/>
          <w:sz w:val="20"/>
          <w:szCs w:val="20"/>
        </w:rPr>
      </w:pPr>
      <w:r>
        <w:rPr>
          <w:b/>
          <w:color w:val="000000"/>
          <w:sz w:val="20"/>
          <w:szCs w:val="20"/>
        </w:rPr>
        <w:t>Analysis</w:t>
      </w:r>
      <w:r>
        <w:rPr>
          <w:color w:val="000000"/>
          <w:sz w:val="20"/>
          <w:szCs w:val="20"/>
        </w:rPr>
        <w:t>: expresses the level of completeness of the analysis. In particular the flag "Unknowns" means that there are still topics not covered by workshops and interviews, while "No unknowns" means that the analysis can be considered complete from the client perspective.</w:t>
      </w:r>
    </w:p>
    <w:p w:rsidR="00266787" w:rsidRDefault="00664591">
      <w:pPr>
        <w:numPr>
          <w:ilvl w:val="0"/>
          <w:numId w:val="2"/>
        </w:numPr>
        <w:ind w:left="360" w:hanging="360"/>
        <w:rPr>
          <w:color w:val="000000"/>
          <w:sz w:val="20"/>
          <w:szCs w:val="20"/>
        </w:rPr>
      </w:pPr>
      <w:r>
        <w:rPr>
          <w:b/>
          <w:color w:val="000000"/>
          <w:sz w:val="20"/>
          <w:szCs w:val="20"/>
        </w:rPr>
        <w:t>Stability</w:t>
      </w:r>
      <w:r>
        <w:rPr>
          <w:color w:val="000000"/>
          <w:sz w:val="20"/>
          <w:szCs w:val="20"/>
        </w:rPr>
        <w:t>: this flag describe the requirements stability in terms of changes connected to external stakeholder influence. A requirement is "Not Stable" if, for example, the team is waiting for an external feedback that could impact it (changing regulations, changing external systems, changing standards...)</w:t>
      </w:r>
    </w:p>
    <w:p w:rsidR="00266787" w:rsidRDefault="00266787">
      <w:pPr>
        <w:rPr>
          <w:color w:val="000000"/>
          <w:sz w:val="20"/>
          <w:szCs w:val="20"/>
        </w:rPr>
      </w:pPr>
    </w:p>
    <w:p w:rsidR="00266787" w:rsidRDefault="00266787">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710"/>
        <w:gridCol w:w="3510"/>
        <w:gridCol w:w="1350"/>
        <w:gridCol w:w="1800"/>
        <w:gridCol w:w="1260"/>
      </w:tblGrid>
      <w:tr w:rsidR="00266787">
        <w:trPr>
          <w:tblHeader/>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Light"/>
            </w:pPr>
            <w:r>
              <w:t>Code</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Light"/>
            </w:pPr>
            <w:r>
              <w:t>Name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Light"/>
            </w:pPr>
            <w:r>
              <w:t>Priority</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Light"/>
            </w:pPr>
            <w:r>
              <w:t>Analysis status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HeadingLight"/>
            </w:pPr>
            <w:r>
              <w:t>Stability</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4" w:name="BKM_A9B04E79_7772_438F_B650_010370E40537"/>
            <w:bookmarkStart w:id="5" w:name="FILE_TRANSFER"/>
            <w:bookmarkStart w:id="6" w:name="BKM_7982E1B1_B3E9_473B_A00E_7BF004A4690E"/>
            <w:r>
              <w:t>FN00008609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Transfer process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7" w:name="BKM_674688AD_FE3E_4208_9668_36D2199D7ABE"/>
            <w:r>
              <w:t>FN00008605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Transfer frequency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8" w:name="BKM_6D5B09B5_19A7_439B_91D5_B9CDDBBC5968"/>
            <w:r>
              <w:t>FN00008610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File naming convention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9" w:name="BKM_494DA5DB_F536_451F_89FA_A773072941B7"/>
            <w:bookmarkStart w:id="10" w:name="FILE_PROCESSING"/>
            <w:bookmarkStart w:id="11" w:name="BKM_13F2AEF8_AEC3_45DC_ACAE_B30D500C9057"/>
            <w:r>
              <w:t>FN00008614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File format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12" w:name="BKM_F4B5C3CB_C4D2_4130_B465_0D2809C5900F"/>
            <w:r>
              <w:t>FN00008618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Record filtering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13" w:name="BKM_0BAD4EEF_1A53_4B7B_A6F5_99232F6E4AFE"/>
            <w:r>
              <w:t>FN00008615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Record uniqueness check</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14" w:name="BKM_37AF692C_1267_44CD_B9EC_785C854A1ACB"/>
            <w:r>
              <w:t>FN00008613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File validation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r w:rsidR="00266787">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bookmarkStart w:id="15" w:name="BKM_4A6D8052_6C93_4FA7_9FD1_7BF0E06CA8C0"/>
            <w:bookmarkStart w:id="16" w:name="CONTINGENCY_SOLUTION"/>
            <w:bookmarkStart w:id="17" w:name="BKM_EF87109A_59D8_4C02_9FA0_415B4D606CDF"/>
            <w:r>
              <w:t>FN00008619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Transfer from workstations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266787" w:rsidRDefault="00664591">
            <w:pPr>
              <w:pStyle w:val="TableTextLight"/>
            </w:pPr>
            <w:r>
              <w:t>Stable</w:t>
            </w:r>
          </w:p>
        </w:tc>
      </w:tr>
    </w:tbl>
    <w:p w:rsidR="00266787" w:rsidRDefault="00266787">
      <w:pPr>
        <w:rPr>
          <w:sz w:val="20"/>
          <w:szCs w:val="20"/>
        </w:rPr>
      </w:pPr>
    </w:p>
    <w:p w:rsidR="00266787" w:rsidRDefault="00266787">
      <w:pPr>
        <w:rPr>
          <w:sz w:val="20"/>
          <w:szCs w:val="20"/>
        </w:rPr>
      </w:pPr>
    </w:p>
    <w:p w:rsidR="00266787" w:rsidRDefault="00266787">
      <w:pPr>
        <w:rPr>
          <w:sz w:val="20"/>
          <w:szCs w:val="20"/>
        </w:rPr>
        <w:sectPr w:rsidR="00266787">
          <w:headerReference w:type="default" r:id="rId9"/>
          <w:footerReference w:type="default" r:id="rId10"/>
          <w:pgSz w:w="11902" w:h="16835"/>
          <w:pgMar w:top="720" w:right="1080" w:bottom="720" w:left="1080" w:header="720" w:footer="720" w:gutter="0"/>
          <w:cols w:space="720"/>
        </w:sectPr>
      </w:pPr>
    </w:p>
    <w:p w:rsidR="00266787" w:rsidRDefault="00664591">
      <w:pPr>
        <w:pStyle w:val="Heading1"/>
      </w:pPr>
      <w:bookmarkStart w:id="18" w:name="_Toc2331399"/>
      <w:r>
        <w:lastRenderedPageBreak/>
        <w:t>Overview</w:t>
      </w:r>
      <w:bookmarkEnd w:id="18"/>
    </w:p>
    <w:p w:rsidR="00266787" w:rsidRDefault="00664591">
      <w:pPr>
        <w:rPr>
          <w:color w:val="000000"/>
          <w:sz w:val="20"/>
          <w:szCs w:val="20"/>
        </w:rPr>
      </w:pPr>
      <w:r>
        <w:rPr>
          <w:color w:val="000000"/>
          <w:sz w:val="20"/>
          <w:szCs w:val="20"/>
        </w:rPr>
        <w:t>The Clearing System maintains details on cash collateral posted by Clearing Participants on their collateral accounts for the purpose of checking the coverage of margin requirements.</w:t>
      </w:r>
    </w:p>
    <w:p w:rsidR="00266787" w:rsidRDefault="00664591">
      <w:pPr>
        <w:rPr>
          <w:color w:val="000000"/>
          <w:sz w:val="20"/>
          <w:szCs w:val="20"/>
        </w:rPr>
      </w:pPr>
      <w:r>
        <w:rPr>
          <w:color w:val="000000"/>
          <w:sz w:val="20"/>
          <w:szCs w:val="20"/>
        </w:rPr>
        <w:t xml:space="preserve">Cash collateral information is collected on </w:t>
      </w:r>
      <w:r w:rsidR="00203CB0">
        <w:rPr>
          <w:color w:val="000000"/>
          <w:sz w:val="20"/>
          <w:szCs w:val="20"/>
        </w:rPr>
        <w:t>TXT</w:t>
      </w:r>
      <w:r>
        <w:rPr>
          <w:color w:val="000000"/>
          <w:sz w:val="20"/>
          <w:szCs w:val="20"/>
        </w:rPr>
        <w:t xml:space="preserve"> files and moved from </w:t>
      </w:r>
      <w:proofErr w:type="spellStart"/>
      <w:r>
        <w:rPr>
          <w:color w:val="000000"/>
          <w:sz w:val="20"/>
          <w:szCs w:val="20"/>
        </w:rPr>
        <w:t>OeKB</w:t>
      </w:r>
      <w:proofErr w:type="spellEnd"/>
      <w:r>
        <w:rPr>
          <w:color w:val="000000"/>
          <w:sz w:val="20"/>
          <w:szCs w:val="20"/>
        </w:rPr>
        <w:t xml:space="preserve"> node to the Clearing System node through the SFTP protocol. The file content includes the cash balance per external account code. </w:t>
      </w:r>
    </w:p>
    <w:p w:rsidR="00266787" w:rsidRDefault="00266787">
      <w:pPr>
        <w:rPr>
          <w:color w:val="000000"/>
          <w:sz w:val="20"/>
          <w:szCs w:val="20"/>
        </w:rPr>
      </w:pPr>
    </w:p>
    <w:p w:rsidR="00266787" w:rsidRDefault="00266787">
      <w:pPr>
        <w:rPr>
          <w:color w:val="000000"/>
          <w:sz w:val="20"/>
          <w:szCs w:val="20"/>
        </w:rPr>
      </w:pPr>
    </w:p>
    <w:p w:rsidR="00266787" w:rsidRPr="00664591" w:rsidRDefault="00664591">
      <w:pPr>
        <w:rPr>
          <w:color w:val="000000"/>
          <w:sz w:val="20"/>
          <w:szCs w:val="20"/>
        </w:rPr>
      </w:pPr>
      <w:r>
        <w:rPr>
          <w:color w:val="000000"/>
          <w:sz w:val="20"/>
          <w:szCs w:val="20"/>
        </w:rPr>
        <w:t xml:space="preserve"> </w:t>
      </w:r>
      <w:bookmarkEnd w:id="2"/>
      <w:bookmarkEnd w:id="4"/>
    </w:p>
    <w:p w:rsidR="00266787" w:rsidRDefault="00266787">
      <w:pPr>
        <w:rPr>
          <w:sz w:val="20"/>
          <w:szCs w:val="20"/>
        </w:rPr>
      </w:pPr>
    </w:p>
    <w:p w:rsidR="00266787" w:rsidRDefault="00266787">
      <w:pPr>
        <w:rPr>
          <w:sz w:val="20"/>
          <w:szCs w:val="20"/>
        </w:rPr>
      </w:pPr>
    </w:p>
    <w:p w:rsidR="00266787" w:rsidRDefault="00664591">
      <w:pPr>
        <w:pStyle w:val="Heading1"/>
      </w:pPr>
      <w:bookmarkStart w:id="19" w:name="_Toc2331400"/>
      <w:r>
        <w:t>Requirements</w:t>
      </w:r>
      <w:bookmarkEnd w:id="19"/>
    </w:p>
    <w:p w:rsidR="00266787" w:rsidRDefault="00664591">
      <w:pPr>
        <w:pStyle w:val="Heading2"/>
      </w:pPr>
      <w:bookmarkStart w:id="20" w:name="_Toc2331401"/>
      <w:r>
        <w:t>File transfer</w:t>
      </w:r>
      <w:bookmarkEnd w:id="20"/>
    </w:p>
    <w:p w:rsidR="00266787" w:rsidRDefault="00266787">
      <w:pPr>
        <w:pStyle w:val="Notes"/>
        <w:rPr>
          <w:color w:val="000000"/>
        </w:rPr>
      </w:pPr>
    </w:p>
    <w:p w:rsidR="00266787" w:rsidRDefault="00266787">
      <w:pPr>
        <w:rPr>
          <w:color w:val="000000"/>
          <w:sz w:val="20"/>
          <w:szCs w:val="20"/>
        </w:rPr>
      </w:pPr>
    </w:p>
    <w:p w:rsidR="00266787" w:rsidRDefault="00266787">
      <w:pPr>
        <w:rPr>
          <w:color w:val="000000"/>
          <w:sz w:val="20"/>
          <w:szCs w:val="20"/>
        </w:rPr>
      </w:pPr>
    </w:p>
    <w:p w:rsidR="00266787" w:rsidRDefault="00664591">
      <w:pPr>
        <w:pStyle w:val="Heading3"/>
      </w:pPr>
      <w:bookmarkStart w:id="21" w:name="_Toc2331402"/>
      <w:r>
        <w:t>FN00008609 - Transfer process</w:t>
      </w:r>
      <w:bookmarkEnd w:id="21"/>
    </w:p>
    <w:p w:rsidR="00266787" w:rsidRDefault="00664591">
      <w:pPr>
        <w:pStyle w:val="Notes"/>
        <w:rPr>
          <w:color w:val="000000"/>
        </w:rPr>
      </w:pPr>
      <w:r>
        <w:rPr>
          <w:color w:val="2F2F2F"/>
        </w:rPr>
        <w:t xml:space="preserve">The protocol supports the batch transfer of cash collateral balances between a feed </w:t>
      </w:r>
      <w:r>
        <w:rPr>
          <w:color w:val="2F2F2F"/>
          <w:u w:val="single"/>
        </w:rPr>
        <w:t>Provider</w:t>
      </w:r>
      <w:r>
        <w:rPr>
          <w:color w:val="2F2F2F"/>
        </w:rPr>
        <w:t xml:space="preserve">, the </w:t>
      </w:r>
      <w:proofErr w:type="spellStart"/>
      <w:r>
        <w:rPr>
          <w:color w:val="2F2F2F"/>
          <w:u w:val="single"/>
        </w:rPr>
        <w:t>OeKB</w:t>
      </w:r>
      <w:proofErr w:type="spellEnd"/>
      <w:r>
        <w:rPr>
          <w:color w:val="2F2F2F"/>
        </w:rPr>
        <w:t xml:space="preserve">, and a feed </w:t>
      </w:r>
      <w:r>
        <w:rPr>
          <w:color w:val="2F2F2F"/>
          <w:u w:val="single"/>
        </w:rPr>
        <w:t>Consumer</w:t>
      </w:r>
      <w:r>
        <w:rPr>
          <w:color w:val="2F2F2F"/>
        </w:rPr>
        <w:t xml:space="preserve">, the </w:t>
      </w:r>
      <w:r>
        <w:rPr>
          <w:color w:val="2F2F2F"/>
          <w:u w:val="single"/>
        </w:rPr>
        <w:t>CCP (Clearing System)</w:t>
      </w:r>
      <w:r>
        <w:rPr>
          <w:color w:val="2F2F2F"/>
        </w:rPr>
        <w:t xml:space="preserve">. The Cash Collateral file, located in the Provider node, is transferred to the Consumer node through the SFTP protocol. The diagram represents the process steps with a specific focus on the interactions among Business Actors.  </w:t>
      </w:r>
    </w:p>
    <w:p w:rsidR="00266787" w:rsidRDefault="00266787">
      <w:pPr>
        <w:pStyle w:val="Notes"/>
        <w:rPr>
          <w:color w:val="000000"/>
        </w:rPr>
      </w:pPr>
    </w:p>
    <w:p w:rsidR="00266787" w:rsidRDefault="00266787">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266787">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266787" w:rsidRDefault="00664591">
            <w:pPr>
              <w:pStyle w:val="TableHeadingLight"/>
              <w:jc w:val="center"/>
            </w:pPr>
            <w:r>
              <w:t>1:Cash Collateral  Transfer process</w:t>
            </w:r>
          </w:p>
          <w:p w:rsidR="00266787" w:rsidRDefault="00725393">
            <w:pPr>
              <w:rPr>
                <w:color w:val="000000"/>
                <w:sz w:val="20"/>
                <w:szCs w:val="20"/>
              </w:rPr>
            </w:pPr>
            <w:r>
              <w:rPr>
                <w:noProof/>
              </w:rPr>
              <w:drawing>
                <wp:inline distT="0" distB="0" distL="0" distR="0" wp14:anchorId="0EBE63C1" wp14:editId="39058ECC">
                  <wp:extent cx="4087495" cy="3555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495" cy="3555365"/>
                          </a:xfrm>
                          <a:prstGeom prst="rect">
                            <a:avLst/>
                          </a:prstGeom>
                          <a:noFill/>
                          <a:ln>
                            <a:noFill/>
                          </a:ln>
                        </pic:spPr>
                      </pic:pic>
                    </a:graphicData>
                  </a:graphic>
                </wp:inline>
              </w:drawing>
            </w:r>
          </w:p>
        </w:tc>
      </w:tr>
      <w:tr w:rsidR="00266787">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266787" w:rsidRDefault="00664591">
            <w:pPr>
              <w:pStyle w:val="TableHeadingLight"/>
              <w:jc w:val="center"/>
            </w:pPr>
            <w:r>
              <w:t>Diagram details</w:t>
            </w:r>
          </w:p>
        </w:tc>
      </w:tr>
      <w:tr w:rsidR="00266787">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pPr>
            <w:r>
              <w:t>1.0 - Cash Collateral File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rPr>
                <w:color w:val="000000"/>
              </w:rPr>
            </w:pPr>
            <w:r>
              <w:rPr>
                <w:color w:val="000000"/>
              </w:rPr>
              <w:t>The information exchange is initiated by the Provider that, acting as SFTP Client, puts it in a remote directory located in the Consumer node.</w:t>
            </w:r>
          </w:p>
          <w:p w:rsidR="00266787" w:rsidRDefault="00266787">
            <w:pPr>
              <w:pStyle w:val="TableTextLight"/>
            </w:pPr>
          </w:p>
        </w:tc>
      </w:tr>
      <w:tr w:rsidR="00266787">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rsidP="00725393">
            <w:pPr>
              <w:pStyle w:val="TableTextLight"/>
            </w:pPr>
            <w:r>
              <w:t xml:space="preserve">1.1 - MD5 </w:t>
            </w:r>
            <w:r w:rsidR="00725393">
              <w:t>Cash Collateral File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rPr>
                <w:color w:val="000000"/>
              </w:rPr>
            </w:pPr>
            <w:r>
              <w:rPr>
                <w:color w:val="000000"/>
              </w:rPr>
              <w:t>After the Cash Collateral file, the corresponding MD5 file is generated and put in the same directory.</w:t>
            </w:r>
          </w:p>
          <w:p w:rsidR="00266787" w:rsidRDefault="00266787">
            <w:pPr>
              <w:pStyle w:val="TableTextLight"/>
            </w:pPr>
          </w:p>
        </w:tc>
      </w:tr>
      <w:tr w:rsidR="00266787">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pPr>
            <w:r>
              <w:t>1.2 - Processing</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rPr>
                <w:color w:val="000000"/>
              </w:rPr>
            </w:pPr>
            <w:r>
              <w:rPr>
                <w:color w:val="000000"/>
              </w:rPr>
              <w:t>The Consumer monitors (polling) the local directory. The Cash Collateral file is processed when the corresponding MD5 file is detected.</w:t>
            </w:r>
          </w:p>
          <w:p w:rsidR="00266787" w:rsidRDefault="00266787">
            <w:pPr>
              <w:pStyle w:val="TableTextLight"/>
            </w:pPr>
          </w:p>
        </w:tc>
      </w:tr>
      <w:tr w:rsidR="00266787">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pPr>
            <w:r>
              <w:t>1.3 - Archiving</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266787" w:rsidRDefault="00664591">
            <w:pPr>
              <w:pStyle w:val="TableTextLight"/>
              <w:rPr>
                <w:color w:val="000000"/>
              </w:rPr>
            </w:pPr>
            <w:r>
              <w:rPr>
                <w:color w:val="000000"/>
              </w:rPr>
              <w:t>The Consumer moves the processed file and the corresponding MD5 to its internal archive (archiving) where it is safe-kept for further review.</w:t>
            </w:r>
          </w:p>
          <w:p w:rsidR="00266787" w:rsidRDefault="00266787">
            <w:pPr>
              <w:pStyle w:val="TableTextLight"/>
            </w:pPr>
          </w:p>
        </w:tc>
      </w:tr>
    </w:tbl>
    <w:p w:rsidR="00266787" w:rsidRDefault="00266787">
      <w:pPr>
        <w:rPr>
          <w:color w:val="000000"/>
          <w:sz w:val="20"/>
          <w:szCs w:val="20"/>
        </w:rPr>
      </w:pPr>
    </w:p>
    <w:p w:rsidR="00266787" w:rsidRDefault="00664591">
      <w:pPr>
        <w:pStyle w:val="Heading3"/>
      </w:pPr>
      <w:bookmarkStart w:id="22" w:name="_Toc2331403"/>
      <w:r>
        <w:t>FN00008605 - Transfer frequency</w:t>
      </w:r>
      <w:bookmarkEnd w:id="22"/>
    </w:p>
    <w:p w:rsidR="00266787" w:rsidRDefault="00266787">
      <w:pPr>
        <w:pStyle w:val="Notes"/>
        <w:rPr>
          <w:color w:val="000000"/>
        </w:rPr>
      </w:pPr>
    </w:p>
    <w:p w:rsidR="00266787" w:rsidRDefault="00664591">
      <w:pPr>
        <w:pStyle w:val="Notes"/>
        <w:numPr>
          <w:ilvl w:val="0"/>
          <w:numId w:val="3"/>
        </w:numPr>
        <w:ind w:left="360" w:hanging="360"/>
        <w:rPr>
          <w:color w:val="000000"/>
        </w:rPr>
      </w:pPr>
      <w:r>
        <w:rPr>
          <w:color w:val="000000"/>
        </w:rPr>
        <w:t>While the daily schedule include 5 file deliveries per day the protocol supports the possibility to process a variable number of files.</w:t>
      </w:r>
    </w:p>
    <w:p w:rsidR="00266787" w:rsidRDefault="00664591">
      <w:pPr>
        <w:pStyle w:val="Notes"/>
        <w:numPr>
          <w:ilvl w:val="0"/>
          <w:numId w:val="3"/>
        </w:numPr>
        <w:ind w:left="360" w:hanging="360"/>
        <w:rPr>
          <w:color w:val="000000"/>
        </w:rPr>
      </w:pPr>
      <w:r>
        <w:rPr>
          <w:color w:val="000000"/>
        </w:rPr>
        <w:t xml:space="preserve">There should be a minimum of 30 mins delay between deliveries. </w:t>
      </w:r>
    </w:p>
    <w:p w:rsidR="00266787" w:rsidRDefault="00664591" w:rsidP="00664591">
      <w:pPr>
        <w:pStyle w:val="Notes"/>
        <w:rPr>
          <w:color w:val="000000"/>
        </w:rPr>
      </w:pPr>
      <w:r>
        <w:rPr>
          <w:color w:val="000000"/>
        </w:rPr>
        <w:t xml:space="preserve"> </w:t>
      </w:r>
      <w:bookmarkEnd w:id="7"/>
    </w:p>
    <w:p w:rsidR="00266787" w:rsidRDefault="00266787">
      <w:pPr>
        <w:rPr>
          <w:color w:val="000000"/>
          <w:sz w:val="20"/>
          <w:szCs w:val="20"/>
        </w:rPr>
      </w:pPr>
    </w:p>
    <w:p w:rsidR="00266787" w:rsidRDefault="00664591">
      <w:pPr>
        <w:pStyle w:val="Heading3"/>
      </w:pPr>
      <w:bookmarkStart w:id="23" w:name="_Toc2331404"/>
      <w:r>
        <w:t>FN00008610 - File naming convention</w:t>
      </w:r>
      <w:bookmarkEnd w:id="23"/>
    </w:p>
    <w:p w:rsidR="00266787" w:rsidRDefault="00664591">
      <w:pPr>
        <w:pStyle w:val="Notes"/>
        <w:rPr>
          <w:color w:val="000000"/>
        </w:rPr>
      </w:pPr>
      <w:r>
        <w:rPr>
          <w:color w:val="000000"/>
        </w:rPr>
        <w:t xml:space="preserve">The filename pattern is described by the following schema: “XXXYYMMDD_HHMMSS.txt” where: </w:t>
      </w:r>
    </w:p>
    <w:p w:rsidR="00266787" w:rsidRDefault="00266787">
      <w:pPr>
        <w:pStyle w:val="Notes"/>
        <w:rPr>
          <w:color w:val="000000"/>
        </w:rPr>
      </w:pPr>
    </w:p>
    <w:p w:rsidR="00266787" w:rsidRDefault="00664591">
      <w:pPr>
        <w:pStyle w:val="Notes"/>
        <w:numPr>
          <w:ilvl w:val="0"/>
          <w:numId w:val="4"/>
        </w:numPr>
        <w:ind w:left="360" w:hanging="360"/>
        <w:rPr>
          <w:color w:val="000000"/>
        </w:rPr>
      </w:pPr>
      <w:r>
        <w:rPr>
          <w:color w:val="000000"/>
        </w:rPr>
        <w:t>XXX is the fixed prefix “CSH"</w:t>
      </w:r>
    </w:p>
    <w:p w:rsidR="00266787" w:rsidRDefault="00664591">
      <w:pPr>
        <w:pStyle w:val="Notes"/>
        <w:numPr>
          <w:ilvl w:val="0"/>
          <w:numId w:val="4"/>
        </w:numPr>
        <w:ind w:left="360" w:hanging="360"/>
        <w:rPr>
          <w:color w:val="000000"/>
        </w:rPr>
      </w:pPr>
      <w:r>
        <w:rPr>
          <w:color w:val="000000"/>
        </w:rPr>
        <w:t>YYMMDD is the file generation date</w:t>
      </w:r>
    </w:p>
    <w:p w:rsidR="00266787" w:rsidRDefault="00664591">
      <w:pPr>
        <w:pStyle w:val="Notes"/>
        <w:numPr>
          <w:ilvl w:val="0"/>
          <w:numId w:val="4"/>
        </w:numPr>
        <w:ind w:left="360" w:hanging="360"/>
        <w:rPr>
          <w:color w:val="000000"/>
        </w:rPr>
      </w:pPr>
      <w:r>
        <w:rPr>
          <w:color w:val="000000"/>
        </w:rPr>
        <w:t>HHMMSS is the file generation time</w:t>
      </w:r>
    </w:p>
    <w:p w:rsidR="00266787" w:rsidRDefault="00266787">
      <w:pPr>
        <w:pStyle w:val="Notes"/>
        <w:rPr>
          <w:color w:val="000000"/>
        </w:rPr>
      </w:pPr>
    </w:p>
    <w:p w:rsidR="00664591" w:rsidRDefault="00664591" w:rsidP="00664591">
      <w:pPr>
        <w:pStyle w:val="Notes"/>
        <w:rPr>
          <w:color w:val="000000"/>
          <w:u w:val="single"/>
        </w:rPr>
      </w:pPr>
      <w:r>
        <w:rPr>
          <w:color w:val="000000"/>
          <w:u w:val="single"/>
        </w:rPr>
        <w:t>Example</w:t>
      </w:r>
    </w:p>
    <w:p w:rsidR="00664591" w:rsidRPr="00664591" w:rsidRDefault="00664591" w:rsidP="00664591"/>
    <w:p w:rsidR="00266787" w:rsidRDefault="00664591">
      <w:pPr>
        <w:pStyle w:val="Notes"/>
        <w:rPr>
          <w:color w:val="000000"/>
        </w:rPr>
      </w:pPr>
      <w:r>
        <w:rPr>
          <w:color w:val="000000"/>
        </w:rPr>
        <w:t>“CSH180410_093639.txt”</w:t>
      </w:r>
    </w:p>
    <w:p w:rsidR="00266787" w:rsidRDefault="00266787">
      <w:pPr>
        <w:pStyle w:val="Notes"/>
        <w:rPr>
          <w:color w:val="000000"/>
        </w:rPr>
      </w:pPr>
    </w:p>
    <w:p w:rsidR="00266787" w:rsidRDefault="00664591">
      <w:pPr>
        <w:pStyle w:val="Notes"/>
        <w:rPr>
          <w:color w:val="000000"/>
        </w:rPr>
      </w:pPr>
      <w:r>
        <w:rPr>
          <w:color w:val="000000"/>
        </w:rPr>
        <w:t>The MD5 file has the same file name with the extension “md5” (and not "txt") (E.g. "CSH180410_093639.</w:t>
      </w:r>
      <w:r w:rsidR="00203CB0">
        <w:rPr>
          <w:color w:val="000000"/>
        </w:rPr>
        <w:t>txt.</w:t>
      </w:r>
      <w:r>
        <w:rPr>
          <w:color w:val="000000"/>
        </w:rPr>
        <w:t xml:space="preserve">md5") </w:t>
      </w:r>
    </w:p>
    <w:p w:rsidR="00266787" w:rsidRDefault="00664591">
      <w:pPr>
        <w:pStyle w:val="Notes"/>
        <w:rPr>
          <w:color w:val="000000"/>
        </w:rPr>
      </w:pPr>
      <w:r>
        <w:rPr>
          <w:color w:val="000000"/>
        </w:rPr>
        <w:t xml:space="preserve">   </w:t>
      </w:r>
      <w:bookmarkEnd w:id="8"/>
      <w:bookmarkEnd w:id="5"/>
      <w:bookmarkEnd w:id="6"/>
    </w:p>
    <w:p w:rsidR="00266787" w:rsidRDefault="00266787">
      <w:pPr>
        <w:rPr>
          <w:color w:val="000000"/>
          <w:sz w:val="20"/>
          <w:szCs w:val="20"/>
        </w:rPr>
      </w:pPr>
    </w:p>
    <w:p w:rsidR="00266787" w:rsidRDefault="00664591">
      <w:pPr>
        <w:pStyle w:val="Heading2"/>
      </w:pPr>
      <w:bookmarkStart w:id="24" w:name="_Toc2331405"/>
      <w:r>
        <w:t>File processing</w:t>
      </w:r>
      <w:bookmarkEnd w:id="24"/>
    </w:p>
    <w:p w:rsidR="00266787" w:rsidRDefault="00266787">
      <w:pPr>
        <w:rPr>
          <w:color w:val="000000"/>
          <w:sz w:val="20"/>
          <w:szCs w:val="20"/>
        </w:rPr>
      </w:pPr>
    </w:p>
    <w:p w:rsidR="00266787" w:rsidRDefault="00266787">
      <w:pPr>
        <w:rPr>
          <w:color w:val="000000"/>
          <w:sz w:val="20"/>
          <w:szCs w:val="20"/>
        </w:rPr>
      </w:pPr>
    </w:p>
    <w:p w:rsidR="00266787" w:rsidRDefault="00664591">
      <w:pPr>
        <w:pStyle w:val="Heading3"/>
      </w:pPr>
      <w:bookmarkStart w:id="25" w:name="_Toc2331406"/>
      <w:r>
        <w:t>FN00008614 - File format</w:t>
      </w:r>
      <w:bookmarkEnd w:id="25"/>
    </w:p>
    <w:p w:rsidR="00266787" w:rsidRDefault="00664591">
      <w:pPr>
        <w:pStyle w:val="Notes"/>
        <w:rPr>
          <w:color w:val="000000"/>
        </w:rPr>
      </w:pPr>
      <w:r>
        <w:rPr>
          <w:color w:val="000000"/>
        </w:rPr>
        <w:t>The file content is formatted using a fixed length format and doesn't include any header or footer row.</w:t>
      </w:r>
    </w:p>
    <w:p w:rsidR="00266787" w:rsidRDefault="00664591">
      <w:pPr>
        <w:pStyle w:val="Notes"/>
        <w:rPr>
          <w:color w:val="000000"/>
        </w:rPr>
      </w:pPr>
      <w:r>
        <w:rPr>
          <w:color w:val="000000"/>
        </w:rPr>
        <w:t>Each file contains an account identification code together with its last balance and currency.</w:t>
      </w:r>
    </w:p>
    <w:p w:rsidR="00266787" w:rsidRDefault="00664591">
      <w:pPr>
        <w:pStyle w:val="Notes"/>
        <w:rPr>
          <w:color w:val="000000"/>
        </w:rPr>
      </w:pPr>
      <w:r>
        <w:rPr>
          <w:color w:val="000000"/>
        </w:rPr>
        <w:t>Data fields and respective length are described in the following list:</w:t>
      </w:r>
    </w:p>
    <w:p w:rsidR="00266787" w:rsidRDefault="00266787">
      <w:pPr>
        <w:pStyle w:val="Notes"/>
        <w:rPr>
          <w:color w:val="000000"/>
        </w:rPr>
      </w:pPr>
    </w:p>
    <w:p w:rsidR="00266787" w:rsidRDefault="00266787">
      <w:pPr>
        <w:pStyle w:val="Notes"/>
        <w:rPr>
          <w:color w:val="000000"/>
        </w:rPr>
      </w:pPr>
    </w:p>
    <w:p w:rsidR="00266787" w:rsidRDefault="00664591">
      <w:pPr>
        <w:pStyle w:val="Notes"/>
        <w:numPr>
          <w:ilvl w:val="0"/>
          <w:numId w:val="5"/>
        </w:numPr>
        <w:ind w:left="360" w:hanging="360"/>
        <w:rPr>
          <w:color w:val="000000"/>
        </w:rPr>
      </w:pPr>
      <w:r>
        <w:rPr>
          <w:color w:val="000000"/>
        </w:rPr>
        <w:t xml:space="preserve">“Account number”    </w:t>
      </w:r>
      <w:proofErr w:type="spellStart"/>
      <w:r>
        <w:rPr>
          <w:color w:val="000000"/>
        </w:rPr>
        <w:t>Alphanum</w:t>
      </w:r>
      <w:proofErr w:type="spellEnd"/>
      <w:r>
        <w:rPr>
          <w:color w:val="000000"/>
        </w:rPr>
        <w:t>(19)    11-digit bank account number with leading zeros</w:t>
      </w:r>
    </w:p>
    <w:p w:rsidR="00266787" w:rsidRDefault="00664591">
      <w:pPr>
        <w:pStyle w:val="Notes"/>
        <w:numPr>
          <w:ilvl w:val="0"/>
          <w:numId w:val="5"/>
        </w:numPr>
        <w:ind w:left="360" w:hanging="360"/>
        <w:rPr>
          <w:color w:val="000000"/>
        </w:rPr>
      </w:pPr>
      <w:r>
        <w:rPr>
          <w:color w:val="000000"/>
        </w:rPr>
        <w:t>“Value“   Numeric(15, 2)    Balance total amount expressed with 15 digits with 2 decimal positions</w:t>
      </w:r>
    </w:p>
    <w:p w:rsidR="00266787" w:rsidRDefault="00664591">
      <w:pPr>
        <w:pStyle w:val="Notes"/>
        <w:numPr>
          <w:ilvl w:val="0"/>
          <w:numId w:val="5"/>
        </w:numPr>
        <w:ind w:left="360" w:hanging="360"/>
        <w:rPr>
          <w:color w:val="000000"/>
        </w:rPr>
      </w:pPr>
      <w:r>
        <w:rPr>
          <w:color w:val="000000"/>
        </w:rPr>
        <w:t>“Date”   Integer(8)    Balance date with YYYYMMDD format</w:t>
      </w:r>
    </w:p>
    <w:p w:rsidR="00266787" w:rsidRDefault="00664591">
      <w:pPr>
        <w:pStyle w:val="Notes"/>
        <w:numPr>
          <w:ilvl w:val="0"/>
          <w:numId w:val="5"/>
        </w:numPr>
        <w:ind w:left="360" w:hanging="360"/>
        <w:rPr>
          <w:color w:val="000000"/>
        </w:rPr>
      </w:pPr>
      <w:r>
        <w:rPr>
          <w:color w:val="000000"/>
        </w:rPr>
        <w:t xml:space="preserve">“Currency”    </w:t>
      </w:r>
      <w:proofErr w:type="spellStart"/>
      <w:r>
        <w:rPr>
          <w:color w:val="000000"/>
        </w:rPr>
        <w:t>Alphanum</w:t>
      </w:r>
      <w:proofErr w:type="spellEnd"/>
      <w:r>
        <w:rPr>
          <w:color w:val="000000"/>
        </w:rPr>
        <w:t>(3)    Three character ISO Currency Code</w:t>
      </w:r>
    </w:p>
    <w:p w:rsidR="00266787" w:rsidRDefault="00266787">
      <w:pPr>
        <w:pStyle w:val="Notes"/>
        <w:rPr>
          <w:color w:val="000000"/>
        </w:rPr>
      </w:pPr>
    </w:p>
    <w:p w:rsidR="00266787" w:rsidRDefault="00266787">
      <w:pPr>
        <w:pStyle w:val="Notes"/>
        <w:rPr>
          <w:color w:val="000000"/>
        </w:rPr>
      </w:pPr>
    </w:p>
    <w:p w:rsidR="00266787" w:rsidRDefault="00664591">
      <w:pPr>
        <w:pStyle w:val="Notes"/>
        <w:rPr>
          <w:color w:val="000000"/>
        </w:rPr>
      </w:pPr>
      <w:r>
        <w:rPr>
          <w:color w:val="000000"/>
          <w:u w:val="single"/>
        </w:rPr>
        <w:t>Example</w:t>
      </w:r>
    </w:p>
    <w:p w:rsidR="00266787" w:rsidRDefault="00664591">
      <w:pPr>
        <w:pStyle w:val="Notes"/>
        <w:rPr>
          <w:color w:val="000000"/>
        </w:rPr>
      </w:pPr>
      <w:r>
        <w:rPr>
          <w:color w:val="000000"/>
        </w:rPr>
        <w:t>"000000002110893200200000000000000020180410EUR"</w:t>
      </w:r>
    </w:p>
    <w:p w:rsidR="00266787" w:rsidRDefault="00664591">
      <w:pPr>
        <w:pStyle w:val="Notes"/>
        <w:rPr>
          <w:color w:val="000000"/>
        </w:rPr>
      </w:pPr>
      <w:r>
        <w:rPr>
          <w:color w:val="000000"/>
        </w:rPr>
        <w:t>"000000002110134820400000000000000020180410EUR"</w:t>
      </w:r>
    </w:p>
    <w:p w:rsidR="00266787" w:rsidRDefault="00664591">
      <w:pPr>
        <w:pStyle w:val="Notes"/>
        <w:rPr>
          <w:color w:val="000000"/>
        </w:rPr>
      </w:pPr>
      <w:r>
        <w:rPr>
          <w:color w:val="000000"/>
        </w:rPr>
        <w:t>"000000002110192200200000000143482320180410EUR"</w:t>
      </w:r>
    </w:p>
    <w:p w:rsidR="00266787" w:rsidRDefault="00664591">
      <w:pPr>
        <w:pStyle w:val="Notes"/>
        <w:rPr>
          <w:color w:val="000000"/>
        </w:rPr>
      </w:pPr>
      <w:r>
        <w:rPr>
          <w:color w:val="000000"/>
        </w:rPr>
        <w:t xml:space="preserve">"000000002110520001400000000000000020180410EUR" </w:t>
      </w:r>
    </w:p>
    <w:p w:rsidR="00266787" w:rsidRDefault="00664591">
      <w:pPr>
        <w:pStyle w:val="Notes"/>
        <w:rPr>
          <w:color w:val="000000"/>
        </w:rPr>
      </w:pPr>
      <w:r>
        <w:rPr>
          <w:color w:val="000000"/>
        </w:rPr>
        <w:t xml:space="preserve"> </w:t>
      </w:r>
      <w:bookmarkEnd w:id="9"/>
    </w:p>
    <w:p w:rsidR="00266787" w:rsidRDefault="00266787">
      <w:pPr>
        <w:rPr>
          <w:color w:val="000000"/>
          <w:sz w:val="20"/>
          <w:szCs w:val="20"/>
        </w:rPr>
      </w:pPr>
    </w:p>
    <w:p w:rsidR="00266787" w:rsidRDefault="00266787">
      <w:pPr>
        <w:rPr>
          <w:color w:val="000000"/>
          <w:sz w:val="20"/>
          <w:szCs w:val="20"/>
        </w:rPr>
      </w:pPr>
    </w:p>
    <w:p w:rsidR="00266787" w:rsidRDefault="00664591">
      <w:pPr>
        <w:pStyle w:val="Heading3"/>
      </w:pPr>
      <w:bookmarkStart w:id="26" w:name="_Toc2331407"/>
      <w:r>
        <w:t>FN00008618 - Record filtering</w:t>
      </w:r>
      <w:bookmarkEnd w:id="26"/>
    </w:p>
    <w:p w:rsidR="00266787" w:rsidRDefault="00664591">
      <w:pPr>
        <w:pStyle w:val="Notes"/>
        <w:rPr>
          <w:color w:val="000000"/>
        </w:rPr>
      </w:pPr>
      <w:r>
        <w:rPr>
          <w:color w:val="000000"/>
        </w:rPr>
        <w:t xml:space="preserve">Records containing an account identification code that is not registered in the system are rejected generating an alert. </w:t>
      </w:r>
    </w:p>
    <w:p w:rsidR="00266787" w:rsidRDefault="00664591">
      <w:pPr>
        <w:pStyle w:val="Notes"/>
        <w:rPr>
          <w:color w:val="000000"/>
        </w:rPr>
      </w:pPr>
      <w:r>
        <w:rPr>
          <w:color w:val="000000"/>
        </w:rPr>
        <w:t xml:space="preserve"> </w:t>
      </w:r>
      <w:bookmarkEnd w:id="12"/>
    </w:p>
    <w:p w:rsidR="00266787" w:rsidRDefault="00266787">
      <w:pPr>
        <w:rPr>
          <w:color w:val="000000"/>
          <w:sz w:val="20"/>
          <w:szCs w:val="20"/>
        </w:rPr>
      </w:pPr>
    </w:p>
    <w:p w:rsidR="00266787" w:rsidRDefault="00664591">
      <w:pPr>
        <w:pStyle w:val="Heading3"/>
      </w:pPr>
      <w:bookmarkStart w:id="27" w:name="_Toc2331408"/>
      <w:r>
        <w:t>FN00008615 - Record uniqueness check</w:t>
      </w:r>
      <w:bookmarkEnd w:id="27"/>
    </w:p>
    <w:p w:rsidR="00266787" w:rsidRDefault="00664591" w:rsidP="00664591">
      <w:pPr>
        <w:pStyle w:val="Notes"/>
        <w:rPr>
          <w:color w:val="000000"/>
        </w:rPr>
      </w:pPr>
      <w:r>
        <w:rPr>
          <w:color w:val="000000"/>
        </w:rPr>
        <w:t xml:space="preserve">The field “Account number” is unique; in case multiple occurrences are detected, the last one is rejected and an alert is generated for further dissemination. </w:t>
      </w:r>
      <w:bookmarkEnd w:id="13"/>
    </w:p>
    <w:p w:rsidR="00664591" w:rsidRPr="00664591" w:rsidRDefault="00664591" w:rsidP="00664591"/>
    <w:p w:rsidR="00266787" w:rsidRDefault="00664591">
      <w:pPr>
        <w:pStyle w:val="Heading3"/>
      </w:pPr>
      <w:bookmarkStart w:id="28" w:name="_Toc2331409"/>
      <w:r>
        <w:t>FN00008613 - File validation</w:t>
      </w:r>
      <w:bookmarkEnd w:id="28"/>
    </w:p>
    <w:p w:rsidR="00266787" w:rsidRDefault="00266787">
      <w:pPr>
        <w:pStyle w:val="Notes"/>
        <w:rPr>
          <w:color w:val="000000"/>
        </w:rPr>
      </w:pPr>
    </w:p>
    <w:p w:rsidR="00266787" w:rsidRDefault="00664591">
      <w:pPr>
        <w:pStyle w:val="Notes"/>
        <w:numPr>
          <w:ilvl w:val="0"/>
          <w:numId w:val="6"/>
        </w:numPr>
        <w:ind w:left="360" w:hanging="360"/>
        <w:rPr>
          <w:color w:val="000000"/>
        </w:rPr>
      </w:pPr>
      <w:r>
        <w:rPr>
          <w:color w:val="000000"/>
        </w:rPr>
        <w:t xml:space="preserve">The Consumer performs the MD5 validation check on the received file. </w:t>
      </w:r>
      <w:r>
        <w:rPr>
          <w:color w:val="000000"/>
        </w:rPr>
        <w:br/>
        <w:t>In case of validation error an alert is generated for further dissemination.</w:t>
      </w:r>
    </w:p>
    <w:p w:rsidR="00266787" w:rsidRDefault="00664591">
      <w:pPr>
        <w:pStyle w:val="Notes"/>
        <w:numPr>
          <w:ilvl w:val="0"/>
          <w:numId w:val="6"/>
        </w:numPr>
        <w:ind w:left="360" w:hanging="360"/>
        <w:rPr>
          <w:color w:val="000000"/>
        </w:rPr>
      </w:pPr>
      <w:r>
        <w:rPr>
          <w:color w:val="000000"/>
        </w:rPr>
        <w:lastRenderedPageBreak/>
        <w:t xml:space="preserve">The Consumer performs data type validation checks on the received record fields. </w:t>
      </w:r>
      <w:r>
        <w:rPr>
          <w:color w:val="000000"/>
        </w:rPr>
        <w:br/>
        <w:t>In case of validation errors in the processing phase, an error report is generated by the Consumer and made available in a local directory for further dissemination.</w:t>
      </w:r>
      <w:r>
        <w:rPr>
          <w:color w:val="000000"/>
        </w:rPr>
        <w:br/>
        <w:t xml:space="preserve">The report shall contain, for each row, the discarded record and the specific error code which generated the rejection. </w:t>
      </w:r>
    </w:p>
    <w:p w:rsidR="00266787" w:rsidRDefault="00664591">
      <w:pPr>
        <w:pStyle w:val="Notes"/>
        <w:rPr>
          <w:color w:val="000000"/>
        </w:rPr>
      </w:pPr>
      <w:r>
        <w:rPr>
          <w:color w:val="000000"/>
        </w:rPr>
        <w:t xml:space="preserve">   </w:t>
      </w:r>
      <w:bookmarkEnd w:id="14"/>
      <w:bookmarkEnd w:id="10"/>
      <w:bookmarkEnd w:id="11"/>
    </w:p>
    <w:p w:rsidR="00266787" w:rsidRDefault="00266787">
      <w:pPr>
        <w:rPr>
          <w:color w:val="000000"/>
          <w:sz w:val="20"/>
          <w:szCs w:val="20"/>
        </w:rPr>
      </w:pPr>
    </w:p>
    <w:p w:rsidR="00266787" w:rsidRDefault="00664591">
      <w:pPr>
        <w:pStyle w:val="Heading2"/>
      </w:pPr>
      <w:bookmarkStart w:id="29" w:name="_Toc2331410"/>
      <w:r>
        <w:t>Contingency solution</w:t>
      </w:r>
      <w:bookmarkEnd w:id="29"/>
    </w:p>
    <w:p w:rsidR="00266787" w:rsidRDefault="00266787">
      <w:pPr>
        <w:pStyle w:val="Notes"/>
        <w:rPr>
          <w:color w:val="000000"/>
        </w:rPr>
      </w:pPr>
    </w:p>
    <w:p w:rsidR="00266787" w:rsidRDefault="00266787">
      <w:pPr>
        <w:rPr>
          <w:color w:val="000000"/>
          <w:sz w:val="20"/>
          <w:szCs w:val="20"/>
        </w:rPr>
      </w:pPr>
    </w:p>
    <w:p w:rsidR="00266787" w:rsidRDefault="00266787">
      <w:pPr>
        <w:rPr>
          <w:color w:val="000000"/>
          <w:sz w:val="20"/>
          <w:szCs w:val="20"/>
        </w:rPr>
      </w:pPr>
    </w:p>
    <w:p w:rsidR="00266787" w:rsidRDefault="00664591">
      <w:pPr>
        <w:pStyle w:val="Heading3"/>
      </w:pPr>
      <w:bookmarkStart w:id="30" w:name="_Toc2331411"/>
      <w:r>
        <w:t>FN00008619 – Manual amendments</w:t>
      </w:r>
      <w:bookmarkEnd w:id="30"/>
    </w:p>
    <w:p w:rsidR="00266787" w:rsidRDefault="00664591">
      <w:pPr>
        <w:pStyle w:val="Notes"/>
        <w:rPr>
          <w:color w:val="000000"/>
        </w:rPr>
      </w:pPr>
      <w:r>
        <w:rPr>
          <w:color w:val="000000"/>
        </w:rPr>
        <w:t xml:space="preserve">Failures on the Cash Collateral Feed are handled via manual update of the cash account balances via GUI. </w:t>
      </w:r>
    </w:p>
    <w:p w:rsidR="00266787" w:rsidRDefault="00664591">
      <w:pPr>
        <w:pStyle w:val="Notes"/>
        <w:rPr>
          <w:color w:val="000000"/>
        </w:rPr>
      </w:pPr>
      <w:r>
        <w:rPr>
          <w:color w:val="000000"/>
        </w:rPr>
        <w:t xml:space="preserve">     </w:t>
      </w:r>
      <w:bookmarkEnd w:id="15"/>
      <w:bookmarkEnd w:id="16"/>
      <w:bookmarkEnd w:id="17"/>
    </w:p>
    <w:p w:rsidR="00266787" w:rsidRDefault="00266787">
      <w:pPr>
        <w:rPr>
          <w:color w:val="000000"/>
          <w:sz w:val="20"/>
          <w:szCs w:val="20"/>
        </w:rPr>
      </w:pPr>
    </w:p>
    <w:p w:rsidR="00266787" w:rsidRDefault="00266787">
      <w:pPr>
        <w:rPr>
          <w:sz w:val="20"/>
          <w:szCs w:val="20"/>
        </w:rPr>
      </w:pPr>
    </w:p>
    <w:p w:rsidR="00266787" w:rsidRDefault="00266787"/>
    <w:sectPr w:rsidR="00266787">
      <w:headerReference w:type="default" r:id="rId12"/>
      <w:footerReference w:type="default" r:id="rId13"/>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F34" w:rsidRDefault="00664591">
      <w:r>
        <w:separator/>
      </w:r>
    </w:p>
  </w:endnote>
  <w:endnote w:type="continuationSeparator" w:id="0">
    <w:p w:rsidR="006D6F34" w:rsidRDefault="0066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87" w:rsidRDefault="0066459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25393">
      <w:rPr>
        <w:noProof/>
        <w:color w:val="000000"/>
        <w:sz w:val="20"/>
        <w:szCs w:val="20"/>
      </w:rPr>
      <w:t>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25393">
      <w:rPr>
        <w:noProof/>
        <w:color w:val="000000"/>
        <w:sz w:val="20"/>
        <w:szCs w:val="20"/>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87" w:rsidRDefault="00664591">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25393">
      <w:rPr>
        <w:noProof/>
        <w:color w:val="000000"/>
        <w:sz w:val="20"/>
        <w:szCs w:val="20"/>
      </w:rPr>
      <w:t>6</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25393">
      <w:rPr>
        <w:noProof/>
        <w:color w:val="000000"/>
        <w:sz w:val="20"/>
        <w:szCs w:val="20"/>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F34" w:rsidRDefault="00664591">
      <w:r>
        <w:separator/>
      </w:r>
    </w:p>
  </w:footnote>
  <w:footnote w:type="continuationSeparator" w:id="0">
    <w:p w:rsidR="006D6F34" w:rsidRDefault="00664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87" w:rsidRDefault="00664591">
    <w:pPr>
      <w:rPr>
        <w:sz w:val="20"/>
        <w:szCs w:val="20"/>
      </w:rPr>
    </w:pP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87" w:rsidRDefault="00664591">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E56457E"/>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0000034"/>
    <w:multiLevelType w:val="multilevel"/>
    <w:tmpl w:val="3DEAA5BA"/>
    <w:name w:val="List150176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56C3011"/>
    <w:multiLevelType w:val="multilevel"/>
    <w:tmpl w:val="57524E1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56C311A"/>
    <w:multiLevelType w:val="multilevel"/>
    <w:tmpl w:val="3230B84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56C32CF"/>
    <w:multiLevelType w:val="multilevel"/>
    <w:tmpl w:val="F6D86C7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56C35DB"/>
    <w:multiLevelType w:val="multilevel"/>
    <w:tmpl w:val="9BA48BB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ABCDEF1"/>
    <w:multiLevelType w:val="singleLevel"/>
    <w:tmpl w:val="BD98E526"/>
    <w:name w:val="TerOld1"/>
    <w:lvl w:ilvl="0">
      <w:numFmt w:val="decimal"/>
      <w:lvlText w:val="%1"/>
      <w:lvlJc w:val="left"/>
    </w:lvl>
  </w:abstractNum>
  <w:abstractNum w:abstractNumId="7">
    <w:nsid w:val="0ABCDEF2"/>
    <w:multiLevelType w:val="singleLevel"/>
    <w:tmpl w:val="80827A6E"/>
    <w:name w:val="TerOld2"/>
    <w:lvl w:ilvl="0">
      <w:numFmt w:val="decimal"/>
      <w:lvlText w:val="%1"/>
      <w:lvlJc w:val="left"/>
    </w:lvl>
  </w:abstractNum>
  <w:abstractNum w:abstractNumId="8">
    <w:nsid w:val="0ABCDEF3"/>
    <w:multiLevelType w:val="singleLevel"/>
    <w:tmpl w:val="41084774"/>
    <w:name w:val="TerOld3"/>
    <w:lvl w:ilvl="0">
      <w:numFmt w:val="decimal"/>
      <w:lvlText w:val="%1"/>
      <w:lvlJc w:val="left"/>
    </w:lvl>
  </w:abstractNum>
  <w:abstractNum w:abstractNumId="9">
    <w:nsid w:val="0ABCDEF4"/>
    <w:multiLevelType w:val="singleLevel"/>
    <w:tmpl w:val="A44EC61C"/>
    <w:name w:val="TerOld4"/>
    <w:lvl w:ilvl="0">
      <w:numFmt w:val="decimal"/>
      <w:lvlText w:val="%1"/>
      <w:lvlJc w:val="left"/>
    </w:lvl>
  </w:abstractNum>
  <w:abstractNum w:abstractNumId="10">
    <w:nsid w:val="0ABCDEF5"/>
    <w:multiLevelType w:val="singleLevel"/>
    <w:tmpl w:val="9EE2D93C"/>
    <w:name w:val="TerOld5"/>
    <w:lvl w:ilvl="0">
      <w:numFmt w:val="decimal"/>
      <w:lvlText w:val="%1"/>
      <w:lvlJc w:val="left"/>
    </w:lvl>
  </w:abstractNum>
  <w:abstractNum w:abstractNumId="11">
    <w:nsid w:val="0ABCDEF6"/>
    <w:multiLevelType w:val="singleLevel"/>
    <w:tmpl w:val="51BE6650"/>
    <w:name w:val="TerOld6"/>
    <w:lvl w:ilvl="0">
      <w:numFmt w:val="decimal"/>
      <w:lvlText w:val="%1"/>
      <w:lvlJc w:val="left"/>
    </w:lvl>
  </w:abstractNum>
  <w:abstractNum w:abstractNumId="12">
    <w:nsid w:val="0ABCDEF7"/>
    <w:multiLevelType w:val="singleLevel"/>
    <w:tmpl w:val="ABB0FB3A"/>
    <w:name w:val="TerOld7"/>
    <w:lvl w:ilvl="0">
      <w:numFmt w:val="decimal"/>
      <w:lvlText w:val="%1"/>
      <w:lvlJc w:val="left"/>
    </w:lvl>
  </w:abstractNum>
  <w:abstractNum w:abstractNumId="13">
    <w:nsid w:val="0ABCDEF8"/>
    <w:multiLevelType w:val="singleLevel"/>
    <w:tmpl w:val="8662F356"/>
    <w:name w:val="TerOld8"/>
    <w:lvl w:ilvl="0">
      <w:numFmt w:val="decimal"/>
      <w:lvlText w:val="%1"/>
      <w:lvlJc w:val="left"/>
    </w:lvl>
  </w:abstractNum>
  <w:abstractNum w:abstractNumId="14">
    <w:nsid w:val="0ABCDEF9"/>
    <w:multiLevelType w:val="singleLevel"/>
    <w:tmpl w:val="B5F03D34"/>
    <w:name w:val="TerOld9"/>
    <w:lvl w:ilvl="0">
      <w:numFmt w:val="decimal"/>
      <w:lvlText w:val="%1"/>
      <w:lvlJc w:val="left"/>
    </w:lvl>
  </w:abstractNum>
  <w:abstractNum w:abstractNumId="15">
    <w:nsid w:val="29293BC0"/>
    <w:multiLevelType w:val="hybridMultilevel"/>
    <w:tmpl w:val="F0FEEC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pStyle w:val="Heading2"/>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pStyle w:val="Heading5"/>
        <w:lvlText w:val="%1.%2.%3.%4.%5"/>
        <w:lvlJc w:val="left"/>
        <w:rPr>
          <w:rFonts w:ascii="Calibri" w:eastAsia="Calibri" w:hAnsi="Calibri" w:cs="Calibri"/>
          <w:b/>
          <w:color w:val="233E5F"/>
          <w:sz w:val="20"/>
          <w:szCs w:val="20"/>
        </w:rPr>
      </w:lvl>
    </w:lvlOverride>
    <w:lvlOverride w:ilvl="5">
      <w:startOverride w:val="1"/>
      <w:lvl w:ilvl="5">
        <w:start w:val="1"/>
        <w:numFmt w:val="decimal"/>
        <w:pStyle w:val="Heading6"/>
        <w:lvlText w:val="%1.%2.%3.%4.%5.%6"/>
        <w:lvlJc w:val="left"/>
        <w:rPr>
          <w:rFonts w:ascii="Calibri" w:eastAsia="Calibri" w:hAnsi="Calibri" w:cs="Calibri"/>
          <w:b/>
          <w:color w:val="233E5F"/>
          <w:sz w:val="20"/>
          <w:szCs w:val="20"/>
        </w:rPr>
      </w:lvl>
    </w:lvlOverride>
    <w:lvlOverride w:ilvl="6">
      <w:startOverride w:val="1"/>
      <w:lvl w:ilvl="6">
        <w:start w:val="1"/>
        <w:numFmt w:val="decimal"/>
        <w:pStyle w:val="Heading7"/>
        <w:lvlText w:val="%1.%2.%3.%4.%5.%6.%7"/>
        <w:lvlJc w:val="left"/>
        <w:rPr>
          <w:rFonts w:ascii="Calibri" w:eastAsia="Calibri" w:hAnsi="Calibri" w:cs="Calibri"/>
          <w:b/>
          <w:color w:val="3F3F3F"/>
          <w:sz w:val="20"/>
          <w:szCs w:val="20"/>
        </w:rPr>
      </w:lvl>
    </w:lvlOverride>
    <w:lvlOverride w:ilvl="7">
      <w:startOverride w:val="1"/>
      <w:lvl w:ilvl="7">
        <w:start w:val="1"/>
        <w:numFmt w:val="decimal"/>
        <w:pStyle w:val="Heading8"/>
        <w:lvlText w:val="%1.%2.%3.%4.%5.%6.%7.%8"/>
        <w:lvlJc w:val="left"/>
        <w:rPr>
          <w:rFonts w:ascii="Calibri" w:eastAsia="Calibri" w:hAnsi="Calibri" w:cs="Calibri"/>
          <w:b/>
          <w:color w:val="3F3F3F"/>
          <w:sz w:val="20"/>
          <w:szCs w:val="20"/>
        </w:rPr>
      </w:lvl>
    </w:lvlOverride>
    <w:lvlOverride w:ilvl="8">
      <w:startOverride w:val="1"/>
      <w:lvl w:ilvl="8">
        <w:start w:val="1"/>
        <w:numFmt w:val="decimal"/>
        <w:pStyle w:val="Heading9"/>
        <w:lvlText w:val="%1.%2.%3.%4.%5.%6.%7.%8.%9"/>
        <w:lvlJc w:val="left"/>
        <w:rPr>
          <w:rFonts w:ascii="Calibri" w:eastAsia="Calibri" w:hAnsi="Calibri" w:cs="Calibri"/>
          <w:b/>
          <w:color w:val="3F3F3F"/>
          <w:sz w:val="20"/>
          <w:szCs w:val="20"/>
        </w:rPr>
      </w:lvl>
    </w:lvlOverride>
  </w:num>
  <w:num w:numId="2">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öbart Doris">
    <w15:presenceInfo w15:providerId="AD" w15:userId="S-1-5-21-796845957-842925246-854245398-50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revisionView w:markup="0"/>
  <w:trackRevisions/>
  <w:defaultTabStop w:val="720"/>
  <w:hyphenationZone w:val="425"/>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87"/>
    <w:rsid w:val="00203CB0"/>
    <w:rsid w:val="00266787"/>
    <w:rsid w:val="002F06CF"/>
    <w:rsid w:val="00664591"/>
    <w:rsid w:val="006D6F34"/>
    <w:rsid w:val="0072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664591"/>
    <w:rPr>
      <w:rFonts w:ascii="Tahoma" w:hAnsi="Tahoma" w:cs="Tahoma"/>
      <w:sz w:val="16"/>
      <w:szCs w:val="16"/>
    </w:rPr>
  </w:style>
  <w:style w:type="character" w:customStyle="1" w:styleId="BalloonTextChar">
    <w:name w:val="Balloon Text Char"/>
    <w:basedOn w:val="DefaultParagraphFont"/>
    <w:link w:val="BalloonText"/>
    <w:uiPriority w:val="99"/>
    <w:semiHidden/>
    <w:rsid w:val="00664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664591"/>
    <w:rPr>
      <w:rFonts w:ascii="Tahoma" w:hAnsi="Tahoma" w:cs="Tahoma"/>
      <w:sz w:val="16"/>
      <w:szCs w:val="16"/>
    </w:rPr>
  </w:style>
  <w:style w:type="character" w:customStyle="1" w:styleId="BalloonTextChar">
    <w:name w:val="Balloon Text Char"/>
    <w:basedOn w:val="DefaultParagraphFont"/>
    <w:link w:val="BalloonText"/>
    <w:uiPriority w:val="99"/>
    <w:semiHidden/>
    <w:rsid w:val="00664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201C3BA5</Template>
  <TotalTime>6</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London Stock Exchange</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Buffoni, Daniele</dc:creator>
  <cp:lastModifiedBy>Buffoni, Daniele</cp:lastModifiedBy>
  <cp:revision>3</cp:revision>
  <dcterms:created xsi:type="dcterms:W3CDTF">2019-03-01T10:10:00Z</dcterms:created>
  <dcterms:modified xsi:type="dcterms:W3CDTF">2019-03-01T10:16:00Z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