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293736">
        <w:trPr>
          <w:trHeight w:val="7755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:rsidR="00293736" w:rsidRDefault="007F47D0">
            <w:pPr>
              <w:pStyle w:val="CoverHeading1"/>
            </w:pPr>
            <w:r>
              <w:t>Interface Design Specifications</w:t>
            </w:r>
          </w:p>
          <w:p w:rsidR="00293736" w:rsidRDefault="00293736">
            <w:pPr>
              <w:pStyle w:val="CoverHeading2"/>
            </w:pPr>
          </w:p>
          <w:p w:rsidR="00293736" w:rsidRDefault="007F47D0">
            <w:pPr>
              <w:pStyle w:val="CoverHeading2"/>
            </w:pPr>
            <w:r>
              <w:t>Price Feed (</w:t>
            </w:r>
            <w:r w:rsidR="00CA5E47">
              <w:t>IDS</w:t>
            </w:r>
            <w:r>
              <w:t>-PF)</w:t>
            </w:r>
          </w:p>
          <w:p w:rsidR="00293736" w:rsidRDefault="00293736">
            <w:pPr>
              <w:pStyle w:val="CoverText1"/>
            </w:pPr>
          </w:p>
          <w:p w:rsidR="00293736" w:rsidRDefault="007F47D0">
            <w:pPr>
              <w:pStyle w:val="CoverText1"/>
            </w:pPr>
            <w:bookmarkStart w:id="0" w:name="_GoBack"/>
            <w:bookmarkEnd w:id="0"/>
            <w:r>
              <w:t xml:space="preserve">Version  0.3  </w:t>
            </w:r>
            <w:r>
              <w:rPr>
                <w:color w:val="800000"/>
              </w:rPr>
              <w:t>●</w:t>
            </w:r>
            <w:r>
              <w:t xml:space="preserve">  Proposed</w:t>
            </w:r>
          </w:p>
        </w:tc>
      </w:tr>
      <w:tr w:rsidR="00293736">
        <w:trPr>
          <w:trHeight w:val="5786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:rsidR="00293736" w:rsidRDefault="0029373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293736">
              <w:trPr>
                <w:gridAfter w:val="2"/>
                <w:wAfter w:w="6766" w:type="dxa"/>
                <w:trHeight w:val="244"/>
              </w:trPr>
              <w:tc>
                <w:tcPr>
                  <w:tcW w:w="1260" w:type="dxa"/>
                  <w:vMerge w:val="restart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293736" w:rsidRDefault="00293736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293736">
              <w:trPr>
                <w:trHeight w:val="466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293736" w:rsidRDefault="00293736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293736" w:rsidRDefault="007F47D0">
                  <w:pPr>
                    <w:pStyle w:val="CoverText1"/>
                    <w:ind w:left="90"/>
                    <w:jc w:val="left"/>
                  </w:pPr>
                  <w:r>
                    <w:t>Date/Time Generated: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293736" w:rsidRDefault="007F47D0">
                  <w:pPr>
                    <w:pStyle w:val="CoverText1"/>
                  </w:pPr>
                  <w:r>
                    <w:t>28/09/2018 15:45:20</w:t>
                  </w:r>
                </w:p>
              </w:tc>
            </w:tr>
            <w:tr w:rsidR="00293736">
              <w:trPr>
                <w:trHeight w:val="405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293736" w:rsidRDefault="00293736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293736" w:rsidRDefault="007F47D0">
                  <w:pPr>
                    <w:pStyle w:val="CoverText1"/>
                    <w:ind w:left="90"/>
                    <w:jc w:val="left"/>
                  </w:pPr>
                  <w:r>
                    <w:t>Author: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293736" w:rsidRDefault="007F47D0">
                  <w:pPr>
                    <w:pStyle w:val="CoverText1"/>
                  </w:pPr>
                  <w:r>
                    <w:t>CC&amp;G</w:t>
                  </w:r>
                </w:p>
              </w:tc>
            </w:tr>
          </w:tbl>
          <w:p w:rsidR="00293736" w:rsidRDefault="0029373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93736" w:rsidRDefault="00293736">
            <w:pPr>
              <w:pStyle w:val="CoverText2"/>
            </w:pPr>
          </w:p>
        </w:tc>
      </w:tr>
      <w:tr w:rsidR="00293736">
        <w:trPr>
          <w:trHeight w:val="539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3268"/>
            </w:tblGrid>
            <w:tr w:rsidR="00293736">
              <w:tc>
                <w:tcPr>
                  <w:tcW w:w="270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293736" w:rsidRDefault="00293736">
                  <w:pPr>
                    <w:pStyle w:val="CoverText3"/>
                  </w:pPr>
                </w:p>
              </w:tc>
              <w:tc>
                <w:tcPr>
                  <w:tcW w:w="3268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293736" w:rsidRDefault="007F47D0">
                  <w:pPr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05000" cy="51435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93736" w:rsidRDefault="0029373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293736" w:rsidRDefault="00293736">
      <w:pPr>
        <w:rPr>
          <w:rFonts w:ascii="Calibri" w:eastAsia="Calibri" w:hAnsi="Calibri" w:cs="Calibri"/>
          <w:sz w:val="20"/>
          <w:szCs w:val="20"/>
        </w:rPr>
      </w:pPr>
    </w:p>
    <w:p w:rsidR="00293736" w:rsidRDefault="00293736">
      <w:pPr>
        <w:rPr>
          <w:rFonts w:ascii="Calibri" w:eastAsia="Calibri" w:hAnsi="Calibri" w:cs="Calibri"/>
          <w:sz w:val="20"/>
          <w:szCs w:val="20"/>
        </w:rPr>
      </w:pPr>
    </w:p>
    <w:p w:rsidR="00293736" w:rsidRDefault="007F47D0">
      <w:pPr>
        <w:pStyle w:val="TOCHeading"/>
      </w:pPr>
      <w:r>
        <w:t>Table of Contents</w:t>
      </w:r>
    </w:p>
    <w:p w:rsidR="00293736" w:rsidRDefault="00293736">
      <w:pPr>
        <w:rPr>
          <w:rFonts w:ascii="Calibri" w:eastAsia="Calibri" w:hAnsi="Calibri" w:cs="Calibri"/>
          <w:sz w:val="20"/>
          <w:szCs w:val="20"/>
        </w:rPr>
      </w:pPr>
    </w:p>
    <w:p w:rsidR="00293736" w:rsidRDefault="00293736">
      <w:pPr>
        <w:rPr>
          <w:rFonts w:ascii="Calibri" w:eastAsia="Calibri" w:hAnsi="Calibri" w:cs="Calibri"/>
          <w:sz w:val="20"/>
          <w:szCs w:val="20"/>
        </w:rPr>
      </w:pPr>
    </w:p>
    <w:p w:rsidR="00CA5E47" w:rsidRDefault="007F47D0">
      <w:pPr>
        <w:pStyle w:val="TOC1"/>
        <w:tabs>
          <w:tab w:val="left" w:pos="332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>TOC \o "1-9"</w:instrText>
      </w:r>
      <w:r>
        <w:fldChar w:fldCharType="separate"/>
      </w:r>
      <w:r w:rsidR="00CA5E47">
        <w:rPr>
          <w:noProof/>
        </w:rPr>
        <w:t>1</w:t>
      </w:r>
      <w:r w:rsidR="00CA5E47">
        <w:rPr>
          <w:rFonts w:asciiTheme="minorHAnsi" w:eastAsiaTheme="minorEastAsia" w:hAnsiTheme="minorHAnsi" w:cstheme="minorBidi"/>
          <w:b w:val="0"/>
          <w:noProof/>
        </w:rPr>
        <w:tab/>
      </w:r>
      <w:r w:rsidR="00CA5E47">
        <w:rPr>
          <w:noProof/>
        </w:rPr>
        <w:t>Document history</w:t>
      </w:r>
      <w:r w:rsidR="00CA5E47">
        <w:rPr>
          <w:noProof/>
        </w:rPr>
        <w:tab/>
      </w:r>
      <w:r w:rsidR="00CA5E47">
        <w:rPr>
          <w:noProof/>
        </w:rPr>
        <w:fldChar w:fldCharType="begin"/>
      </w:r>
      <w:r w:rsidR="00CA5E47">
        <w:rPr>
          <w:noProof/>
        </w:rPr>
        <w:instrText xml:space="preserve"> PAGEREF _Toc525914285 \h </w:instrText>
      </w:r>
      <w:r w:rsidR="00CA5E47">
        <w:rPr>
          <w:noProof/>
        </w:rPr>
      </w:r>
      <w:r w:rsidR="00CA5E47">
        <w:rPr>
          <w:noProof/>
        </w:rPr>
        <w:fldChar w:fldCharType="separate"/>
      </w:r>
      <w:r w:rsidR="00CA5E47">
        <w:rPr>
          <w:noProof/>
        </w:rPr>
        <w:t>3</w:t>
      </w:r>
      <w:r w:rsidR="00CA5E47">
        <w:rPr>
          <w:noProof/>
        </w:rPr>
        <w:fldChar w:fldCharType="end"/>
      </w:r>
    </w:p>
    <w:p w:rsidR="00CA5E47" w:rsidRDefault="00CA5E47">
      <w:pPr>
        <w:pStyle w:val="TOC1"/>
        <w:tabs>
          <w:tab w:val="left" w:pos="332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noProof/>
        </w:rPr>
        <w:t>Document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A5E47" w:rsidRDefault="00CA5E47">
      <w:pPr>
        <w:pStyle w:val="TOC1"/>
        <w:tabs>
          <w:tab w:val="left" w:pos="332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5E47" w:rsidRDefault="00CA5E47">
      <w:pPr>
        <w:pStyle w:val="TOC1"/>
        <w:tabs>
          <w:tab w:val="left" w:pos="332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5E47" w:rsidRDefault="00CA5E47">
      <w:pPr>
        <w:pStyle w:val="TOC2"/>
        <w:tabs>
          <w:tab w:val="left" w:pos="499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File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5E47" w:rsidRDefault="00CA5E47">
      <w:pPr>
        <w:pStyle w:val="TOC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FN00005830 - Transfer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5E47" w:rsidRDefault="00CA5E47">
      <w:pPr>
        <w:pStyle w:val="TOC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FN00005839 - File naming convention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A5E47" w:rsidRDefault="00CA5E47">
      <w:pPr>
        <w:pStyle w:val="TOC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FN00005832 - Transfer frequency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A5E47" w:rsidRDefault="00CA5E47">
      <w:pPr>
        <w:pStyle w:val="TOC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FN00005835 - Multimarket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A5E47" w:rsidRDefault="00CA5E47">
      <w:pPr>
        <w:pStyle w:val="TOC2"/>
        <w:tabs>
          <w:tab w:val="left" w:pos="499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File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A5E47" w:rsidRDefault="00CA5E47">
      <w:pPr>
        <w:pStyle w:val="TOC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FN00005836 - Accepted file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A5E47" w:rsidRDefault="00CA5E47">
      <w:pPr>
        <w:pStyle w:val="TOC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FN00005837 - Record filtering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A5E47" w:rsidRDefault="00CA5E47">
      <w:pPr>
        <w:pStyle w:val="TOC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FN00005838 - Record uniqueness check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A5E47" w:rsidRDefault="00CA5E47">
      <w:pPr>
        <w:pStyle w:val="TOC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FN00005834 - File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A5E47" w:rsidRDefault="00CA5E47">
      <w:pPr>
        <w:pStyle w:val="TOC2"/>
        <w:tabs>
          <w:tab w:val="left" w:pos="499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Contingency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A5E47" w:rsidRDefault="00CA5E47">
      <w:pPr>
        <w:pStyle w:val="TOC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FN00005842 - Direct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A5E47" w:rsidRDefault="00CA5E47">
      <w:pPr>
        <w:pStyle w:val="TOC3"/>
        <w:tabs>
          <w:tab w:val="left" w:pos="666"/>
          <w:tab w:val="right" w:leader="dot" w:pos="973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4.3.2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FN00005843 - Transfer from workstations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_Toc525914301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3736" w:rsidRDefault="007F47D0">
      <w:pPr>
        <w:pStyle w:val="TOC3"/>
        <w:tabs>
          <w:tab w:val="right" w:leader="dot" w:pos="9645"/>
        </w:tabs>
      </w:pPr>
      <w:r>
        <w:fldChar w:fldCharType="end"/>
      </w:r>
    </w:p>
    <w:p w:rsidR="00293736" w:rsidRDefault="00293736">
      <w:pPr>
        <w:rPr>
          <w:rFonts w:ascii="Calibri" w:eastAsia="Calibri" w:hAnsi="Calibri" w:cs="Calibri"/>
          <w:sz w:val="20"/>
          <w:szCs w:val="20"/>
        </w:rPr>
      </w:pPr>
    </w:p>
    <w:p w:rsidR="00293736" w:rsidRDefault="00293736">
      <w:pPr>
        <w:rPr>
          <w:rFonts w:ascii="Calibri" w:eastAsia="Calibri" w:hAnsi="Calibri" w:cs="Calibri"/>
          <w:sz w:val="20"/>
          <w:szCs w:val="20"/>
        </w:rPr>
        <w:sectPr w:rsidR="00293736">
          <w:pgSz w:w="11902" w:h="16835"/>
          <w:pgMar w:top="1080" w:right="1080" w:bottom="1080" w:left="1080" w:header="720" w:footer="720" w:gutter="0"/>
          <w:cols w:space="720"/>
        </w:sectPr>
      </w:pPr>
    </w:p>
    <w:p w:rsidR="00293736" w:rsidRDefault="007F47D0">
      <w:pPr>
        <w:pStyle w:val="Heading1"/>
      </w:pPr>
      <w:bookmarkStart w:id="1" w:name="_Toc525914285"/>
      <w:r>
        <w:lastRenderedPageBreak/>
        <w:t>Document history</w:t>
      </w:r>
      <w:bookmarkEnd w:id="1"/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following table contains the document revisions, including references to specific comments.</w:t>
      </w:r>
    </w:p>
    <w:p w:rsidR="00293736" w:rsidRDefault="00293736">
      <w:pPr>
        <w:rPr>
          <w:color w:val="000000"/>
          <w:sz w:val="20"/>
          <w:szCs w:val="20"/>
        </w:rPr>
      </w:pP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7830"/>
      </w:tblGrid>
      <w:tr w:rsidR="00293736">
        <w:trPr>
          <w:trHeight w:val="329"/>
          <w:tblHeader/>
        </w:trPr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Heading"/>
            </w:pPr>
            <w:r>
              <w:t>Version</w:t>
            </w:r>
          </w:p>
        </w:tc>
        <w:tc>
          <w:tcPr>
            <w:tcW w:w="783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Heading"/>
            </w:pPr>
            <w:r>
              <w:t>Notes</w:t>
            </w:r>
          </w:p>
        </w:tc>
      </w:tr>
      <w:tr w:rsidR="00293736">
        <w:trPr>
          <w:tblHeader/>
        </w:trPr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bookmarkStart w:id="2" w:name="PRICE_FEED"/>
            <w:r>
              <w:t>V 0.1</w:t>
            </w:r>
          </w:p>
        </w:tc>
        <w:tc>
          <w:tcPr>
            <w:tcW w:w="783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Initial Draft</w:t>
            </w:r>
          </w:p>
          <w:p w:rsidR="00293736" w:rsidRDefault="00293736">
            <w:pPr>
              <w:pStyle w:val="TableTextLight"/>
            </w:pPr>
          </w:p>
        </w:tc>
      </w:tr>
      <w:tr w:rsidR="00293736"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V 0.2</w:t>
            </w:r>
          </w:p>
        </w:tc>
        <w:tc>
          <w:tcPr>
            <w:tcW w:w="783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  <w:numPr>
                <w:ilvl w:val="0"/>
                <w:numId w:val="2"/>
              </w:numPr>
              <w:ind w:left="630" w:hanging="360"/>
            </w:pPr>
            <w:r>
              <w:t>Changed Client-Server roles</w:t>
            </w:r>
          </w:p>
          <w:p w:rsidR="00293736" w:rsidRDefault="007F47D0">
            <w:pPr>
              <w:pStyle w:val="TableTextLight"/>
              <w:numPr>
                <w:ilvl w:val="0"/>
                <w:numId w:val="2"/>
              </w:numPr>
              <w:ind w:left="630" w:hanging="360"/>
            </w:pPr>
            <w:r>
              <w:t>Added ISIN discard rule</w:t>
            </w:r>
          </w:p>
          <w:p w:rsidR="00293736" w:rsidRDefault="007F47D0">
            <w:pPr>
              <w:pStyle w:val="TableTextLight"/>
              <w:numPr>
                <w:ilvl w:val="0"/>
                <w:numId w:val="2"/>
              </w:numPr>
              <w:ind w:left="630" w:hanging="360"/>
            </w:pPr>
            <w:r>
              <w:t>Added MD5 trigger and validation</w:t>
            </w:r>
          </w:p>
          <w:p w:rsidR="00293736" w:rsidRDefault="00293736" w:rsidP="00CA5E47">
            <w:pPr>
              <w:pStyle w:val="TableTextLight"/>
              <w:ind w:left="0"/>
            </w:pPr>
          </w:p>
        </w:tc>
      </w:tr>
      <w:tr w:rsidR="00293736"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V 0.3</w:t>
            </w:r>
          </w:p>
        </w:tc>
        <w:tc>
          <w:tcPr>
            <w:tcW w:w="783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293736">
            <w:pPr>
              <w:pStyle w:val="TableTextLight"/>
              <w:rPr>
                <w:color w:val="000000"/>
              </w:rPr>
            </w:pPr>
          </w:p>
          <w:p w:rsidR="00293736" w:rsidRDefault="007F47D0">
            <w:pPr>
              <w:pStyle w:val="TableTextLight"/>
              <w:numPr>
                <w:ilvl w:val="0"/>
                <w:numId w:val="3"/>
              </w:numPr>
              <w:ind w:left="630" w:hanging="360"/>
            </w:pPr>
            <w:r>
              <w:t>Added RQ4.6: separate file for each trading venue</w:t>
            </w:r>
          </w:p>
          <w:p w:rsidR="00293736" w:rsidRDefault="007F47D0">
            <w:pPr>
              <w:pStyle w:val="TableTextLight"/>
              <w:numPr>
                <w:ilvl w:val="0"/>
                <w:numId w:val="3"/>
              </w:numPr>
              <w:ind w:left="630" w:hanging="360"/>
            </w:pPr>
            <w:r>
              <w:t>Changed RQ4.1: corrected typo on file format</w:t>
            </w:r>
          </w:p>
          <w:p w:rsidR="00293736" w:rsidRDefault="007F47D0">
            <w:pPr>
              <w:pStyle w:val="TableTextLight"/>
              <w:numPr>
                <w:ilvl w:val="0"/>
                <w:numId w:val="3"/>
              </w:numPr>
              <w:ind w:left="630" w:hanging="360"/>
            </w:pPr>
            <w:r>
              <w:t>Added 6: Backup solution</w:t>
            </w:r>
          </w:p>
          <w:p w:rsidR="00293736" w:rsidRDefault="00293736">
            <w:pPr>
              <w:pStyle w:val="TableTextLight"/>
            </w:pPr>
          </w:p>
        </w:tc>
      </w:tr>
    </w:tbl>
    <w:p w:rsidR="00293736" w:rsidRDefault="00293736">
      <w:pPr>
        <w:rPr>
          <w:sz w:val="20"/>
          <w:szCs w:val="20"/>
        </w:rPr>
      </w:pPr>
    </w:p>
    <w:p w:rsidR="00293736" w:rsidRDefault="00293736">
      <w:pPr>
        <w:rPr>
          <w:sz w:val="20"/>
          <w:szCs w:val="20"/>
        </w:rPr>
      </w:pPr>
    </w:p>
    <w:p w:rsidR="00293736" w:rsidRDefault="007F47D0">
      <w:pPr>
        <w:pStyle w:val="Heading1"/>
      </w:pPr>
      <w:bookmarkStart w:id="3" w:name="_Toc525914286"/>
      <w:r>
        <w:t>Document Control</w:t>
      </w:r>
      <w:bookmarkEnd w:id="3"/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following table contains the complete list of business requirements described in this document, together </w:t>
      </w:r>
      <w:r>
        <w:rPr>
          <w:color w:val="000000"/>
          <w:sz w:val="20"/>
          <w:szCs w:val="20"/>
        </w:rPr>
        <w:t>with their own identification code and status attributes.</w:t>
      </w: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 each requirement the following attributes are provided:</w:t>
      </w:r>
    </w:p>
    <w:p w:rsidR="00293736" w:rsidRDefault="007F47D0">
      <w:pPr>
        <w:numPr>
          <w:ilvl w:val="0"/>
          <w:numId w:val="4"/>
        </w:numPr>
        <w:ind w:left="360" w:hanging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Priority</w:t>
      </w:r>
      <w:r>
        <w:rPr>
          <w:color w:val="000000"/>
          <w:sz w:val="20"/>
          <w:szCs w:val="20"/>
        </w:rPr>
        <w:t xml:space="preserve">: describes the importance of the requirement using the </w:t>
      </w:r>
      <w:proofErr w:type="spellStart"/>
      <w:r>
        <w:rPr>
          <w:color w:val="000000"/>
          <w:sz w:val="20"/>
          <w:szCs w:val="20"/>
        </w:rPr>
        <w:t>MoSCoW</w:t>
      </w:r>
      <w:proofErr w:type="spellEnd"/>
      <w:r>
        <w:rPr>
          <w:color w:val="000000"/>
          <w:sz w:val="20"/>
          <w:szCs w:val="20"/>
        </w:rPr>
        <w:t xml:space="preserve"> standard. More specifically, "Must" is a category used for busines</w:t>
      </w:r>
      <w:r>
        <w:rPr>
          <w:color w:val="000000"/>
          <w:sz w:val="20"/>
          <w:szCs w:val="20"/>
        </w:rPr>
        <w:t xml:space="preserve">s critical </w:t>
      </w:r>
      <w:proofErr w:type="spellStart"/>
      <w:r>
        <w:rPr>
          <w:color w:val="000000"/>
          <w:sz w:val="20"/>
          <w:szCs w:val="20"/>
        </w:rPr>
        <w:t>requirements,"Should</w:t>
      </w:r>
      <w:proofErr w:type="spellEnd"/>
      <w:r>
        <w:rPr>
          <w:color w:val="000000"/>
          <w:sz w:val="20"/>
          <w:szCs w:val="20"/>
        </w:rPr>
        <w:t xml:space="preserve">" is specified for important but not "show-stopping" requirements, "Could" is used for "nice-to-have" requirements. </w:t>
      </w:r>
    </w:p>
    <w:p w:rsidR="00293736" w:rsidRDefault="007F47D0">
      <w:pPr>
        <w:numPr>
          <w:ilvl w:val="0"/>
          <w:numId w:val="4"/>
        </w:numPr>
        <w:ind w:left="360" w:hanging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Analysis</w:t>
      </w:r>
      <w:r>
        <w:rPr>
          <w:color w:val="000000"/>
          <w:sz w:val="20"/>
          <w:szCs w:val="20"/>
        </w:rPr>
        <w:t xml:space="preserve">: expresses the level of completeness of the analysis. In particular the flag "Unknowns" means that </w:t>
      </w:r>
      <w:r>
        <w:rPr>
          <w:color w:val="000000"/>
          <w:sz w:val="20"/>
          <w:szCs w:val="20"/>
        </w:rPr>
        <w:t>there are still topics not covered by workshops and interviews, while "No unknowns" means that the analysis can be considered complete from the client perspective.</w:t>
      </w:r>
    </w:p>
    <w:p w:rsidR="00293736" w:rsidRDefault="007F47D0">
      <w:pPr>
        <w:numPr>
          <w:ilvl w:val="0"/>
          <w:numId w:val="4"/>
        </w:numPr>
        <w:ind w:left="360" w:hanging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Stability</w:t>
      </w:r>
      <w:r>
        <w:rPr>
          <w:color w:val="000000"/>
          <w:sz w:val="20"/>
          <w:szCs w:val="20"/>
        </w:rPr>
        <w:t>: this flag describe the requirements stability in terms of changes connected to ex</w:t>
      </w:r>
      <w:r>
        <w:rPr>
          <w:color w:val="000000"/>
          <w:sz w:val="20"/>
          <w:szCs w:val="20"/>
        </w:rPr>
        <w:t>ternal stakeholder influence. A requirement is "Not Stable" if, for example, the team is waiting for an external feedback that could impact it (changing regulations, changing external systems, changing standards...)</w:t>
      </w: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293736">
      <w:pPr>
        <w:rPr>
          <w:color w:val="000000"/>
          <w:sz w:val="20"/>
          <w:szCs w:val="20"/>
        </w:rPr>
      </w:pPr>
    </w:p>
    <w:tbl>
      <w:tblPr>
        <w:tblW w:w="963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710"/>
        <w:gridCol w:w="3510"/>
        <w:gridCol w:w="1350"/>
        <w:gridCol w:w="1800"/>
        <w:gridCol w:w="1260"/>
      </w:tblGrid>
      <w:tr w:rsidR="00293736">
        <w:trPr>
          <w:tblHeader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HeadingLight"/>
            </w:pPr>
            <w:r>
              <w:t>Code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HeadingLight"/>
            </w:pPr>
            <w:r>
              <w:t>Name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HeadingLight"/>
            </w:pPr>
            <w:r>
              <w:t>Priority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HeadingLight"/>
            </w:pPr>
            <w:r>
              <w:t>Analysis status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HeadingLight"/>
            </w:pPr>
            <w:r>
              <w:t>Sta</w:t>
            </w:r>
            <w:r>
              <w:t>bility</w:t>
            </w:r>
          </w:p>
        </w:tc>
      </w:tr>
      <w:tr w:rsidR="0029373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bookmarkStart w:id="4" w:name="BKM_88F730F7_D3BB_4AF2_AF2A_5DAE1DBC8BEF"/>
            <w:bookmarkStart w:id="5" w:name="FILE_TRANSFER"/>
            <w:bookmarkStart w:id="6" w:name="BKM_8C221238_9ADE_46C8_806F_F8F2887A166F"/>
            <w:r>
              <w:t>FN00005830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Transfer process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Stable</w:t>
            </w:r>
          </w:p>
        </w:tc>
      </w:tr>
      <w:tr w:rsidR="0029373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bookmarkStart w:id="7" w:name="BKM_6390C1F9_03A5_4A69_9915_2D448EB5948F"/>
            <w:r>
              <w:t>FN00005839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File naming convention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Stable</w:t>
            </w:r>
          </w:p>
        </w:tc>
      </w:tr>
      <w:tr w:rsidR="0029373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bookmarkStart w:id="8" w:name="BKM_9CF90CE5_1C8D_4784_8F88_8F28E63EF97E"/>
            <w:r>
              <w:t>FN00005832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Transfer frequency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Stable</w:t>
            </w:r>
          </w:p>
        </w:tc>
      </w:tr>
      <w:tr w:rsidR="0029373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bookmarkStart w:id="9" w:name="BKM_364C8883_3C85_4276_8D9D_F88ECAA22F49"/>
            <w:r>
              <w:t>FN00005835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Multimarket support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Stable</w:t>
            </w:r>
          </w:p>
        </w:tc>
      </w:tr>
      <w:tr w:rsidR="0029373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bookmarkStart w:id="10" w:name="BKM_A7707709_2852_4918_AE5A_62F8EC405C98"/>
            <w:bookmarkStart w:id="11" w:name="FILE_PROCESSING"/>
            <w:bookmarkStart w:id="12" w:name="BKM_B7504ED1_DBB9_4885_BCC7_ECA0764953F7"/>
            <w:r>
              <w:t>FN00005836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Accepted file format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Stable</w:t>
            </w:r>
          </w:p>
        </w:tc>
      </w:tr>
      <w:tr w:rsidR="0029373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bookmarkStart w:id="13" w:name="BKM_319C262D_49FE_46F8_A706_8A1E6802B648"/>
            <w:r>
              <w:t>FN00005837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Record filtering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Stable</w:t>
            </w:r>
          </w:p>
        </w:tc>
      </w:tr>
      <w:tr w:rsidR="0029373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bookmarkStart w:id="14" w:name="BKM_6BE6799F_53DD_4E29_BB0E_80186EB23C83"/>
            <w:r>
              <w:t>FN00005838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Record uniqueness check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Stable</w:t>
            </w:r>
          </w:p>
        </w:tc>
      </w:tr>
      <w:tr w:rsidR="0029373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bookmarkStart w:id="15" w:name="BKM_50FF16EC_7591_4E48_8252_5AF53C8AA2FE"/>
            <w:r>
              <w:t>FN00005834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File validation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Stable</w:t>
            </w:r>
          </w:p>
        </w:tc>
      </w:tr>
      <w:tr w:rsidR="0029373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bookmarkStart w:id="16" w:name="BKM_25FF22AC_526C_44BF_9CB4_EB82599BAAAF"/>
            <w:bookmarkStart w:id="17" w:name="CONTINGENCY_SOLUTION"/>
            <w:bookmarkStart w:id="18" w:name="BKM_BEC76609_C10F_4D90_B789_F91015D879D4"/>
            <w:r>
              <w:t>FN00005842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Direct transfer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Stable</w:t>
            </w:r>
          </w:p>
        </w:tc>
      </w:tr>
      <w:tr w:rsidR="00293736">
        <w:trPr>
          <w:trHeight w:val="260"/>
        </w:trPr>
        <w:tc>
          <w:tcPr>
            <w:tcW w:w="17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bookmarkStart w:id="19" w:name="BKM_B48D01FC_8919_42ED_90E5_BC74245DBBA2"/>
            <w:r>
              <w:t>FN00005843</w:t>
            </w:r>
          </w:p>
        </w:tc>
        <w:tc>
          <w:tcPr>
            <w:tcW w:w="351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Transfer from workstations</w:t>
            </w:r>
          </w:p>
        </w:tc>
        <w:tc>
          <w:tcPr>
            <w:tcW w:w="135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Must</w:t>
            </w:r>
          </w:p>
        </w:tc>
        <w:tc>
          <w:tcPr>
            <w:tcW w:w="18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No unknowns</w:t>
            </w:r>
          </w:p>
        </w:tc>
        <w:tc>
          <w:tcPr>
            <w:tcW w:w="126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Stable</w:t>
            </w:r>
          </w:p>
        </w:tc>
      </w:tr>
    </w:tbl>
    <w:p w:rsidR="00293736" w:rsidRDefault="00293736">
      <w:pPr>
        <w:rPr>
          <w:sz w:val="20"/>
          <w:szCs w:val="20"/>
        </w:rPr>
      </w:pPr>
    </w:p>
    <w:p w:rsidR="00293736" w:rsidRDefault="00293736">
      <w:pPr>
        <w:rPr>
          <w:sz w:val="20"/>
          <w:szCs w:val="20"/>
        </w:rPr>
      </w:pPr>
    </w:p>
    <w:p w:rsidR="00293736" w:rsidRDefault="00293736">
      <w:pPr>
        <w:rPr>
          <w:sz w:val="20"/>
          <w:szCs w:val="20"/>
        </w:rPr>
        <w:sectPr w:rsidR="00293736">
          <w:headerReference w:type="default" r:id="rId9"/>
          <w:footerReference w:type="default" r:id="rId10"/>
          <w:pgSz w:w="11902" w:h="16835"/>
          <w:pgMar w:top="720" w:right="1080" w:bottom="720" w:left="1080" w:header="720" w:footer="720" w:gutter="0"/>
          <w:cols w:space="720"/>
        </w:sectPr>
      </w:pPr>
    </w:p>
    <w:p w:rsidR="00293736" w:rsidRDefault="007F47D0">
      <w:pPr>
        <w:pStyle w:val="Heading1"/>
      </w:pPr>
      <w:bookmarkStart w:id="20" w:name="_Toc525914287"/>
      <w:r>
        <w:lastRenderedPageBreak/>
        <w:t>Overview</w:t>
      </w:r>
      <w:bookmarkEnd w:id="20"/>
    </w:p>
    <w:p w:rsidR="00293736" w:rsidRDefault="007F47D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Clearing System maintains an internal archive of financial instrument prices with the following purposes:</w:t>
      </w: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numPr>
          <w:ilvl w:val="0"/>
          <w:numId w:val="5"/>
        </w:numPr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Margin calculation</w:t>
      </w:r>
    </w:p>
    <w:p w:rsidR="00293736" w:rsidRDefault="007F47D0">
      <w:pPr>
        <w:numPr>
          <w:ilvl w:val="0"/>
          <w:numId w:val="5"/>
        </w:numPr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Risk factor calculation</w:t>
      </w:r>
    </w:p>
    <w:p w:rsidR="00293736" w:rsidRDefault="007F47D0">
      <w:pPr>
        <w:numPr>
          <w:ilvl w:val="0"/>
          <w:numId w:val="5"/>
        </w:numPr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Collateral evaluation</w:t>
      </w: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Prices are generated at Vienna Stock Exchange level and transferred to the Clearing System via SFTP protocol.</w:t>
      </w:r>
      <w:r w:rsidR="00CA5E4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Multimarket Configurations in which the price files are provided by multiple en</w:t>
      </w:r>
      <w:r>
        <w:rPr>
          <w:color w:val="000000"/>
          <w:sz w:val="20"/>
          <w:szCs w:val="20"/>
        </w:rPr>
        <w:t>tities are supported.</w:t>
      </w: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293736">
      <w:pPr>
        <w:rPr>
          <w:color w:val="000000"/>
          <w:sz w:val="20"/>
          <w:szCs w:val="20"/>
        </w:rPr>
      </w:pPr>
    </w:p>
    <w:p w:rsidR="00293736" w:rsidRPr="00CA5E47" w:rsidRDefault="007F47D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bookmarkEnd w:id="2"/>
      <w:bookmarkEnd w:id="4"/>
    </w:p>
    <w:p w:rsidR="00293736" w:rsidRDefault="00293736">
      <w:pPr>
        <w:rPr>
          <w:sz w:val="20"/>
          <w:szCs w:val="20"/>
        </w:rPr>
      </w:pPr>
    </w:p>
    <w:p w:rsidR="00293736" w:rsidRDefault="007F47D0">
      <w:pPr>
        <w:pStyle w:val="Heading1"/>
      </w:pPr>
      <w:bookmarkStart w:id="21" w:name="_Toc525914288"/>
      <w:r>
        <w:t>Requirements</w:t>
      </w:r>
      <w:bookmarkEnd w:id="21"/>
    </w:p>
    <w:p w:rsidR="00293736" w:rsidRPr="00CA5E47" w:rsidRDefault="007F47D0" w:rsidP="00CA5E47">
      <w:pPr>
        <w:pStyle w:val="Heading2"/>
      </w:pPr>
      <w:bookmarkStart w:id="22" w:name="_Toc525914289"/>
      <w:r>
        <w:t>File transfer</w:t>
      </w:r>
      <w:bookmarkEnd w:id="22"/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pStyle w:val="Heading3"/>
      </w:pPr>
      <w:bookmarkStart w:id="23" w:name="_Toc525914290"/>
      <w:r>
        <w:t>FN00005830 - Transfer process</w:t>
      </w:r>
      <w:bookmarkEnd w:id="23"/>
    </w:p>
    <w:p w:rsidR="00293736" w:rsidRDefault="007F47D0">
      <w:pPr>
        <w:pStyle w:val="Notes"/>
        <w:rPr>
          <w:color w:val="000000"/>
        </w:rPr>
      </w:pPr>
      <w:r>
        <w:rPr>
          <w:color w:val="2F2F2F"/>
        </w:rPr>
        <w:t xml:space="preserve">The protocol supports the batch transfer of price records between a price feed </w:t>
      </w:r>
      <w:r>
        <w:rPr>
          <w:color w:val="2F2F2F"/>
          <w:u w:val="single"/>
        </w:rPr>
        <w:t>Provider</w:t>
      </w:r>
      <w:r>
        <w:rPr>
          <w:color w:val="2F2F2F"/>
        </w:rPr>
        <w:t xml:space="preserve">, the </w:t>
      </w:r>
      <w:r>
        <w:rPr>
          <w:color w:val="2F2F2F"/>
          <w:u w:val="single"/>
        </w:rPr>
        <w:t xml:space="preserve">Trading </w:t>
      </w:r>
      <w:r>
        <w:rPr>
          <w:color w:val="2F2F2F"/>
          <w:u w:val="single"/>
        </w:rPr>
        <w:t>Venue/Info-provider</w:t>
      </w:r>
      <w:r>
        <w:rPr>
          <w:color w:val="2F2F2F"/>
        </w:rPr>
        <w:t xml:space="preserve">, and a price feed </w:t>
      </w:r>
      <w:r>
        <w:rPr>
          <w:color w:val="2F2F2F"/>
          <w:u w:val="single"/>
        </w:rPr>
        <w:t>Consumer</w:t>
      </w:r>
      <w:r>
        <w:rPr>
          <w:color w:val="2F2F2F"/>
        </w:rPr>
        <w:t xml:space="preserve">, the </w:t>
      </w:r>
      <w:r>
        <w:rPr>
          <w:color w:val="2F2F2F"/>
          <w:u w:val="single"/>
        </w:rPr>
        <w:t>CCP (Clearing System)</w:t>
      </w:r>
      <w:r>
        <w:rPr>
          <w:color w:val="2F2F2F"/>
        </w:rPr>
        <w:t xml:space="preserve">. </w:t>
      </w:r>
    </w:p>
    <w:p w:rsidR="00293736" w:rsidRDefault="007F47D0">
      <w:pPr>
        <w:pStyle w:val="Notes"/>
        <w:rPr>
          <w:color w:val="000000"/>
        </w:rPr>
      </w:pPr>
      <w:r>
        <w:rPr>
          <w:color w:val="2F2F2F"/>
        </w:rPr>
        <w:t>Price records are stored in plain text files and transferred over the SFTP protocol from the Provider node to the Consumer node. The following steps are executed:</w:t>
      </w:r>
    </w:p>
    <w:p w:rsidR="00293736" w:rsidRDefault="00293736">
      <w:pPr>
        <w:pStyle w:val="Notes"/>
        <w:rPr>
          <w:color w:val="000000"/>
        </w:rPr>
      </w:pPr>
    </w:p>
    <w:p w:rsidR="00293736" w:rsidRDefault="00293736">
      <w:pPr>
        <w:rPr>
          <w:color w:val="000000"/>
          <w:sz w:val="20"/>
          <w:szCs w:val="20"/>
        </w:rPr>
      </w:pPr>
    </w:p>
    <w:tbl>
      <w:tblPr>
        <w:tblW w:w="927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430"/>
        <w:gridCol w:w="6840"/>
      </w:tblGrid>
      <w:tr w:rsidR="00293736">
        <w:tc>
          <w:tcPr>
            <w:tcW w:w="9270" w:type="dxa"/>
            <w:gridSpan w:val="2"/>
            <w:tcBorders>
              <w:top w:val="single" w:sz="1" w:space="0" w:color="8F8F8F"/>
              <w:left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HeadingLight"/>
              <w:jc w:val="center"/>
            </w:pPr>
            <w:r>
              <w:t>1:File transfer process</w:t>
            </w:r>
          </w:p>
          <w:p w:rsidR="00293736" w:rsidRDefault="007F47D0">
            <w:pP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6549C2" wp14:editId="37CB72E4">
                  <wp:extent cx="4086225" cy="2667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736">
        <w:trPr>
          <w:trHeight w:val="200"/>
        </w:trPr>
        <w:tc>
          <w:tcPr>
            <w:tcW w:w="9270" w:type="dxa"/>
            <w:gridSpan w:val="2"/>
            <w:tcBorders>
              <w:top w:val="single" w:sz="1" w:space="0" w:color="8F8F8F"/>
              <w:left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HeadingLight"/>
              <w:jc w:val="center"/>
            </w:pPr>
            <w:r>
              <w:t>Diagram details</w:t>
            </w:r>
          </w:p>
        </w:tc>
      </w:tr>
      <w:tr w:rsidR="0029373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1.0 - Price File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The information exchange is initiated by the Provider that generates the file and, </w:t>
            </w:r>
            <w:r>
              <w:rPr>
                <w:color w:val="000000"/>
              </w:rPr>
              <w:t>acting as SFTP Client, puts it in a remote directory located in the Consumer node.</w:t>
            </w:r>
          </w:p>
          <w:p w:rsidR="00293736" w:rsidRDefault="00293736">
            <w:pPr>
              <w:pStyle w:val="TableTextLight"/>
            </w:pPr>
          </w:p>
        </w:tc>
      </w:tr>
      <w:tr w:rsidR="0029373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1.1 - MD5 File price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After the price file, the corresponding MD5 file is generated and put in the same directory.</w:t>
            </w:r>
          </w:p>
          <w:p w:rsidR="00293736" w:rsidRDefault="00293736">
            <w:pPr>
              <w:pStyle w:val="TableTextLight"/>
            </w:pPr>
          </w:p>
        </w:tc>
      </w:tr>
      <w:tr w:rsidR="0029373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1.2 - Processing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>The Consumer monitors (polling) the local directory. The price file is processed when the corresponding MD5 file is detected.</w:t>
            </w:r>
          </w:p>
          <w:p w:rsidR="00293736" w:rsidRDefault="00293736">
            <w:pPr>
              <w:pStyle w:val="TableTextLight"/>
            </w:pPr>
          </w:p>
        </w:tc>
      </w:tr>
      <w:tr w:rsidR="00293736">
        <w:tc>
          <w:tcPr>
            <w:tcW w:w="243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</w:pPr>
            <w:r>
              <w:t>1.3 - Archiving</w:t>
            </w:r>
          </w:p>
        </w:tc>
        <w:tc>
          <w:tcPr>
            <w:tcW w:w="6840" w:type="dxa"/>
            <w:tcBorders>
              <w:top w:val="single" w:sz="1" w:space="0" w:color="8F8F8F"/>
              <w:left w:val="single" w:sz="1" w:space="0" w:color="8F8F8F"/>
              <w:bottom w:val="single" w:sz="1" w:space="0" w:color="8F8F8F"/>
              <w:right w:val="single" w:sz="1" w:space="0" w:color="8F8F8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293736" w:rsidRDefault="007F47D0">
            <w:pPr>
              <w:pStyle w:val="TableTextLight"/>
              <w:rPr>
                <w:color w:val="000000"/>
              </w:rPr>
            </w:pPr>
            <w:r>
              <w:rPr>
                <w:color w:val="000000"/>
              </w:rPr>
              <w:t xml:space="preserve">The Consumer moves the processed file and the corresponding MD5 to its internal archive (archiving) where it is </w:t>
            </w:r>
            <w:r>
              <w:rPr>
                <w:color w:val="000000"/>
              </w:rPr>
              <w:t>safe-kept for further review.</w:t>
            </w:r>
          </w:p>
          <w:p w:rsidR="00293736" w:rsidRDefault="00293736">
            <w:pPr>
              <w:pStyle w:val="TableTextLight"/>
            </w:pPr>
          </w:p>
        </w:tc>
      </w:tr>
    </w:tbl>
    <w:p w:rsidR="00293736" w:rsidRDefault="00293736">
      <w:pPr>
        <w:rPr>
          <w:color w:val="000000"/>
          <w:sz w:val="20"/>
          <w:szCs w:val="20"/>
        </w:rPr>
      </w:pPr>
    </w:p>
    <w:p w:rsidR="00CA5E47" w:rsidRDefault="00CA5E47" w:rsidP="00CA5E47">
      <w:pPr>
        <w:pStyle w:val="Notes"/>
        <w:rPr>
          <w:color w:val="000000"/>
        </w:rPr>
      </w:pPr>
    </w:p>
    <w:p w:rsidR="00CA5E47" w:rsidRDefault="00CA5E47">
      <w:pPr>
        <w:rPr>
          <w:color w:val="000000"/>
          <w:sz w:val="20"/>
          <w:szCs w:val="20"/>
        </w:rPr>
      </w:pPr>
    </w:p>
    <w:p w:rsidR="00CA5E47" w:rsidRDefault="00CA5E47">
      <w:pPr>
        <w:rPr>
          <w:color w:val="000000"/>
          <w:sz w:val="20"/>
          <w:szCs w:val="20"/>
        </w:rPr>
      </w:pPr>
    </w:p>
    <w:p w:rsidR="00293736" w:rsidRDefault="007F47D0">
      <w:pPr>
        <w:pStyle w:val="Heading3"/>
      </w:pPr>
      <w:bookmarkStart w:id="24" w:name="_Toc525914291"/>
      <w:r>
        <w:t>FN00005839 - File naming convention</w:t>
      </w:r>
      <w:bookmarkEnd w:id="24"/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The filename pattern is described by the following schema: “priceXXXYYYYMMDDHHMM_NN.txt” where: </w:t>
      </w:r>
    </w:p>
    <w:p w:rsidR="00293736" w:rsidRDefault="00293736">
      <w:pPr>
        <w:pStyle w:val="Notes"/>
        <w:rPr>
          <w:color w:val="000000"/>
        </w:rPr>
      </w:pPr>
    </w:p>
    <w:p w:rsidR="00293736" w:rsidRDefault="007F47D0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r>
        <w:rPr>
          <w:color w:val="000000"/>
        </w:rPr>
        <w:t>“XXX” identifies the Provider (E.g. “vie”,”</w:t>
      </w:r>
      <w:proofErr w:type="spellStart"/>
      <w:r>
        <w:rPr>
          <w:color w:val="000000"/>
        </w:rPr>
        <w:t>pra</w:t>
      </w:r>
      <w:proofErr w:type="spellEnd"/>
      <w:r>
        <w:rPr>
          <w:color w:val="000000"/>
        </w:rPr>
        <w:t>”,”</w:t>
      </w:r>
      <w:proofErr w:type="spellStart"/>
      <w:r>
        <w:rPr>
          <w:color w:val="000000"/>
        </w:rPr>
        <w:t>oth</w:t>
      </w:r>
      <w:proofErr w:type="spellEnd"/>
      <w:r>
        <w:rPr>
          <w:color w:val="000000"/>
        </w:rPr>
        <w:t>”)</w:t>
      </w:r>
    </w:p>
    <w:p w:rsidR="00293736" w:rsidRDefault="007F47D0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r>
        <w:rPr>
          <w:color w:val="000000"/>
        </w:rPr>
        <w:t>“YYYYMMDDHHMM”</w:t>
      </w:r>
      <w:r>
        <w:rPr>
          <w:color w:val="000000"/>
        </w:rPr>
        <w:t xml:space="preserve"> is file generation date time in CET format (E.g. “2017010311730”).</w:t>
      </w:r>
    </w:p>
    <w:p w:rsidR="00293736" w:rsidRDefault="007F47D0">
      <w:pPr>
        <w:pStyle w:val="Notes"/>
        <w:numPr>
          <w:ilvl w:val="0"/>
          <w:numId w:val="7"/>
        </w:numPr>
        <w:ind w:left="360" w:hanging="360"/>
        <w:rPr>
          <w:color w:val="000000"/>
        </w:rPr>
      </w:pPr>
      <w:r>
        <w:rPr>
          <w:color w:val="000000"/>
        </w:rPr>
        <w:t>“_NN” is a file sequence number. The sequence number is incremented every time a file is generated by a specific Provider. “_FF” is used for the last EOD price. (E.g., pricevie201701031123</w:t>
      </w:r>
      <w:r>
        <w:rPr>
          <w:color w:val="000000"/>
        </w:rPr>
        <w:t>0_01.txt is the first intraday file while “pricevie2017010311730_FF.txt” is an EOD file).</w:t>
      </w:r>
    </w:p>
    <w:p w:rsidR="00293736" w:rsidRDefault="00293736">
      <w:pPr>
        <w:pStyle w:val="Notes"/>
        <w:rPr>
          <w:color w:val="000000"/>
        </w:rPr>
      </w:pPr>
    </w:p>
    <w:p w:rsidR="00293736" w:rsidRDefault="00293736">
      <w:pPr>
        <w:pStyle w:val="Notes"/>
        <w:rPr>
          <w:color w:val="000000"/>
        </w:rPr>
      </w:pP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The MD5 file has the same file name with the extension “md5” (and not "txt") (E.g. pricevie2017010311230_01.md5) 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 </w:t>
      </w:r>
      <w:bookmarkEnd w:id="7"/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pStyle w:val="Heading3"/>
      </w:pPr>
      <w:bookmarkStart w:id="25" w:name="_Toc525914292"/>
      <w:r>
        <w:t>FN00005832 - Transfer frequency</w:t>
      </w:r>
      <w:bookmarkEnd w:id="25"/>
    </w:p>
    <w:p w:rsidR="00293736" w:rsidRDefault="00293736">
      <w:pPr>
        <w:pStyle w:val="Notes"/>
        <w:rPr>
          <w:color w:val="000000"/>
        </w:rPr>
      </w:pPr>
    </w:p>
    <w:p w:rsidR="00293736" w:rsidRDefault="007F47D0">
      <w:pPr>
        <w:pStyle w:val="Notes"/>
        <w:numPr>
          <w:ilvl w:val="0"/>
          <w:numId w:val="8"/>
        </w:numPr>
        <w:ind w:left="360" w:hanging="360"/>
        <w:rPr>
          <w:color w:val="000000"/>
        </w:rPr>
      </w:pPr>
      <w:r>
        <w:rPr>
          <w:color w:val="000000"/>
        </w:rPr>
        <w:t>The protocol supports the possibility to process a variable number of files each day.</w:t>
      </w:r>
    </w:p>
    <w:p w:rsidR="00293736" w:rsidRDefault="007F47D0">
      <w:pPr>
        <w:pStyle w:val="Notes"/>
        <w:numPr>
          <w:ilvl w:val="0"/>
          <w:numId w:val="8"/>
        </w:numPr>
        <w:ind w:left="360" w:hanging="360"/>
        <w:rPr>
          <w:color w:val="000000"/>
        </w:rPr>
      </w:pPr>
      <w:r>
        <w:rPr>
          <w:color w:val="000000"/>
        </w:rPr>
        <w:t xml:space="preserve">There should be a minimum of 30 mins delay between deliveries. 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 </w:t>
      </w:r>
      <w:bookmarkEnd w:id="8"/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pStyle w:val="Heading3"/>
      </w:pPr>
      <w:bookmarkStart w:id="26" w:name="_Toc525914293"/>
      <w:r>
        <w:t>FN00005835 - Multimarket support</w:t>
      </w:r>
      <w:bookmarkEnd w:id="26"/>
    </w:p>
    <w:p w:rsidR="00293736" w:rsidRDefault="00293736">
      <w:pPr>
        <w:pStyle w:val="Notes"/>
        <w:rPr>
          <w:color w:val="000000"/>
        </w:rPr>
      </w:pPr>
    </w:p>
    <w:p w:rsidR="00293736" w:rsidRDefault="007F47D0">
      <w:pPr>
        <w:pStyle w:val="Notes"/>
        <w:numPr>
          <w:ilvl w:val="0"/>
          <w:numId w:val="9"/>
        </w:numPr>
        <w:ind w:left="360" w:hanging="360"/>
        <w:rPr>
          <w:color w:val="000000"/>
        </w:rPr>
      </w:pPr>
      <w:r>
        <w:rPr>
          <w:color w:val="000000"/>
        </w:rPr>
        <w:t>The protocol supports a multimarket architectural shape in which the</w:t>
      </w:r>
      <w:r>
        <w:rPr>
          <w:color w:val="000000"/>
        </w:rPr>
        <w:t>re could be multiple Providers and a single Consumer in a n to 1 relationship.</w:t>
      </w:r>
    </w:p>
    <w:p w:rsidR="00293736" w:rsidRDefault="007F47D0">
      <w:pPr>
        <w:pStyle w:val="Notes"/>
        <w:numPr>
          <w:ilvl w:val="0"/>
          <w:numId w:val="9"/>
        </w:numPr>
        <w:ind w:left="360" w:hanging="360"/>
        <w:rPr>
          <w:color w:val="000000"/>
        </w:rPr>
      </w:pPr>
      <w:r>
        <w:rPr>
          <w:color w:val="000000"/>
        </w:rPr>
        <w:t xml:space="preserve">Each trading venue is expected to produce a separate file (e.g. separate files for Vienna, Prague, Collateral eligible instruments). 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   </w:t>
      </w:r>
      <w:bookmarkEnd w:id="9"/>
      <w:bookmarkEnd w:id="5"/>
      <w:bookmarkEnd w:id="6"/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pStyle w:val="Heading2"/>
      </w:pPr>
      <w:bookmarkStart w:id="27" w:name="_Toc525914294"/>
      <w:r>
        <w:t>File processing</w:t>
      </w:r>
      <w:bookmarkEnd w:id="27"/>
    </w:p>
    <w:p w:rsidR="00293736" w:rsidRDefault="00293736">
      <w:pPr>
        <w:pStyle w:val="Notes"/>
        <w:rPr>
          <w:color w:val="000000"/>
        </w:rPr>
      </w:pP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pStyle w:val="Heading3"/>
      </w:pPr>
      <w:bookmarkStart w:id="28" w:name="_Toc525914295"/>
      <w:r>
        <w:t>FN00005836 - Accept</w:t>
      </w:r>
      <w:r>
        <w:t>ed file format</w:t>
      </w:r>
      <w:bookmarkEnd w:id="28"/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>The file content is formatted using a “fixed-length field format” and doesn't include any header or footer row.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>Data fields and respective length are described in the following list:</w:t>
      </w:r>
    </w:p>
    <w:p w:rsidR="00293736" w:rsidRDefault="00293736">
      <w:pPr>
        <w:pStyle w:val="Notes"/>
        <w:rPr>
          <w:color w:val="000000"/>
        </w:rPr>
      </w:pPr>
    </w:p>
    <w:p w:rsidR="00293736" w:rsidRDefault="00293736">
      <w:pPr>
        <w:pStyle w:val="Notes"/>
        <w:rPr>
          <w:color w:val="000000"/>
        </w:rPr>
      </w:pPr>
    </w:p>
    <w:p w:rsidR="00293736" w:rsidRDefault="007F47D0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>MIC        Alpha(4)        ISO 10383 Market Identificati</w:t>
      </w:r>
      <w:r>
        <w:rPr>
          <w:color w:val="000000"/>
        </w:rPr>
        <w:t>on Code, can be virtual (XOTH).</w:t>
      </w:r>
    </w:p>
    <w:p w:rsidR="00293736" w:rsidRDefault="007F47D0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>Date    Numeric(8)    Price Date in “YYYYMMDD” format</w:t>
      </w:r>
    </w:p>
    <w:p w:rsidR="00293736" w:rsidRDefault="007F47D0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>Time    Numeric(8)    Price Time in “HHMMSSSS” format</w:t>
      </w:r>
    </w:p>
    <w:p w:rsidR="00293736" w:rsidRDefault="007F47D0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>ISIN        Alpha(12)    Financial Instrument ISIN code</w:t>
      </w:r>
    </w:p>
    <w:p w:rsidR="00293736" w:rsidRDefault="007F47D0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>Price type    Alpha(2)        Fixed “_A” (</w:t>
      </w:r>
      <w:proofErr w:type="spellStart"/>
      <w:r>
        <w:rPr>
          <w:color w:val="000000"/>
        </w:rPr>
        <w:t>Space+A</w:t>
      </w:r>
      <w:proofErr w:type="spellEnd"/>
      <w:r>
        <w:rPr>
          <w:color w:val="000000"/>
        </w:rPr>
        <w:t>)</w:t>
      </w:r>
    </w:p>
    <w:p w:rsidR="00293736" w:rsidRDefault="007F47D0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>Price    Numeric(13,5)    Fixed point representation of the price. (8 digits, 5 decimal positions)</w:t>
      </w:r>
    </w:p>
    <w:p w:rsidR="00293736" w:rsidRDefault="007F47D0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 xml:space="preserve">Currency    Alpha(3)        Currency in ISO 4217 format (3 chars) </w:t>
      </w:r>
    </w:p>
    <w:p w:rsidR="00CA5E47" w:rsidRDefault="007F47D0" w:rsidP="00CA5E47">
      <w:pPr>
        <w:pStyle w:val="Notes"/>
        <w:rPr>
          <w:color w:val="000000"/>
        </w:rPr>
      </w:pPr>
      <w:r>
        <w:rPr>
          <w:color w:val="000000"/>
        </w:rPr>
        <w:t xml:space="preserve"> </w:t>
      </w:r>
      <w:bookmarkEnd w:id="10"/>
    </w:p>
    <w:p w:rsidR="00CA5E47" w:rsidRDefault="00CA5E47" w:rsidP="00CA5E47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:rsidR="00293736" w:rsidRDefault="007F47D0">
      <w:pPr>
        <w:pStyle w:val="Heading3"/>
      </w:pPr>
      <w:bookmarkStart w:id="29" w:name="_Toc525914296"/>
      <w:r>
        <w:lastRenderedPageBreak/>
        <w:t>FN00005837 - Record filtering</w:t>
      </w:r>
      <w:bookmarkEnd w:id="29"/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>The Consumer can accept price dates different from the b</w:t>
      </w:r>
      <w:r>
        <w:rPr>
          <w:color w:val="000000"/>
        </w:rPr>
        <w:t>usiness date in which the file is processed.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>The Consumer discards a price record if: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>- The price date/time is strictly older than the last valid price record stored for the financial instrument.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>- The price date/time is strictly higher than the current bu</w:t>
      </w:r>
      <w:r>
        <w:rPr>
          <w:color w:val="000000"/>
        </w:rPr>
        <w:t>siness date.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>- There are records referring to the same instrument in the same file with more recent date/time.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- The ISIN code reference is not found in the Consumer System. 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 </w:t>
      </w:r>
      <w:bookmarkEnd w:id="13"/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pStyle w:val="Heading3"/>
      </w:pPr>
      <w:bookmarkStart w:id="30" w:name="_Toc525914297"/>
      <w:r>
        <w:t>FN00005838 - Record uniqueness check</w:t>
      </w:r>
      <w:bookmarkEnd w:id="30"/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>The field subset “MIC/DATE/TIME/ISIN/CUR</w:t>
      </w:r>
      <w:r>
        <w:rPr>
          <w:color w:val="000000"/>
        </w:rPr>
        <w:t xml:space="preserve">RENCY” is unique; in case multiple occurrences are detected, the last one overwrites what already processed. 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 </w:t>
      </w:r>
      <w:bookmarkEnd w:id="14"/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pStyle w:val="Heading3"/>
      </w:pPr>
      <w:bookmarkStart w:id="31" w:name="_Toc525914298"/>
      <w:r>
        <w:t>FN00005834 - File validation</w:t>
      </w:r>
      <w:bookmarkEnd w:id="31"/>
    </w:p>
    <w:p w:rsidR="00293736" w:rsidRDefault="00293736">
      <w:pPr>
        <w:pStyle w:val="Notes"/>
        <w:rPr>
          <w:color w:val="000000"/>
        </w:rPr>
      </w:pPr>
    </w:p>
    <w:p w:rsidR="00293736" w:rsidRDefault="007F47D0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r>
        <w:rPr>
          <w:color w:val="000000"/>
        </w:rPr>
        <w:t xml:space="preserve">The Consumer performs the MD5 validation check on the received file. </w:t>
      </w:r>
      <w:r>
        <w:rPr>
          <w:color w:val="000000"/>
        </w:rPr>
        <w:br/>
        <w:t>In case of validation error an alert is ge</w:t>
      </w:r>
      <w:r>
        <w:rPr>
          <w:color w:val="000000"/>
        </w:rPr>
        <w:t>nerated for further dissemination.</w:t>
      </w:r>
    </w:p>
    <w:p w:rsidR="00293736" w:rsidRDefault="007F47D0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r>
        <w:rPr>
          <w:color w:val="000000"/>
        </w:rPr>
        <w:t xml:space="preserve">The Consumer performs data type validation checks on the received record fields. </w:t>
      </w:r>
      <w:r>
        <w:rPr>
          <w:color w:val="000000"/>
        </w:rPr>
        <w:br/>
        <w:t xml:space="preserve">In case of validation errors in the processing phase, an error report is generated by the Consumer and made available in a local directory </w:t>
      </w:r>
      <w:r>
        <w:rPr>
          <w:color w:val="000000"/>
        </w:rPr>
        <w:t>for further dissemination.</w:t>
      </w:r>
      <w:r>
        <w:rPr>
          <w:color w:val="000000"/>
        </w:rPr>
        <w:br/>
        <w:t xml:space="preserve">The report shall contain, for each row, the discarded record and the specific error code which generated the rejection. 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   </w:t>
      </w:r>
      <w:bookmarkEnd w:id="15"/>
      <w:bookmarkEnd w:id="11"/>
      <w:bookmarkEnd w:id="12"/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pStyle w:val="Heading2"/>
      </w:pPr>
      <w:bookmarkStart w:id="32" w:name="_Toc525914299"/>
      <w:r>
        <w:t>Contingency solution</w:t>
      </w:r>
      <w:bookmarkEnd w:id="32"/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pStyle w:val="Heading3"/>
      </w:pPr>
      <w:bookmarkStart w:id="33" w:name="_Toc525914300"/>
      <w:r>
        <w:t>FN00005842 - Direct transfer</w:t>
      </w:r>
      <w:bookmarkEnd w:id="33"/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To ensure in time data provision for the Clearing System also in contingency situations, a backup transfer mechanism is implemented, where the files are transferred in parallel directly to the consumer using an SFTP connection. 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 </w:t>
      </w:r>
      <w:bookmarkEnd w:id="16"/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7F47D0">
      <w:pPr>
        <w:pStyle w:val="Heading3"/>
      </w:pPr>
      <w:bookmarkStart w:id="34" w:name="_Toc525914301"/>
      <w:r>
        <w:t>FN00005843 - Transfer f</w:t>
      </w:r>
      <w:r>
        <w:t>rom workstations</w:t>
      </w:r>
      <w:bookmarkEnd w:id="34"/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Network rules are in place to enable a direct SFTP connection between the CCPA Ops subnet and the Consumer node (allowing the usage of FTP clients like FileZilla on the ops terminals).  </w:t>
      </w:r>
    </w:p>
    <w:p w:rsidR="00293736" w:rsidRDefault="007F47D0">
      <w:pPr>
        <w:pStyle w:val="Notes"/>
        <w:rPr>
          <w:color w:val="000000"/>
        </w:rPr>
      </w:pPr>
      <w:r>
        <w:rPr>
          <w:color w:val="000000"/>
        </w:rPr>
        <w:t xml:space="preserve">     </w:t>
      </w:r>
      <w:bookmarkEnd w:id="19"/>
      <w:bookmarkEnd w:id="17"/>
      <w:bookmarkEnd w:id="18"/>
    </w:p>
    <w:p w:rsidR="00293736" w:rsidRDefault="00293736">
      <w:pPr>
        <w:rPr>
          <w:color w:val="000000"/>
          <w:sz w:val="20"/>
          <w:szCs w:val="20"/>
        </w:rPr>
      </w:pPr>
    </w:p>
    <w:p w:rsidR="00293736" w:rsidRDefault="00293736">
      <w:pPr>
        <w:rPr>
          <w:sz w:val="20"/>
          <w:szCs w:val="20"/>
        </w:rPr>
      </w:pPr>
    </w:p>
    <w:p w:rsidR="00293736" w:rsidRDefault="00293736"/>
    <w:sectPr w:rsidR="00293736">
      <w:headerReference w:type="default" r:id="rId12"/>
      <w:footerReference w:type="default" r:id="rId13"/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F47D0">
      <w:r>
        <w:separator/>
      </w:r>
    </w:p>
  </w:endnote>
  <w:endnote w:type="continuationSeparator" w:id="0">
    <w:p w:rsidR="00000000" w:rsidRDefault="007F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Liberation Sans Narrow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736" w:rsidRDefault="007F47D0">
    <w:pPr>
      <w:jc w:val="right"/>
      <w:rPr>
        <w:sz w:val="20"/>
        <w:szCs w:val="20"/>
      </w:rPr>
    </w:pPr>
    <w:r>
      <w:rPr>
        <w:color w:val="000000"/>
        <w:sz w:val="20"/>
        <w:szCs w:val="20"/>
      </w:rPr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PAGE 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3</w:t>
    </w:r>
    <w:r>
      <w:fldChar w:fldCharType="end"/>
    </w:r>
    <w:r>
      <w:rPr>
        <w:color w:val="000000"/>
        <w:sz w:val="20"/>
        <w:szCs w:val="20"/>
      </w:rPr>
      <w:t xml:space="preserve"> of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NUMPAGES 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736" w:rsidRDefault="007F47D0">
    <w:pPr>
      <w:jc w:val="right"/>
      <w:rPr>
        <w:sz w:val="20"/>
        <w:szCs w:val="20"/>
      </w:rPr>
    </w:pPr>
    <w:r>
      <w:rPr>
        <w:color w:val="000000"/>
        <w:sz w:val="20"/>
        <w:szCs w:val="20"/>
      </w:rPr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PAGE 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4</w:t>
    </w:r>
    <w:r>
      <w:fldChar w:fldCharType="end"/>
    </w:r>
    <w:r>
      <w:rPr>
        <w:color w:val="000000"/>
        <w:sz w:val="20"/>
        <w:szCs w:val="20"/>
      </w:rPr>
      <w:t xml:space="preserve"> of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NUMPAGES 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F47D0">
      <w:r>
        <w:separator/>
      </w:r>
    </w:p>
  </w:footnote>
  <w:footnote w:type="continuationSeparator" w:id="0">
    <w:p w:rsidR="00000000" w:rsidRDefault="007F4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736" w:rsidRDefault="007F47D0">
    <w:pPr>
      <w:rPr>
        <w:sz w:val="20"/>
        <w:szCs w:val="20"/>
      </w:rPr>
    </w:pP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736" w:rsidRDefault="007F47D0">
    <w:pPr>
      <w:rPr>
        <w:sz w:val="20"/>
        <w:szCs w:val="20"/>
      </w:rPr>
    </w:pPr>
    <w:r>
      <w:rPr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7785D26"/>
    <w:name w:val="Heading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34"/>
    <w:multiLevelType w:val="multilevel"/>
    <w:tmpl w:val="EBD25BF8"/>
    <w:name w:val="List1501765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014C0035"/>
    <w:multiLevelType w:val="multilevel"/>
    <w:tmpl w:val="C4B02A38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14C00B2"/>
    <w:multiLevelType w:val="multilevel"/>
    <w:tmpl w:val="0CF8C912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014C0C65"/>
    <w:multiLevelType w:val="multilevel"/>
    <w:tmpl w:val="6D76EB10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014C1461"/>
    <w:multiLevelType w:val="multilevel"/>
    <w:tmpl w:val="664289D8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014C17CA"/>
    <w:multiLevelType w:val="multilevel"/>
    <w:tmpl w:val="B88E987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014C18F3"/>
    <w:multiLevelType w:val="multilevel"/>
    <w:tmpl w:val="2FF65418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014C19EC"/>
    <w:multiLevelType w:val="multilevel"/>
    <w:tmpl w:val="AB38F7B4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014C1B63"/>
    <w:multiLevelType w:val="multilevel"/>
    <w:tmpl w:val="4692C52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014C1E8E"/>
    <w:multiLevelType w:val="multilevel"/>
    <w:tmpl w:val="F5F2EB22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0ABCDEF1"/>
    <w:multiLevelType w:val="singleLevel"/>
    <w:tmpl w:val="0D0C04A4"/>
    <w:name w:val="TerOld1"/>
    <w:lvl w:ilvl="0">
      <w:numFmt w:val="decimal"/>
      <w:lvlText w:val="%1"/>
      <w:lvlJc w:val="left"/>
    </w:lvl>
  </w:abstractNum>
  <w:abstractNum w:abstractNumId="12">
    <w:nsid w:val="0ABCDEF2"/>
    <w:multiLevelType w:val="singleLevel"/>
    <w:tmpl w:val="5F4C530E"/>
    <w:name w:val="TerOld2"/>
    <w:lvl w:ilvl="0">
      <w:numFmt w:val="decimal"/>
      <w:lvlText w:val="%1"/>
      <w:lvlJc w:val="left"/>
    </w:lvl>
  </w:abstractNum>
  <w:abstractNum w:abstractNumId="13">
    <w:nsid w:val="0ABCDEF3"/>
    <w:multiLevelType w:val="singleLevel"/>
    <w:tmpl w:val="DA7C6A50"/>
    <w:name w:val="TerOld3"/>
    <w:lvl w:ilvl="0">
      <w:numFmt w:val="decimal"/>
      <w:lvlText w:val="%1"/>
      <w:lvlJc w:val="left"/>
    </w:lvl>
  </w:abstractNum>
  <w:abstractNum w:abstractNumId="14">
    <w:nsid w:val="0ABCDEF4"/>
    <w:multiLevelType w:val="singleLevel"/>
    <w:tmpl w:val="07F6B4EC"/>
    <w:name w:val="TerOld4"/>
    <w:lvl w:ilvl="0">
      <w:numFmt w:val="decimal"/>
      <w:lvlText w:val="%1"/>
      <w:lvlJc w:val="left"/>
    </w:lvl>
  </w:abstractNum>
  <w:abstractNum w:abstractNumId="15">
    <w:nsid w:val="0ABCDEF5"/>
    <w:multiLevelType w:val="singleLevel"/>
    <w:tmpl w:val="4544C366"/>
    <w:name w:val="TerOld5"/>
    <w:lvl w:ilvl="0">
      <w:numFmt w:val="decimal"/>
      <w:lvlText w:val="%1"/>
      <w:lvlJc w:val="left"/>
    </w:lvl>
  </w:abstractNum>
  <w:abstractNum w:abstractNumId="16">
    <w:nsid w:val="0ABCDEF6"/>
    <w:multiLevelType w:val="singleLevel"/>
    <w:tmpl w:val="BBA069FC"/>
    <w:name w:val="TerOld6"/>
    <w:lvl w:ilvl="0">
      <w:numFmt w:val="decimal"/>
      <w:lvlText w:val="%1"/>
      <w:lvlJc w:val="left"/>
    </w:lvl>
  </w:abstractNum>
  <w:abstractNum w:abstractNumId="17">
    <w:nsid w:val="0ABCDEF7"/>
    <w:multiLevelType w:val="singleLevel"/>
    <w:tmpl w:val="7B0260B2"/>
    <w:name w:val="TerOld7"/>
    <w:lvl w:ilvl="0">
      <w:numFmt w:val="decimal"/>
      <w:lvlText w:val="%1"/>
      <w:lvlJc w:val="left"/>
    </w:lvl>
  </w:abstractNum>
  <w:abstractNum w:abstractNumId="18">
    <w:nsid w:val="0ABCDEF8"/>
    <w:multiLevelType w:val="singleLevel"/>
    <w:tmpl w:val="1688B0F0"/>
    <w:name w:val="TerOld8"/>
    <w:lvl w:ilvl="0">
      <w:numFmt w:val="decimal"/>
      <w:lvlText w:val="%1"/>
      <w:lvlJc w:val="left"/>
    </w:lvl>
  </w:abstractNum>
  <w:abstractNum w:abstractNumId="19">
    <w:nsid w:val="0ABCDEF9"/>
    <w:multiLevelType w:val="singleLevel"/>
    <w:tmpl w:val="605633A6"/>
    <w:name w:val="TerOld9"/>
    <w:lvl w:ilvl="0">
      <w:numFmt w:val="decimal"/>
      <w:lvlText w:val="%1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365F91"/>
          <w:sz w:val="32"/>
          <w:szCs w:val="32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000000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000000"/>
          <w:sz w:val="20"/>
          <w:szCs w:val="20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0"/>
          <w:szCs w:val="20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0"/>
          <w:szCs w:val="20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0"/>
          <w:szCs w:val="20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0"/>
          <w:szCs w:val="20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  <w:lvl w:ilvl="0">
        <w:start w:val="1"/>
        <w:numFmt w:val="bullet"/>
        <w:lvlText w:val="·"/>
        <w:lvlJc w:val="left"/>
      </w:lvl>
    </w:lvlOverride>
    <w:lvlOverride w:ilvl="1">
      <w:startOverride w:val="1"/>
      <w:lvl w:ilvl="1">
        <w:start w:val="1"/>
        <w:numFmt w:val="bullet"/>
        <w:lvlText w:val="·"/>
        <w:lvlJc w:val="left"/>
      </w:lvl>
    </w:lvlOverride>
    <w:lvlOverride w:ilvl="2">
      <w:startOverride w:val="1"/>
      <w:lvl w:ilvl="2">
        <w:start w:val="1"/>
        <w:numFmt w:val="bullet"/>
        <w:lvlText w:val="·"/>
        <w:lvlJc w:val="left"/>
      </w:lvl>
    </w:lvlOverride>
    <w:lvlOverride w:ilvl="3">
      <w:startOverride w:val="1"/>
      <w:lvl w:ilvl="3">
        <w:start w:val="1"/>
        <w:numFmt w:val="bullet"/>
        <w:lvlText w:val="·"/>
        <w:lvlJc w:val="left"/>
      </w:lvl>
    </w:lvlOverride>
    <w:lvlOverride w:ilvl="4">
      <w:startOverride w:val="1"/>
      <w:lvl w:ilvl="4">
        <w:start w:val="1"/>
        <w:numFmt w:val="bullet"/>
        <w:lvlText w:val="·"/>
        <w:lvlJc w:val="left"/>
      </w:lvl>
    </w:lvlOverride>
    <w:lvlOverride w:ilvl="5">
      <w:startOverride w:val="1"/>
      <w:lvl w:ilvl="5">
        <w:start w:val="1"/>
        <w:numFmt w:val="bullet"/>
        <w:lvlText w:val="·"/>
        <w:lvlJc w:val="left"/>
      </w:lvl>
    </w:lvlOverride>
    <w:lvlOverride w:ilvl="6">
      <w:startOverride w:val="1"/>
      <w:lvl w:ilvl="6">
        <w:start w:val="1"/>
        <w:numFmt w:val="bullet"/>
        <w:lvlText w:val="·"/>
        <w:lvlJc w:val="left"/>
      </w:lvl>
    </w:lvlOverride>
    <w:lvlOverride w:ilvl="7">
      <w:startOverride w:val="1"/>
      <w:lvl w:ilvl="7">
        <w:start w:val="1"/>
        <w:numFmt w:val="bullet"/>
        <w:lvlText w:val="·"/>
        <w:lvlJc w:val="left"/>
      </w:lvl>
    </w:lvlOverride>
    <w:lvlOverride w:ilvl="8">
      <w:startOverride w:val="1"/>
      <w:lvl w:ilvl="8">
        <w:start w:val="1"/>
        <w:numFmt w:val="bullet"/>
        <w:lvlText w:val="·"/>
        <w:lvlJc w:val="left"/>
      </w:lvl>
    </w:lvlOverride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alwaysMergeEmptyNamespace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736"/>
    <w:rsid w:val="00293736"/>
    <w:rsid w:val="007F47D0"/>
    <w:rsid w:val="00CA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32"/>
      <w:szCs w:val="32"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000000"/>
      <w:sz w:val="20"/>
      <w:szCs w:val="20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Calibri" w:eastAsia="Calibri" w:hAnsi="Calibri" w:cs="Calibri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pPr>
      <w:spacing w:before="120" w:after="40"/>
      <w:ind w:right="720"/>
    </w:pPr>
    <w:rPr>
      <w:rFonts w:ascii="Calibri" w:eastAsia="Calibri" w:hAnsi="Calibri" w:cs="Calibri"/>
      <w:b/>
      <w:sz w:val="22"/>
      <w:szCs w:val="22"/>
    </w:rPr>
  </w:style>
  <w:style w:type="paragraph" w:styleId="TOC2">
    <w:name w:val="toc 2"/>
    <w:basedOn w:val="Normal"/>
    <w:next w:val="Normal"/>
    <w:uiPriority w:val="39"/>
    <w:pPr>
      <w:spacing w:before="40" w:after="20"/>
      <w:ind w:right="720"/>
    </w:pPr>
    <w:rPr>
      <w:rFonts w:ascii="Calibri" w:eastAsia="Calibri" w:hAnsi="Calibri" w:cs="Calibri"/>
      <w:sz w:val="22"/>
      <w:szCs w:val="22"/>
    </w:rPr>
  </w:style>
  <w:style w:type="paragraph" w:styleId="TOC3">
    <w:name w:val="toc 3"/>
    <w:basedOn w:val="Normal"/>
    <w:next w:val="Normal"/>
    <w:uiPriority w:val="39"/>
    <w:pPr>
      <w:spacing w:before="40" w:after="20"/>
      <w:ind w:right="720"/>
    </w:pPr>
    <w:rPr>
      <w:rFonts w:ascii="Calibri" w:eastAsia="Calibri" w:hAnsi="Calibri" w:cs="Calibri"/>
      <w:sz w:val="22"/>
      <w:szCs w:val="22"/>
    </w:rPr>
  </w:style>
  <w:style w:type="paragraph" w:styleId="TO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PlainText">
    <w:name w:val="Plain Text"/>
    <w:basedOn w:val="Normal"/>
    <w:rPr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32"/>
      <w:szCs w:val="32"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000000"/>
      <w:sz w:val="20"/>
      <w:szCs w:val="20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Calibri" w:eastAsia="Calibri" w:hAnsi="Calibri" w:cs="Calibri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pPr>
      <w:spacing w:before="120" w:after="40"/>
      <w:ind w:right="720"/>
    </w:pPr>
    <w:rPr>
      <w:rFonts w:ascii="Calibri" w:eastAsia="Calibri" w:hAnsi="Calibri" w:cs="Calibri"/>
      <w:b/>
      <w:sz w:val="22"/>
      <w:szCs w:val="22"/>
    </w:rPr>
  </w:style>
  <w:style w:type="paragraph" w:styleId="TOC2">
    <w:name w:val="toc 2"/>
    <w:basedOn w:val="Normal"/>
    <w:next w:val="Normal"/>
    <w:uiPriority w:val="39"/>
    <w:pPr>
      <w:spacing w:before="40" w:after="20"/>
      <w:ind w:right="720"/>
    </w:pPr>
    <w:rPr>
      <w:rFonts w:ascii="Calibri" w:eastAsia="Calibri" w:hAnsi="Calibri" w:cs="Calibri"/>
      <w:sz w:val="22"/>
      <w:szCs w:val="22"/>
    </w:rPr>
  </w:style>
  <w:style w:type="paragraph" w:styleId="TOC3">
    <w:name w:val="toc 3"/>
    <w:basedOn w:val="Normal"/>
    <w:next w:val="Normal"/>
    <w:uiPriority w:val="39"/>
    <w:pPr>
      <w:spacing w:before="40" w:after="20"/>
      <w:ind w:right="720"/>
    </w:pPr>
    <w:rPr>
      <w:rFonts w:ascii="Calibri" w:eastAsia="Calibri" w:hAnsi="Calibri" w:cs="Calibri"/>
      <w:sz w:val="22"/>
      <w:szCs w:val="22"/>
    </w:rPr>
  </w:style>
  <w:style w:type="paragraph" w:styleId="TO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PlainText">
    <w:name w:val="Plain Text"/>
    <w:basedOn w:val="Normal"/>
    <w:rPr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CBD189F2</Template>
  <TotalTime>0</TotalTime>
  <Pages>6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Stock Exchange</Company>
  <LinksUpToDate>false</LinksUpToDate>
  <CharactersWithSpaces>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Buffoni, Daniele</dc:creator>
  <cp:lastModifiedBy>Buffoni, Daniele</cp:lastModifiedBy>
  <cp:revision>2</cp:revision>
  <dcterms:created xsi:type="dcterms:W3CDTF">2018-09-28T14:10:00Z</dcterms:created>
  <dcterms:modified xsi:type="dcterms:W3CDTF">2018-09-28T14:10:00Z</dcterms:modified>
</cp:coreProperties>
</file>