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jpg" ContentType="image/jpeg"/>
  <Override PartName="/word/media/rId22.png" ContentType="image/png"/>
  <Override PartName="/word/media/rId23.png" ContentType="image/png"/>
  <Override PartName="/word/media/rId24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response_functions</w:t>
      </w:r>
    </w:p>
    <w:p>
      <w:pPr>
        <w:pStyle w:val="Author"/>
      </w:pPr>
      <w:r>
        <w:t xml:space="preserve">Mike</w:t>
      </w:r>
      <w:r>
        <w:t xml:space="preserve"> </w:t>
      </w:r>
      <w:r>
        <w:t xml:space="preserve">Stefanuk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5,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Response functions will be identified for the relationship between tree ring chronologies and climate variables.</w:t>
      </w:r>
    </w:p>
    <w:p>
      <w:pPr>
        <w:pStyle w:val="BodyText"/>
      </w:pPr>
      <w:r>
        <w:t xml:space="preserve">This code should be run after chronologies_v3.rmd</w:t>
      </w:r>
    </w:p>
    <w:p>
      <w:pPr>
        <w:pStyle w:val="BodyText"/>
      </w:pPr>
      <w:r>
        <w:t xml:space="preserve">Stages:</w:t>
      </w:r>
    </w:p>
    <w:p>
      <w:pPr>
        <w:pStyle w:val="BodyText"/>
      </w:pPr>
      <w:r>
        <w:t xml:space="preserve">1 - Load chronology and climate data</w:t>
      </w:r>
    </w:p>
    <w:p>
      <w:pPr>
        <w:pStyle w:val="BodyText"/>
      </w:pPr>
      <w:r>
        <w:t xml:space="preserve">2 - Prepare data for use by treeclim:: functions</w:t>
      </w:r>
    </w:p>
    <w:p>
      <w:pPr>
        <w:pStyle w:val="BodyText"/>
      </w:pPr>
      <w:r>
        <w:t xml:space="preserve">3 - Response fucntion analysis (stationary)</w:t>
      </w:r>
    </w:p>
    <w:p>
      <w:pPr>
        <w:pStyle w:val="BodyText"/>
      </w:pPr>
      <w:r>
        <w:t xml:space="preserve">4 - Response function analysis (moving window)</w:t>
      </w:r>
    </w:p>
    <w:p>
      <w:pPr>
        <w:pStyle w:val="BodyText"/>
      </w:pPr>
      <w:r>
        <w:t xml:space="preserve">5 - Seasonal partial correlation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1 - Load chronology and climate data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2 - Prepare data for use by treeclim:: functions</w:t>
      </w:r>
    </w:p>
    <w:p>
      <w:pPr>
        <w:pStyle w:val="BodyText"/>
      </w:pPr>
      <w:r>
        <w:t xml:space="preserve">Data formatting requirements:</w:t>
      </w:r>
    </w:p>
    <w:p>
      <w:pPr>
        <w:numPr>
          <w:numId w:val="1001"/>
          <w:ilvl w:val="0"/>
        </w:numPr>
      </w:pPr>
      <w:r>
        <w:t xml:space="preserve">chronologies as would be output by dplR::chron (year as rowname, value in column)</w:t>
      </w:r>
    </w:p>
    <w:p>
      <w:pPr>
        <w:numPr>
          <w:numId w:val="1001"/>
          <w:ilvl w:val="0"/>
        </w:numPr>
      </w:pPr>
      <w:r>
        <w:t xml:space="preserve">climate as (optionally) named list of 13 column dataframes (year, monthly data * 12)</w:t>
      </w:r>
    </w:p>
    <w:p>
      <w:pPr>
        <w:numPr>
          <w:numId w:val="1001"/>
          <w:ilvl w:val="0"/>
        </w:numPr>
      </w:pPr>
      <w:r>
        <w:t xml:space="preserve">no missing climate data is permitted</w:t>
      </w:r>
    </w:p>
    <w:p>
      <w:pPr>
        <w:pStyle w:val="FirstParagraph"/>
      </w:pPr>
      <w:r>
        <w:t xml:space="preserve">NA values filled using zoo::na.StrucTS:</w:t>
      </w:r>
    </w:p>
    <w:p>
      <w:pPr>
        <w:numPr>
          <w:numId w:val="1002"/>
          <w:ilvl w:val="0"/>
        </w:numPr>
      </w:pPr>
      <w:r>
        <w:t xml:space="preserve">uses seasonal Kalman filter &amp; fixed-interval smoothing</w:t>
      </w:r>
    </w:p>
    <w:p>
      <w:pPr>
        <w:numPr>
          <w:numId w:val="1002"/>
          <w:ilvl w:val="0"/>
        </w:numPr>
      </w:pPr>
      <w:r>
        <w:t xml:space="preserve">found to be effective for seasonal data with trends in</w:t>
      </w:r>
      <w:r>
        <w:t xml:space="preserve"> </w:t>
      </w:r>
      <w:hyperlink r:id="rId21">
        <w:r>
          <w:rPr>
            <w:rStyle w:val="Hyperlink"/>
          </w:rPr>
          <w:t xml:space="preserve">https://arxiv.org/ftp/arxiv/papers/1510/1510.03924.pdf</w:t>
        </w:r>
      </w:hyperlink>
    </w:p>
    <w:p>
      <w:pPr>
        <w:pStyle w:val="FirstParagraph"/>
      </w:pPr>
      <w:r>
        <w:t xml:space="preserve">Temporal autoregression (and trends) must be removed from climate data for proper analysis</w:t>
      </w:r>
    </w:p>
    <w:p>
      <w:pPr>
        <w:pStyle w:val="BodyText"/>
      </w:pPr>
      <w:r>
        <w:t xml:space="preserve">This will be done using standization and prewhitening (for SPEI)</w:t>
      </w:r>
    </w:p>
    <w:p>
      <w:pPr>
        <w:pStyle w:val="BodyText"/>
      </w:pPr>
      <w:r>
        <w:t xml:space="preserve">SPEI data will be prewhitened to remove any trends in the data</w:t>
      </w:r>
    </w:p>
    <w:p>
      <w:pPr>
        <w:pStyle w:val="BodyText"/>
      </w:pPr>
      <w:r>
        <w:t xml:space="preserve">Climate data will be standardized to:</w:t>
      </w:r>
    </w:p>
    <w:p>
      <w:pPr>
        <w:numPr>
          <w:numId w:val="1003"/>
          <w:ilvl w:val="0"/>
        </w:numPr>
      </w:pPr>
      <w:r>
        <w:t xml:space="preserve">have a mean of 0</w:t>
      </w:r>
    </w:p>
    <w:p>
      <w:pPr>
        <w:numPr>
          <w:numId w:val="1003"/>
          <w:ilvl w:val="0"/>
        </w:numPr>
      </w:pPr>
      <w:r>
        <w:t xml:space="preserve">have a standard deviation of 1</w:t>
      </w:r>
    </w:p>
    <w:p>
      <w:pPr>
        <w:pStyle w:val="FirstParagraph"/>
      </w:pPr>
      <w:r>
        <w:t xml:space="preserve">Note that SPEI data are scaled by default, but they were rescaled after prewhitening as the sd nolonger equals 1</w:t>
      </w:r>
    </w:p>
    <w:p>
      <w:pPr>
        <w:pStyle w:val="BodyText"/>
      </w:pPr>
      <w:r>
        <w:t xml:space="preserve">Centering and scaling creates a dataset that:</w:t>
      </w:r>
    </w:p>
    <w:p>
      <w:pPr>
        <w:numPr>
          <w:numId w:val="1004"/>
          <w:ilvl w:val="0"/>
        </w:numPr>
      </w:pPr>
      <w:r>
        <w:t xml:space="preserve">has a SD of 1</w:t>
      </w:r>
    </w:p>
    <w:p>
      <w:pPr>
        <w:numPr>
          <w:numId w:val="1004"/>
          <w:ilvl w:val="0"/>
        </w:numPr>
      </w:pPr>
      <w:r>
        <w:t xml:space="preserve">had a mean of 1</w:t>
      </w:r>
    </w:p>
    <w:p>
      <w:pPr>
        <w:numPr>
          <w:numId w:val="1004"/>
          <w:ilvl w:val="0"/>
        </w:numPr>
      </w:pPr>
      <w:r>
        <w:t xml:space="preserve">it appears that the order of operations for the scale function centers (mean = 0) then scales (sd = 1), therefore the mean shifts</w:t>
      </w:r>
    </w:p>
    <w:p>
      <w:pPr>
        <w:numPr>
          <w:numId w:val="1004"/>
          <w:ilvl w:val="0"/>
        </w:numPr>
      </w:pPr>
      <w:r>
        <w:t xml:space="preserve">the mean shift is by a matter of thousandths at the most, so the mean is effectively 0</w:t>
      </w:r>
    </w:p>
    <w:p>
      <w:pPr>
        <w:numPr>
          <w:numId w:val="1004"/>
          <w:ilvl w:val="0"/>
        </w:numPr>
      </w:pPr>
      <w:r>
        <w:t xml:space="preserve">these results are identical to (x - mean(x)) / sd(x), and therefore I assume that they are effective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3 - Response fucntion analysis (stationary)</w:t>
      </w:r>
    </w:p>
    <w:p>
      <w:pPr>
        <w:pStyle w:val="BodyText"/>
      </w:pPr>
      <w:r>
        <w:t xml:space="preserve">First, the window should be set:</w:t>
      </w:r>
    </w:p>
    <w:p>
      <w:pPr>
        <w:pStyle w:val="Compact"/>
        <w:numPr>
          <w:numId w:val="1005"/>
          <w:ilvl w:val="0"/>
        </w:numPr>
      </w:pPr>
      <w:r>
        <w:t xml:space="preserve">1894 (Adirondack prt min + 1) to 2011</w:t>
      </w:r>
    </w:p>
    <w:p>
      <w:pPr>
        <w:pStyle w:val="FirstParagraph"/>
      </w:pPr>
      <w:r>
        <w:t xml:space="preserve">Old - 1890 to 2011 (mirroring max window from productivity trend analysis)</w:t>
      </w:r>
    </w:p>
    <w:p>
      <w:pPr>
        <w:pStyle w:val="SourceCode"/>
      </w:pPr>
      <w:r>
        <w:rPr>
          <w:rStyle w:val="NormalTok"/>
        </w:rPr>
        <w:t xml:space="preserve">t.s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1894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Below are the stationary response functions for:</w:t>
      </w:r>
    </w:p>
    <w:p>
      <w:pPr>
        <w:numPr>
          <w:numId w:val="1006"/>
          <w:ilvl w:val="0"/>
        </w:numPr>
      </w:pPr>
      <w:r>
        <w:t xml:space="preserve">January to October of the year of growth</w:t>
      </w:r>
    </w:p>
    <w:p>
      <w:pPr>
        <w:numPr>
          <w:numId w:val="1006"/>
          <w:ilvl w:val="0"/>
        </w:numPr>
      </w:pPr>
      <w:r>
        <w:t xml:space="preserve">January to October of the previous year to the year of growth</w:t>
      </w:r>
    </w:p>
    <w:p>
      <w:pPr>
        <w:numPr>
          <w:numId w:val="1006"/>
          <w:ilvl w:val="0"/>
        </w:numPr>
      </w:pPr>
      <w:r>
        <w:t xml:space="preserve">June to October for the year of growth and previous year</w:t>
      </w:r>
    </w:p>
    <w:p>
      <w:pPr>
        <w:numPr>
          <w:numId w:val="1006"/>
          <w:ilvl w:val="0"/>
        </w:numPr>
      </w:pPr>
      <w:r>
        <w:t xml:space="preserve">January of the previous year to October of the year of growth by a 3 year moving window (following Bishop 2015)</w:t>
      </w:r>
    </w:p>
    <w:p>
      <w:pPr>
        <w:pStyle w:val="FirstParagraph"/>
      </w:pPr>
      <w:r>
        <w:t xml:space="preserve">Note that tests were done (not included) to see whether there was a difference between results from RFA with the PCA and mean chronologies. There were very slight differences in the</w:t>
      </w:r>
      <w:r>
        <w:t xml:space="preserve"> </w:t>
      </w:r>
      <w:r>
        <w:t xml:space="preserve">‘</w:t>
      </w:r>
      <w:r>
        <w:t xml:space="preserve">shape</w:t>
      </w:r>
      <w:r>
        <w:t xml:space="preserve">’</w:t>
      </w:r>
      <w:r>
        <w:t xml:space="preserve"> </w:t>
      </w:r>
      <w:r>
        <w:t xml:space="preserve">of the plots, but no compelling reason was found to use one chronology or the other.</w:t>
      </w:r>
    </w:p>
    <w:p>
      <w:pPr>
        <w:pStyle w:val="SourceCode"/>
      </w:pPr>
      <w:r>
        <w:rPr>
          <w:rStyle w:val="VerbatimChar"/>
        </w:rPr>
        <w:t xml:space="preserve">## Running for timespan 1894 - 2011...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ponse_functions_files/figure-docx/s3%20Bisho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Running for timespan 1894 - 2011...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ponse_functions_files/figure-docx/s3%20Bishop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Running for timespan 1894 - 2011...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ponse_functions_files/figure-docx/s3%20Bishop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WithCaption"/>
      </w:pPr>
      <w:r>
        <w:drawing>
          <wp:inline>
            <wp:extent cx="5334000" cy="4718281"/>
            <wp:effectExtent b="0" l="0" r="0" t="0"/>
            <wp:docPr descr="Bishop figure for reference" title="" id="1" name="Picture"/>
            <a:graphic>
              <a:graphicData uri="http://schemas.openxmlformats.org/drawingml/2006/picture">
                <pic:pic>
                  <pic:nvPicPr>
                    <pic:cNvPr descr="D:/Dropbox/Queen's/Thesis/Chronologies/BishopCorrelatio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8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Bishop figure for reference</w:t>
      </w:r>
    </w:p>
    <w:p>
      <w:pPr>
        <w:numPr>
          <w:numId w:val="1007"/>
          <w:ilvl w:val="0"/>
        </w:numPr>
      </w:pPr>
      <w:r>
        <w:t xml:space="preserve">Current and lagged spring (April, May and June)</w:t>
      </w:r>
    </w:p>
    <w:p>
      <w:pPr>
        <w:numPr>
          <w:numId w:val="1007"/>
          <w:ilvl w:val="0"/>
        </w:numPr>
      </w:pPr>
      <w:r>
        <w:t xml:space="preserve">Current and lagged spring (3 month mean)</w:t>
      </w:r>
    </w:p>
    <w:p>
      <w:pPr>
        <w:numPr>
          <w:numId w:val="1007"/>
          <w:ilvl w:val="0"/>
        </w:numPr>
      </w:pPr>
      <w:r>
        <w:t xml:space="preserve">Current and lagged summer (July and August)</w:t>
      </w:r>
    </w:p>
    <w:p>
      <w:pPr>
        <w:numPr>
          <w:numId w:val="1007"/>
          <w:ilvl w:val="0"/>
        </w:numPr>
      </w:pPr>
      <w:r>
        <w:t xml:space="preserve">Current and lagged summer (2 month mean)</w:t>
      </w:r>
    </w:p>
    <w:p>
      <w:pPr>
        <w:numPr>
          <w:numId w:val="1007"/>
          <w:ilvl w:val="0"/>
        </w:numPr>
      </w:pPr>
      <w:r>
        <w:t xml:space="preserve">Current and lagged autumn (September and October)</w:t>
      </w:r>
    </w:p>
    <w:p>
      <w:pPr>
        <w:numPr>
          <w:numId w:val="1007"/>
          <w:ilvl w:val="0"/>
        </w:numPr>
      </w:pPr>
      <w:r>
        <w:t xml:space="preserve">Current and lagged autumn (2 month mean)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4 - Response function analysis (moving window)</w:t>
      </w:r>
    </w:p>
    <w:p>
      <w:pPr>
        <w:pStyle w:val="SourceCode"/>
      </w:pPr>
      <w:r>
        <w:rPr>
          <w:rStyle w:val="NormalTok"/>
        </w:rPr>
        <w:t xml:space="preserve">t.s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1894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selection of the treeclim::dcc function for</w:t>
      </w:r>
      <w:r>
        <w:t xml:space="preserve"> </w:t>
      </w:r>
      <w:r>
        <w:t xml:space="preserve">“</w:t>
      </w:r>
      <w:r>
        <w:t xml:space="preserve">moving</w:t>
      </w:r>
      <w:r>
        <w:t xml:space="preserve">”</w:t>
      </w:r>
      <w:r>
        <w:t xml:space="preserve"> </w:t>
      </w:r>
      <w:r>
        <w:t xml:space="preserve">seems to be limited by window size</w:t>
      </w:r>
    </w:p>
    <w:p>
      <w:pPr>
        <w:pStyle w:val="BodyText"/>
      </w:pPr>
      <w:r>
        <w:t xml:space="preserve">The formula for max allowed window size seems to be:</w:t>
      </w:r>
    </w:p>
    <w:p>
      <w:pPr>
        <w:pStyle w:val="Compact"/>
        <w:numPr>
          <w:numId w:val="1008"/>
          <w:ilvl w:val="0"/>
        </w:numPr>
      </w:pPr>
      <w:r>
        <w:t xml:space="preserve">number of climate variables * number of</w:t>
      </w:r>
      <w:r>
        <w:t xml:space="preserve"> </w:t>
      </w:r>
      <w:r>
        <w:t xml:space="preserve">‘</w:t>
      </w:r>
      <w:r>
        <w:t xml:space="preserve">months</w:t>
      </w:r>
      <w:r>
        <w:t xml:space="preserve">’</w:t>
      </w:r>
    </w:p>
    <w:p>
      <w:pPr>
        <w:pStyle w:val="FirstParagraph"/>
      </w:pPr>
      <w:r>
        <w:t xml:space="preserve">Doing a moving window analysis with the resolution of the stationary analysis is therefore impossible</w:t>
      </w:r>
    </w:p>
    <w:p>
      <w:pPr>
        <w:pStyle w:val="BodyText"/>
      </w:pPr>
      <w:r>
        <w:t xml:space="preserve">Window size will be manipulated to give the greatest perspective possible</w:t>
      </w:r>
    </w:p>
    <w:p>
      <w:pPr>
        <w:pStyle w:val="SourceCode"/>
      </w:pPr>
      <w:r>
        <w:rPr>
          <w:rStyle w:val="CommentTok"/>
        </w:rPr>
        <w:t xml:space="preserve"># set window offset (yrs)</w:t>
      </w:r>
      <w:r>
        <w:br w:type="textWrapping"/>
      </w:r>
      <w:r>
        <w:rPr>
          <w:rStyle w:val="NormalTok"/>
        </w:rPr>
        <w:t xml:space="preserve">w.o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br w:type="textWrapping"/>
      </w:r>
      <w:r>
        <w:rPr>
          <w:rStyle w:val="CommentTok"/>
        </w:rPr>
        <w:t xml:space="preserve"># set window size (yrs)</w:t>
      </w:r>
      <w:r>
        <w:br w:type="textWrapping"/>
      </w:r>
      <w:r>
        <w:rPr>
          <w:rStyle w:val="NormalTok"/>
        </w:rPr>
        <w:t xml:space="preserve">w.s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</w:p>
    <w:p>
      <w:pPr>
        <w:pStyle w:val="FirstParagraph"/>
      </w:pPr>
      <w:r>
        <w:t xml:space="preserve">Below are the moving response functions for:</w:t>
      </w:r>
    </w:p>
    <w:p>
      <w:pPr>
        <w:pStyle w:val="Compact"/>
        <w:numPr>
          <w:numId w:val="1009"/>
          <w:ilvl w:val="0"/>
        </w:numPr>
      </w:pPr>
      <w:r>
        <w:t xml:space="preserve">Spring and Summer of the current and lagged year of growth</w:t>
      </w:r>
    </w:p>
    <w:p>
      <w:pPr>
        <w:pStyle w:val="SourceCode"/>
      </w:pPr>
      <w:r>
        <w:rPr>
          <w:rStyle w:val="VerbatimChar"/>
        </w:rPr>
        <w:t xml:space="preserve">## [1] "Algonquin"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ponse_functions_files/figure-docx/s4%20spring%20and%20summ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"Frontenac"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ponse_functions_files/figure-docx/s4%20spring%20and%20summe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"Frontenac"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ponse_functions_files/figure-docx/s4%20spring%20and%20summer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t xml:space="preserve">January of the previous year to October of the year of growth (non-overlapping seasonal means) (following Bishop 2015)</w:t>
      </w:r>
    </w:p>
    <w:p>
      <w:pPr>
        <w:pStyle w:val="SourceCode"/>
      </w:pPr>
      <w:r>
        <w:rPr>
          <w:rStyle w:val="CommentTok"/>
        </w:rPr>
        <w:t xml:space="preserve"># set window offset (yrs)</w:t>
      </w:r>
      <w:r>
        <w:br w:type="textWrapping"/>
      </w:r>
      <w:r>
        <w:rPr>
          <w:rStyle w:val="NormalTok"/>
        </w:rPr>
        <w:t xml:space="preserve">w.o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br w:type="textWrapping"/>
      </w:r>
      <w:r>
        <w:rPr>
          <w:rStyle w:val="CommentTok"/>
        </w:rPr>
        <w:t xml:space="preserve"># set window size (yrs)</w:t>
      </w:r>
      <w:r>
        <w:br w:type="textWrapping"/>
      </w:r>
      <w:r>
        <w:rPr>
          <w:rStyle w:val="NormalTok"/>
        </w:rPr>
        <w:t xml:space="preserve">w.s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</w:p>
    <w:p>
      <w:pPr>
        <w:pStyle w:val="SourceCode"/>
      </w:pPr>
      <w:r>
        <w:rPr>
          <w:rStyle w:val="VerbatimChar"/>
        </w:rPr>
        <w:t xml:space="preserve">## [1] "Algonquin"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ponse_functions_files/figure-docx/s4%20seasonal%20mea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"Frontenac"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ponse_functions_files/figure-docx/s4%20seasonal%20mean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"Frontenac"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ponse_functions_files/figure-docx/s4%20seasonal%20mean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5 - Seasonal partial correlation</w:t>
      </w:r>
    </w:p>
    <w:p>
      <w:pPr>
        <w:pStyle w:val="SourceCode"/>
      </w:pPr>
      <w:r>
        <w:rPr>
          <w:rStyle w:val="NormalTok"/>
        </w:rPr>
        <w:t xml:space="preserve">t.s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1894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set primary variable</w:t>
      </w:r>
      <w:r>
        <w:br w:type="textWrapping"/>
      </w:r>
      <w:r>
        <w:rPr>
          <w:rStyle w:val="NormalTok"/>
        </w:rPr>
        <w:t xml:space="preserve">pri &lt;-</w:t>
      </w:r>
      <w:r>
        <w:rPr>
          <w:rStyle w:val="StringTok"/>
        </w:rPr>
        <w:t xml:space="preserve"> "tmx"</w:t>
      </w:r>
      <w:r>
        <w:br w:type="textWrapping"/>
      </w:r>
      <w:r>
        <w:br w:type="textWrapping"/>
      </w:r>
      <w:r>
        <w:rPr>
          <w:rStyle w:val="CommentTok"/>
        </w:rPr>
        <w:t xml:space="preserve"># set secondary variable</w:t>
      </w:r>
      <w:r>
        <w:br w:type="textWrapping"/>
      </w:r>
      <w:r>
        <w:rPr>
          <w:rStyle w:val="NormalTok"/>
        </w:rPr>
        <w:t xml:space="preserve">sec &lt;-</w:t>
      </w:r>
      <w:r>
        <w:rPr>
          <w:rStyle w:val="StringTok"/>
        </w:rPr>
        <w:t xml:space="preserve"> "tmn"</w:t>
      </w:r>
    </w:p>
    <w:p>
      <w:pPr>
        <w:pStyle w:val="SourceCode"/>
      </w:pPr>
      <w:r>
        <w:rPr>
          <w:rStyle w:val="VerbatimChar"/>
        </w:rPr>
        <w:t xml:space="preserve">## Running for timespan 1894 - 2011...</w:t>
      </w:r>
    </w:p>
    <w:p>
      <w:pPr>
        <w:pStyle w:val="SourceCode"/>
      </w:pPr>
      <w:r>
        <w:rPr>
          <w:rStyle w:val="VerbatimChar"/>
        </w:rPr>
        <w:t xml:space="preserve">## [1] "Algonquin"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ponse_functions_files/figure-docx/s5%20prt%20vs%20t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Running for timespan 1894 - 2011...</w:t>
      </w:r>
    </w:p>
    <w:p>
      <w:pPr>
        <w:pStyle w:val="SourceCode"/>
      </w:pPr>
      <w:r>
        <w:rPr>
          <w:rStyle w:val="VerbatimChar"/>
        </w:rPr>
        <w:t xml:space="preserve">## [1] "Frontenac"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ponse_functions_files/figure-docx/s5%20prt%20vs%20tm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Running for timespan 1894 - 2011...</w:t>
      </w:r>
    </w:p>
    <w:p>
      <w:pPr>
        <w:pStyle w:val="SourceCode"/>
      </w:pPr>
      <w:r>
        <w:rPr>
          <w:rStyle w:val="VerbatimChar"/>
        </w:rPr>
        <w:t xml:space="preserve">## [1] "Adirondack"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ponse_functions_files/figure-docx/s5%20prt%20vs%20tm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Deprecated code kept for reference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2579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a4ddb3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jp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hyperlink" Id="rId21" Target="https://arxiv.org/ftp/arxiv/papers/1510/1510.03924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arxiv.org/ftp/arxiv/papers/1510/1510.03924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response_functions</dc:title>
  <dc:creator>Mike Stefanuk</dc:creator>
  <dcterms:created xsi:type="dcterms:W3CDTF">2018-10-10T22:28:44Z</dcterms:created>
  <dcterms:modified xsi:type="dcterms:W3CDTF">2018-10-10T22:28:44Z</dcterms:modified>
</cp:coreProperties>
</file>