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papertitle"/>
        <w:spacing w:before="0" w:after="120"/>
        <w:jc w:val="center"/>
      </w:pPr>
      <w:r>
        <w:rPr>
          <w:rFonts w:ascii="Times New Roman" w:hAnsi="Times New Roman" w:eastAsia="Times New Roman"/>
          <w:b w:val="0"/>
          <w:i w:val="0"/>
          <w:color w:val="000000"/>
          <w:sz w:val="48"/>
        </w:rPr>
        <w:t>WSR-YOLO for PCB Defect Image Processing</w:t>
        <w:br/>
      </w:r>
      <w:r>
        <w:rPr>
          <w:rFonts w:ascii="Times New Roman" w:hAnsi="Times New Roman" w:eastAsia="Times New Roman"/>
          <w:b w:val="0"/>
          <w:i w:val="0"/>
          <w:color w:val="000000"/>
          <w:sz w:val="48"/>
        </w:rPr>
        <w:t>with Wavelet-Conditioned Sparse Routing</w:t>
      </w:r>
    </w:p>
    <w:p>
      <w:pPr>
        <w:pStyle w:val="27"/>
        <w:spacing w:after="40"/>
        <w:jc w:val="center"/>
      </w:pPr>
      <w:r>
        <w:rPr>
          <w:rFonts w:ascii="Times New Roman" w:hAnsi="Times New Roman" w:eastAsia="Times New Roman"/>
          <w:b w:val="0"/>
          <w:i w:val="0"/>
          <w:color w:val="000000"/>
          <w:sz w:val="22"/>
        </w:rPr>
        <w:t>Jiefeng Liangᵃ, Lihua Luoᵃᵇ*, Sijin Tanᵃ, Yanni Linᵃ, Zhizhuo Zhaoᵃ, and Zhaofeng Caiᵃ</w:t>
        <w:br/>
      </w:r>
      <w:r>
        <w:rPr>
          <w:rFonts w:ascii="Times New Roman" w:hAnsi="Times New Roman" w:eastAsia="Times New Roman"/>
          <w:b w:val="0"/>
          <w:i w:val="0"/>
          <w:color w:val="000000"/>
          <w:sz w:val="18"/>
        </w:rPr>
        <w:t>ᵃDepartment of Computing, Guangdong University of Science and Technology, Dongguan 523083, China</w:t>
        <w:br/>
      </w:r>
      <w:r>
        <w:rPr>
          <w:rFonts w:ascii="Times New Roman" w:hAnsi="Times New Roman" w:eastAsia="Times New Roman"/>
          <w:b w:val="0"/>
          <w:i w:val="0"/>
          <w:color w:val="000000"/>
          <w:sz w:val="18"/>
        </w:rPr>
        <w:t>ᵇFaculty of Computer and Mathematical Sciences, Universiti Teknologi MARA, 40450 Shah Alam, Selangor, Malaysia</w:t>
        <w:br/>
      </w:r>
      <w:r>
        <w:rPr>
          <w:rFonts w:ascii="Times New Roman" w:hAnsi="Times New Roman" w:eastAsia="Times New Roman"/>
          <w:b w:val="0"/>
          <w:i w:val="0"/>
          <w:color w:val="000000"/>
          <w:sz w:val="18"/>
        </w:rPr>
        <w:t>*Corresponding author: Lihua Luo, 260423630@qq.com</w:t>
        <w:br/>
      </w:r>
      <w:r>
        <w:rPr>
          <w:rFonts w:ascii="Times New Roman" w:hAnsi="Times New Roman" w:eastAsia="Times New Roman"/>
          <w:b w:val="0"/>
          <w:i w:val="0"/>
          <w:color w:val="000000"/>
          <w:sz w:val="18"/>
        </w:rPr>
        <w:t xml:space="preserve">Project repository: </w:t>
      </w:r>
      <w:hyperlink r:id="rId17">
        <w:r>
          <w:rPr>
            <w:rFonts w:ascii="Times New Roman" w:hAnsi="Times New Roman" w:eastAsia="Times New Roman"/>
            <w:color w:val="000000"/>
            <w:u w:val="none"/>
            <w:sz w:val="18"/>
          </w:rPr>
          <w:t>https://github.com/master-abc/WSR-YOLO</w:t>
        </w:r>
      </w:hyperlink>
    </w:p>
    <w:p>
      <w:pPr>
        <w:sectPr>
          <w:footnotePr>
            <w:numRestart w:val="eachSect"/>
          </w:footnotePr>
          <w:type w:val="continuous"/>
          <w:pgSz w:w="12240" w:h="15840"/>
          <w:pgMar w:top="1080" w:right="893" w:bottom="1440" w:left="893" w:header="720" w:footer="720" w:gutter="0"/>
          <w:cols w:space="360" w:num="1"/>
        </w:sectPr>
      </w:pPr>
    </w:p>
    <w:p>
      <w:pPr>
        <w:pStyle w:val="29"/>
        <w:spacing w:before="100" w:after="0" w:line="240" w:lineRule="auto"/>
        <w:jc w:val="both"/>
      </w:pPr>
      <w:r>
        <w:rPr>
          <w:rFonts w:ascii="Times New Roman" w:hAnsi="Times New Roman" w:eastAsia="Times New Roman"/>
          <w:b/>
          <w:i/>
          <w:color w:val="000000"/>
          <w:sz w:val="18"/>
        </w:rPr>
        <w:t>Abstract—</w:t>
      </w:r>
      <w:r>
        <w:rPr>
          <w:rFonts w:ascii="Times New Roman" w:hAnsi="Times New Roman" w:eastAsia="Times New Roman"/>
          <w:b/>
          <w:i w:val="0"/>
          <w:color w:val="000000"/>
          <w:sz w:val="18"/>
        </w:rPr>
        <w:t>Traditional image processing for industrial visual inspection relies on hand-crafted filtering, thresholding, and edge operators, whereas WSR-YOLO is a modern deep-learning approach. WSR ranks P3 features with fixed Haar cues and refines an exact top-k budget. On DsPCBSD+, seven paired runs give 46.69±0.72 AP50:95 versus 46.54±0.36 for YOLO11s (p=0.8125); three descriptive DeepPCB pairs gain 4.20 points but increase clean-template alarms. At a 25% budget, routes enrich box cells by 3.16×/3.55×, although spatial priors and matched convolution explain much of the gain. WSR adds 13.3K parameters and 0.038 GFLOPs but is 1.18–1.21× slower. Negative-aware training reduces DeepPCB board-FPR from 53.5% to 27.5%; an exploratory paired-reference detector reaches 1.4% and 0.959 F1 under a changed input contract.</w:t>
      </w:r>
    </w:p>
    <w:p>
      <w:pPr>
        <w:pStyle w:val="Keywords"/>
        <w:jc w:val="both"/>
      </w:pPr>
      <w:r>
        <w:rPr>
          <w:rFonts w:ascii="Times New Roman" w:hAnsi="Times New Roman" w:eastAsia="Times New Roman"/>
          <w:b/>
          <w:i/>
          <w:color w:val="000000"/>
          <w:sz w:val="18"/>
        </w:rPr>
        <w:t>Keywords—</w:t>
      </w:r>
      <w:r>
        <w:rPr>
          <w:rFonts w:ascii="Times New Roman" w:hAnsi="Times New Roman" w:eastAsia="Times New Roman"/>
          <w:b/>
          <w:i w:val="0"/>
          <w:color w:val="000000"/>
          <w:sz w:val="18"/>
        </w:rPr>
        <w:t>image processing, PCB defect detection, sparse routing, wavelets, false alarms</w:t>
      </w:r>
    </w:p>
    <w:p>
      <w:pPr>
        <w:pStyle w:val="2"/>
        <w:keepNext/>
        <w:spacing w:before="160" w:after="80"/>
        <w:jc w:val="center"/>
      </w:pPr>
      <w:r>
        <w:rPr>
          <w:rFonts w:ascii="Times New Roman" w:hAnsi="Times New Roman" w:eastAsia="Times New Roman"/>
          <w:b w:val="0"/>
          <w:i w:val="0"/>
          <w:smallCaps/>
          <w:color w:val="000000"/>
          <w:sz w:val="20"/>
        </w:rPr>
        <w:t>I. INTRODUCTION</w:t>
      </w:r>
    </w:p>
    <w:p>
      <w:pPr>
        <w:pStyle w:val="3"/>
        <w:spacing w:before="0" w:after="60" w:line="276" w:lineRule="auto"/>
        <w:ind w:firstLine="0"/>
        <w:jc w:val="both"/>
      </w:pPr>
      <w:r>
        <w:rPr>
          <w:rFonts w:ascii="Times New Roman" w:hAnsi="Times New Roman" w:eastAsia="Times New Roman"/>
          <w:b w:val="0"/>
          <w:i w:val="0"/>
          <w:color w:val="000000"/>
          <w:sz w:val="20"/>
        </w:rPr>
        <w:t>Automated optical inspection must detect small, low-contrast defects among repeated traces without alarming on normal boards. Positive-only benchmarks omit that operational risk, while route maps and FLOPs alone cannot establish accuracy, speed, or reliability.</w:t>
      </w:r>
    </w:p>
    <w:p>
      <w:pPr>
        <w:pStyle w:val="3"/>
        <w:spacing w:before="0" w:after="60" w:line="276" w:lineRule="auto"/>
        <w:ind w:firstLine="288"/>
        <w:jc w:val="both"/>
      </w:pPr>
      <w:r>
        <w:rPr>
          <w:rFonts w:ascii="Times New Roman" w:hAnsi="Times New Roman" w:eastAsia="Times New Roman"/>
          <w:b w:val="0"/>
          <w:i w:val="0"/>
          <w:color w:val="000000"/>
          <w:sz w:val="20"/>
        </w:rPr>
        <w:t>WSR is therefore tested as an auditable probe. Fixed Haar responses rank P3 locations, and gather–refine–scatter transforms only k=round(ρHW) tokens. Paired seeds, same-budget and matched-capacity controls, device timing, and defect-free inputs test route enrichment, held-out accuracy, realized latency, and cue specificity.</w:t>
      </w:r>
    </w:p>
    <w:p>
      <w:pPr>
        <w:pStyle w:val="3"/>
        <w:spacing w:before="0" w:after="60" w:line="276" w:lineRule="auto"/>
        <w:ind w:firstLine="288"/>
        <w:jc w:val="both"/>
      </w:pPr>
      <w:r>
        <w:rPr>
          <w:rFonts w:ascii="Times New Roman" w:hAnsi="Times New Roman" w:eastAsia="Times New Roman"/>
          <w:b w:val="0"/>
          <w:i w:val="0"/>
          <w:color w:val="000000"/>
          <w:sz w:val="20"/>
        </w:rPr>
        <w:t>Our exact-budget probe separates arithmetic savings from measured speed and exposes normal-board false alarms. Because the primary gain is nonsignificant and no variant passes the joint accuracy–latency gate, we report the evidence boundary rather than claim superiority.</w:t>
      </w:r>
    </w:p>
    <w:p>
      <w:pPr>
        <w:pStyle w:val="2"/>
        <w:keepNext/>
        <w:spacing w:before="160" w:after="80"/>
        <w:jc w:val="center"/>
      </w:pPr>
      <w:r>
        <w:rPr>
          <w:rFonts w:ascii="Times New Roman" w:hAnsi="Times New Roman" w:eastAsia="Times New Roman"/>
          <w:b w:val="0"/>
          <w:i w:val="0"/>
          <w:smallCaps/>
          <w:color w:val="000000"/>
          <w:sz w:val="20"/>
        </w:rPr>
        <w:t>II. RELATED WORK</w:t>
      </w:r>
    </w:p>
    <w:p>
      <w:pPr>
        <w:pStyle w:val="3"/>
        <w:spacing w:before="0" w:after="60" w:line="276" w:lineRule="auto"/>
        <w:ind w:firstLine="0"/>
        <w:jc w:val="both"/>
      </w:pPr>
      <w:r>
        <w:rPr>
          <w:rFonts w:ascii="Times New Roman" w:hAnsi="Times New Roman" w:eastAsia="Times New Roman"/>
          <w:b w:val="0"/>
          <w:i w:val="0"/>
          <w:color w:val="000000"/>
          <w:sz w:val="20"/>
        </w:rPr>
        <w:t xml:space="preserve">Detectors span region proposals </w:t>
      </w:r>
      <w:r>
        <w:rPr>
          <w:rFonts w:ascii="Times New Roman" w:hAnsi="Times New Roman" w:eastAsia="Times New Roman"/>
          <w:b w:val="0"/>
          <w:i w:val="0"/>
          <w:color w:val="000000"/>
          <w:sz w:val="20"/>
          <w:vertAlign w:val="superscript"/>
        </w:rPr>
        <w:t>[1]</w:t>
      </w:r>
      <w:r>
        <w:rPr>
          <w:rFonts w:ascii="Times New Roman" w:hAnsi="Times New Roman" w:eastAsia="Times New Roman"/>
          <w:b w:val="0"/>
          <w:i w:val="0"/>
          <w:color w:val="000000"/>
          <w:sz w:val="20"/>
        </w:rPr>
        <w:t xml:space="preserve">, set prediction </w:t>
      </w:r>
      <w:r>
        <w:rPr>
          <w:rFonts w:ascii="Times New Roman" w:hAnsi="Times New Roman" w:eastAsia="Times New Roman"/>
          <w:b w:val="0"/>
          <w:i w:val="0"/>
          <w:color w:val="000000"/>
          <w:sz w:val="20"/>
          <w:vertAlign w:val="superscript"/>
        </w:rPr>
        <w:t>[2]</w:t>
      </w:r>
      <w:r>
        <w:rPr>
          <w:rFonts w:ascii="Times New Roman" w:hAnsi="Times New Roman" w:eastAsia="Times New Roman"/>
          <w:b w:val="0"/>
          <w:i w:val="0"/>
          <w:color w:val="000000"/>
          <w:sz w:val="20"/>
        </w:rPr>
        <w:t xml:space="preserve">, sparse proposals </w:t>
      </w:r>
      <w:r>
        <w:rPr>
          <w:rFonts w:ascii="Times New Roman" w:hAnsi="Times New Roman" w:eastAsia="Times New Roman"/>
          <w:b w:val="0"/>
          <w:i w:val="0"/>
          <w:color w:val="000000"/>
          <w:sz w:val="20"/>
          <w:vertAlign w:val="superscript"/>
        </w:rPr>
        <w:t>[3]</w:t>
      </w:r>
      <w:r>
        <w:rPr>
          <w:rFonts w:ascii="Times New Roman" w:hAnsi="Times New Roman" w:eastAsia="Times New Roman"/>
          <w:b w:val="0"/>
          <w:i w:val="0"/>
          <w:color w:val="000000"/>
          <w:sz w:val="20"/>
        </w:rPr>
        <w:t xml:space="preserve">, and compact YOLO/DETR models </w:t>
      </w:r>
      <w:r>
        <w:rPr>
          <w:rFonts w:ascii="Times New Roman" w:hAnsi="Times New Roman" w:eastAsia="Times New Roman"/>
          <w:b w:val="0"/>
          <w:i w:val="0"/>
          <w:color w:val="000000"/>
          <w:sz w:val="20"/>
          <w:vertAlign w:val="superscript"/>
        </w:rPr>
        <w:t>[4]</w:t>
      </w:r>
      <w:r>
        <w:rPr>
          <w:rFonts w:ascii="Times New Roman" w:hAnsi="Times New Roman" w:eastAsia="Times New Roman"/>
          <w:b w:val="0"/>
          <w:i w:val="0"/>
          <w:color w:val="000000"/>
          <w:sz w:val="20"/>
        </w:rPr>
        <w:t xml:space="preserve">, </w:t>
      </w:r>
      <w:r>
        <w:rPr>
          <w:rFonts w:ascii="Times New Roman" w:hAnsi="Times New Roman" w:eastAsia="Times New Roman"/>
          <w:b w:val="0"/>
          <w:i w:val="0"/>
          <w:color w:val="000000"/>
          <w:sz w:val="20"/>
          <w:vertAlign w:val="superscript"/>
        </w:rPr>
        <w:t>[5]</w:t>
      </w:r>
      <w:r>
        <w:rPr>
          <w:rFonts w:ascii="Times New Roman" w:hAnsi="Times New Roman" w:eastAsia="Times New Roman"/>
          <w:b w:val="0"/>
          <w:i w:val="0"/>
          <w:color w:val="000000"/>
          <w:sz w:val="20"/>
        </w:rPr>
        <w:t xml:space="preserve">. PCB protocols also differ: DeepPCB provides target/template pairs </w:t>
      </w:r>
      <w:r>
        <w:rPr>
          <w:rFonts w:ascii="Times New Roman" w:hAnsi="Times New Roman" w:eastAsia="Times New Roman"/>
          <w:b w:val="0"/>
          <w:i w:val="0"/>
          <w:color w:val="000000"/>
          <w:sz w:val="20"/>
          <w:vertAlign w:val="superscript"/>
        </w:rPr>
        <w:t>[6]</w:t>
      </w:r>
      <w:r>
        <w:rPr>
          <w:rFonts w:ascii="Times New Roman" w:hAnsi="Times New Roman" w:eastAsia="Times New Roman"/>
          <w:b w:val="0"/>
          <w:i w:val="0"/>
          <w:color w:val="000000"/>
          <w:sz w:val="20"/>
        </w:rPr>
        <w:t xml:space="preserve">, DsPCBSD+ has nine AOI classes </w:t>
      </w:r>
      <w:r>
        <w:rPr>
          <w:rFonts w:ascii="Times New Roman" w:hAnsi="Times New Roman" w:eastAsia="Times New Roman"/>
          <w:b w:val="0"/>
          <w:i w:val="0"/>
          <w:color w:val="000000"/>
          <w:sz w:val="20"/>
          <w:vertAlign w:val="superscript"/>
        </w:rPr>
        <w:t>[7]</w:t>
      </w:r>
      <w:r>
        <w:rPr>
          <w:rFonts w:ascii="Times New Roman" w:hAnsi="Times New Roman" w:eastAsia="Times New Roman"/>
          <w:b w:val="0"/>
          <w:i w:val="0"/>
          <w:color w:val="000000"/>
          <w:sz w:val="20"/>
        </w:rPr>
        <w:t xml:space="preserve">, and PCB-IND adds illumination and long-tail variation </w:t>
      </w:r>
      <w:r>
        <w:rPr>
          <w:rFonts w:ascii="Times New Roman" w:hAnsi="Times New Roman" w:eastAsia="Times New Roman"/>
          <w:b w:val="0"/>
          <w:i w:val="0"/>
          <w:color w:val="000000"/>
          <w:sz w:val="20"/>
          <w:vertAlign w:val="superscript"/>
        </w:rPr>
        <w:t>[8]</w:t>
      </w:r>
      <w:r>
        <w:rPr>
          <w:rFonts w:ascii="Times New Roman" w:hAnsi="Times New Roman" w:eastAsia="Times New Roman"/>
          <w:b w:val="0"/>
          <w:i w:val="0"/>
          <w:color w:val="000000"/>
          <w:sz w:val="20"/>
        </w:rPr>
        <w:t xml:space="preserve">. Results from PCB-YOLO and YOLO-HMC therefore remain protocol-dependent </w:t>
      </w:r>
      <w:r>
        <w:rPr>
          <w:rFonts w:ascii="Times New Roman" w:hAnsi="Times New Roman" w:eastAsia="Times New Roman"/>
          <w:b w:val="0"/>
          <w:i w:val="0"/>
          <w:color w:val="000000"/>
          <w:sz w:val="20"/>
          <w:vertAlign w:val="superscript"/>
        </w:rPr>
        <w:t>[9]</w:t>
      </w:r>
      <w:r>
        <w:rPr>
          <w:rFonts w:ascii="Times New Roman" w:hAnsi="Times New Roman" w:eastAsia="Times New Roman"/>
          <w:b w:val="0"/>
          <w:i w:val="0"/>
          <w:color w:val="000000"/>
          <w:sz w:val="20"/>
        </w:rPr>
        <w:t xml:space="preserve">, </w:t>
      </w:r>
      <w:r>
        <w:rPr>
          <w:rFonts w:ascii="Times New Roman" w:hAnsi="Times New Roman" w:eastAsia="Times New Roman"/>
          <w:b w:val="0"/>
          <w:i w:val="0"/>
          <w:color w:val="000000"/>
          <w:sz w:val="20"/>
          <w:vertAlign w:val="superscript"/>
        </w:rPr>
        <w:t>[10]</w:t>
      </w:r>
      <w:r>
        <w:rPr>
          <w:rFonts w:ascii="Times New Roman" w:hAnsi="Times New Roman" w:eastAsia="Times New Roman"/>
          <w:b w:val="0"/>
          <w:i w:val="0"/>
          <w:color w:val="000000"/>
          <w:sz w:val="20"/>
        </w:rPr>
        <w:t>.</w:t>
      </w:r>
    </w:p>
    <w:p>
      <w:pPr>
        <w:pStyle w:val="3"/>
        <w:spacing w:before="0" w:after="60" w:line="276" w:lineRule="auto"/>
        <w:ind w:firstLine="288"/>
        <w:jc w:val="both"/>
      </w:pPr>
      <w:r>
        <w:rPr>
          <w:rFonts w:ascii="Times New Roman" w:hAnsi="Times New Roman" w:eastAsia="Times New Roman"/>
          <w:b w:val="0"/>
          <w:i w:val="0"/>
          <w:color w:val="000000"/>
          <w:sz w:val="20"/>
        </w:rPr>
        <w:t xml:space="preserve">Wavelet anti-aliasing and frequency attention </w:t>
      </w:r>
      <w:r>
        <w:rPr>
          <w:rFonts w:ascii="Times New Roman" w:hAnsi="Times New Roman" w:eastAsia="Times New Roman"/>
          <w:b w:val="0"/>
          <w:i w:val="0"/>
          <w:color w:val="000000"/>
          <w:sz w:val="20"/>
          <w:vertAlign w:val="superscript"/>
        </w:rPr>
        <w:t>[11]</w:t>
      </w:r>
      <w:r>
        <w:rPr>
          <w:rFonts w:ascii="Times New Roman" w:hAnsi="Times New Roman" w:eastAsia="Times New Roman"/>
          <w:b w:val="0"/>
          <w:i w:val="0"/>
          <w:color w:val="000000"/>
          <w:sz w:val="20"/>
        </w:rPr>
        <w:t xml:space="preserve">, </w:t>
      </w:r>
      <w:r>
        <w:rPr>
          <w:rFonts w:ascii="Times New Roman" w:hAnsi="Times New Roman" w:eastAsia="Times New Roman"/>
          <w:b w:val="0"/>
          <w:i w:val="0"/>
          <w:color w:val="000000"/>
          <w:sz w:val="20"/>
          <w:vertAlign w:val="superscript"/>
        </w:rPr>
        <w:t>[12]</w:t>
      </w:r>
      <w:r>
        <w:rPr>
          <w:rFonts w:ascii="Times New Roman" w:hAnsi="Times New Roman" w:eastAsia="Times New Roman"/>
          <w:b w:val="0"/>
          <w:i w:val="0"/>
          <w:color w:val="000000"/>
          <w:sz w:val="20"/>
        </w:rPr>
        <w:t xml:space="preserve"> motivate WSR, while dynamic token methods allocate input-dependent computation </w:t>
      </w:r>
      <w:r>
        <w:rPr>
          <w:rFonts w:ascii="Times New Roman" w:hAnsi="Times New Roman" w:eastAsia="Times New Roman"/>
          <w:b w:val="0"/>
          <w:i w:val="0"/>
          <w:color w:val="000000"/>
          <w:sz w:val="20"/>
          <w:vertAlign w:val="superscript"/>
        </w:rPr>
        <w:t>[13]</w:t>
      </w:r>
      <w:r>
        <w:rPr>
          <w:rFonts w:ascii="Times New Roman" w:hAnsi="Times New Roman" w:eastAsia="Times New Roman"/>
          <w:b w:val="0"/>
          <w:i w:val="0"/>
          <w:color w:val="000000"/>
          <w:sz w:val="20"/>
        </w:rPr>
        <w:t>. Yet scoring, indexing, and memory movement may dominate skipped arithmetic, requiring direct timing.</w:t>
      </w:r>
    </w:p>
    <w:p>
      <w:pPr>
        <w:pStyle w:val="2"/>
        <w:keepNext/>
        <w:spacing w:before="160" w:after="80"/>
        <w:jc w:val="center"/>
      </w:pPr>
      <w:r>
        <w:rPr>
          <w:rFonts w:ascii="Times New Roman" w:hAnsi="Times New Roman" w:eastAsia="Times New Roman"/>
          <w:b w:val="0"/>
          <w:i w:val="0"/>
          <w:smallCaps/>
          <w:color w:val="000000"/>
          <w:sz w:val="20"/>
        </w:rPr>
        <w:t>III. WAVELET-CONDITIONED SPARSE ROUTING</w:t>
      </w:r>
    </w:p>
    <w:p>
      <w:pPr>
        <w:pStyle w:val="3"/>
        <w:spacing w:before="0" w:after="60" w:line="276" w:lineRule="auto"/>
        <w:ind w:firstLine="0"/>
        <w:jc w:val="both"/>
      </w:pPr>
      <w:r>
        <w:rPr>
          <w:rFonts w:ascii="Times New Roman" w:hAnsi="Times New Roman" w:eastAsia="Times New Roman"/>
          <w:b w:val="0"/>
          <w:i w:val="0"/>
          <w:color w:val="000000"/>
          <w:sz w:val="20"/>
        </w:rPr>
        <w:t>Let X∈R^(C×H×W) be the P3/8 feature, split into wave and refinement tensors Xw and Xr. Fixed grouped Haar convolution gives</w:t>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360"/>
        <w:gridCol w:w="3816"/>
        <w:gridCol w:w="504"/>
      </w:tblGrid>
      <w:tr>
        <w:tc>
          <w:tcPr>
            <w:tcW w:type="dxa" w:w="360"/>
            <w:tcMar>
              <w:top w:w="0" w:type="dxa"/>
              <w:left w:w="0" w:type="dxa"/>
              <w:bottom w:w="0" w:type="dxa"/>
              <w:right w:w="0" w:type="dxa"/>
            </w:tcMar>
          </w:tcPr>
          <w:p/>
        </w:tc>
        <w:tc>
          <w:tcPr>
            <w:tcW w:type="dxa" w:w="3816"/>
            <w:tcMar>
              <w:top w:w="0" w:type="dxa"/>
              <w:left w:w="0" w:type="dxa"/>
              <w:bottom w:w="0" w:type="dxa"/>
              <w:right w:w="0" w:type="dxa"/>
            </w:tcMar>
          </w:tcPr>
          <w:p>
            <w:pPr>
              <w:pStyle w:val="equation"/>
              <w:spacing w:before="20" w:after="20"/>
              <w:jc w:val="center"/>
            </w:pPr>
            <m:oMath>
              <m:r>
                <m:rPr>
                  <m:sty m:val="p"/>
                </m:rPr>
                <m:t>(</m:t>
              </m:r>
              <m:r>
                <m:rPr>
                  <m:sty m:val="bi"/>
                </m:rPr>
                <m:t>LL</m:t>
              </m:r>
              <m:r>
                <m:rPr>
                  <m:sty m:val="p"/>
                </m:rPr>
                <m:t>,</m:t>
              </m:r>
              <m:r>
                <m:rPr>
                  <m:sty m:val="bi"/>
                </m:rPr>
                <m:t>LH</m:t>
              </m:r>
              <m:r>
                <m:rPr>
                  <m:sty m:val="p"/>
                </m:rPr>
                <m:t>,</m:t>
              </m:r>
              <m:r>
                <m:rPr>
                  <m:sty m:val="bi"/>
                </m:rPr>
                <m:t>HL</m:t>
              </m:r>
              <m:r>
                <m:rPr>
                  <m:sty m:val="p"/>
                </m:rPr>
                <m:t>,</m:t>
              </m:r>
              <m:r>
                <m:rPr>
                  <m:sty m:val="bi"/>
                </m:rPr>
                <m:t>HH</m:t>
              </m:r>
              <m:r>
                <m:rPr>
                  <m:sty m:val="p"/>
                </m:rPr>
                <m:t>)=</m:t>
              </m:r>
              <m:r>
                <m:rPr>
                  <m:sty m:val="p"/>
                  <m:scr m:val="script"/>
                </m:rPr>
                <m:t>ℋ</m:t>
              </m:r>
              <m:r>
                <m:rPr>
                  <m:sty m:val="p"/>
                </m:rPr>
                <m:t>(</m:t>
              </m:r>
              <m:sSub>
                <m:sSubPr/>
                <m:e>
                  <m:r>
                    <m:rPr>
                      <m:sty m:val="bi"/>
                    </m:rPr>
                    <m:t>X</m:t>
                  </m:r>
                </m:e>
                <m:sub>
                  <m:r>
                    <m:rPr/>
                    <m:t>w</m:t>
                  </m:r>
                </m:sub>
              </m:sSub>
              <m:r>
                <m:rPr>
                  <m:sty m:val="p"/>
                </m:rPr>
                <m:t>),</m:t>
              </m:r>
            </m:oMath>
          </w:p>
        </w:tc>
        <w:tc>
          <w:tcPr>
            <w:tcW w:type="dxa" w:w="504"/>
            <w:tcMar>
              <w:top w:w="0" w:type="dxa"/>
              <w:left w:w="0" w:type="dxa"/>
              <w:bottom w:w="0" w:type="dxa"/>
              <w:right w:w="0" w:type="dxa"/>
            </w:tcMar>
          </w:tcPr>
          <w:p>
            <w:pPr>
              <w:spacing w:before="20" w:after="20"/>
              <w:jc w:val="right"/>
            </w:pPr>
            <w:r>
              <w:rPr>
                <w:rFonts w:ascii="Times New Roman" w:hAnsi="Times New Roman" w:eastAsia="Times New Roman"/>
                <w:b w:val="0"/>
                <w:i w:val="0"/>
                <w:color w:val="000000"/>
                <w:sz w:val="19"/>
              </w:rPr>
              <w:t>(1)</w:t>
            </w:r>
          </w:p>
        </w:tc>
      </w:tr>
    </w:tbl>
    <w:p>
      <w:pPr>
        <w:pStyle w:val="3"/>
        <w:spacing w:before="0" w:after="60" w:line="276" w:lineRule="auto"/>
        <w:ind w:firstLine="0"/>
        <w:jc w:val="both"/>
      </w:pPr>
      <w:r>
        <w:rPr>
          <w:rFonts w:ascii="Times New Roman" w:hAnsi="Times New Roman" w:eastAsia="Times New Roman"/>
          <w:b w:val="0"/>
          <w:i w:val="0"/>
          <w:color w:val="000000"/>
          <w:sz w:val="20"/>
        </w:rPr>
        <w:t>Normalized detail energy Ehf, low-frequency magnitude Ell, and local residual Gll enter a small router:</w:t>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360"/>
        <w:gridCol w:w="3816"/>
        <w:gridCol w:w="504"/>
      </w:tblGrid>
      <w:tr>
        <w:tc>
          <w:tcPr>
            <w:tcW w:type="dxa" w:w="360"/>
            <w:tcMar>
              <w:top w:w="0" w:type="dxa"/>
              <w:left w:w="0" w:type="dxa"/>
              <w:bottom w:w="0" w:type="dxa"/>
              <w:right w:w="0" w:type="dxa"/>
            </w:tcMar>
          </w:tcPr>
          <w:p/>
        </w:tc>
        <w:tc>
          <w:tcPr>
            <w:tcW w:type="dxa" w:w="3816"/>
            <w:tcMar>
              <w:top w:w="0" w:type="dxa"/>
              <w:left w:w="0" w:type="dxa"/>
              <w:bottom w:w="0" w:type="dxa"/>
              <w:right w:w="0" w:type="dxa"/>
            </w:tcMar>
          </w:tcPr>
          <w:p>
            <w:pPr>
              <w:pStyle w:val="equation"/>
              <w:spacing w:before="20" w:after="20"/>
              <w:jc w:val="center"/>
            </w:pPr>
            <m:oMath>
              <m:r>
                <m:rPr>
                  <m:sty m:val="bi"/>
                </m:rPr>
                <m:t>S</m:t>
              </m:r>
              <m:r>
                <m:rPr>
                  <m:sty m:val="p"/>
                </m:rPr>
                <m:t>=</m:t>
              </m:r>
              <m:sSub>
                <m:sSubPr/>
                <m:e>
                  <m:r>
                    <m:rPr/>
                    <m:t>R</m:t>
                  </m:r>
                </m:e>
                <m:sub>
                  <m:r>
                    <m:rPr/>
                    <m:t>θ</m:t>
                  </m:r>
                </m:sub>
              </m:sSub>
              <m:r>
                <m:rPr>
                  <m:sty m:val="p"/>
                </m:rPr>
                <m:t>([</m:t>
              </m:r>
              <m:sSub>
                <m:sSubPr/>
                <m:e>
                  <m:acc>
                    <m:accPr>
                      <m:chr m:val="‾"/>
                    </m:accPr>
                    <m:e>
                      <m:r>
                        <m:rPr/>
                        <m:t>E</m:t>
                      </m:r>
                    </m:e>
                  </m:acc>
                </m:e>
                <m:sub>
                  <m:r>
                    <m:rPr/>
                    <m:t>hf</m:t>
                  </m:r>
                </m:sub>
              </m:sSub>
              <m:r>
                <m:rPr>
                  <m:sty m:val="p"/>
                </m:rPr>
                <m:t>;</m:t>
              </m:r>
              <m:sSub>
                <m:sSubPr/>
                <m:e>
                  <m:acc>
                    <m:accPr>
                      <m:chr m:val="‾"/>
                    </m:accPr>
                    <m:e>
                      <m:r>
                        <m:rPr/>
                        <m:t>E</m:t>
                      </m:r>
                    </m:e>
                  </m:acc>
                </m:e>
                <m:sub>
                  <m:r>
                    <m:rPr/>
                    <m:t>ll</m:t>
                  </m:r>
                </m:sub>
              </m:sSub>
              <m:r>
                <m:rPr>
                  <m:sty m:val="p"/>
                </m:rPr>
                <m:t>;</m:t>
              </m:r>
              <m:sSub>
                <m:sSubPr/>
                <m:e>
                  <m:acc>
                    <m:accPr>
                      <m:chr m:val="‾"/>
                    </m:accPr>
                    <m:e>
                      <m:r>
                        <m:rPr/>
                        <m:t>G</m:t>
                      </m:r>
                    </m:e>
                  </m:acc>
                </m:e>
                <m:sub>
                  <m:r>
                    <m:rPr/>
                    <m:t>ll</m:t>
                  </m:r>
                </m:sub>
              </m:sSub>
              <m:r>
                <m:rPr>
                  <m:sty m:val="p"/>
                </m:rPr>
                <m:t>])+log(</m:t>
              </m:r>
              <m:r>
                <m:rPr/>
                <m:t>1</m:t>
              </m:r>
              <m:r>
                <m:rPr>
                  <m:sty m:val="p"/>
                </m:rPr>
                <m:t>+</m:t>
              </m:r>
              <m:sSub>
                <m:sSubPr/>
                <m:e>
                  <m:acc>
                    <m:accPr>
                      <m:chr m:val="‾"/>
                    </m:accPr>
                    <m:e>
                      <m:r>
                        <m:rPr/>
                        <m:t>E</m:t>
                      </m:r>
                    </m:e>
                  </m:acc>
                </m:e>
                <m:sub>
                  <m:r>
                    <m:rPr/>
                    <m:t>hf</m:t>
                  </m:r>
                </m:sub>
              </m:sSub>
              <m:r>
                <m:rPr>
                  <m:sty m:val="p"/>
                </m:rPr>
                <m:t>+</m:t>
              </m:r>
              <m:sSub>
                <m:sSubPr/>
                <m:e>
                  <m:acc>
                    <m:accPr>
                      <m:chr m:val="‾"/>
                    </m:accPr>
                    <m:e>
                      <m:r>
                        <m:rPr/>
                        <m:t>G</m:t>
                      </m:r>
                    </m:e>
                  </m:acc>
                </m:e>
                <m:sub>
                  <m:r>
                    <m:rPr/>
                    <m:t>ll</m:t>
                  </m:r>
                </m:sub>
              </m:sSub>
              <m:r>
                <m:rPr>
                  <m:sty m:val="p"/>
                </m:rPr>
                <m:t>).</m:t>
              </m:r>
            </m:oMath>
          </w:p>
        </w:tc>
        <w:tc>
          <w:tcPr>
            <w:tcW w:type="dxa" w:w="504"/>
            <w:tcMar>
              <w:top w:w="0" w:type="dxa"/>
              <w:left w:w="0" w:type="dxa"/>
              <w:bottom w:w="0" w:type="dxa"/>
              <w:right w:w="0" w:type="dxa"/>
            </w:tcMar>
          </w:tcPr>
          <w:p>
            <w:pPr>
              <w:spacing w:before="20" w:after="20"/>
              <w:jc w:val="right"/>
            </w:pPr>
            <w:r>
              <w:rPr>
                <w:rFonts w:ascii="Times New Roman" w:hAnsi="Times New Roman" w:eastAsia="Times New Roman"/>
                <w:b w:val="0"/>
                <w:i w:val="0"/>
                <w:color w:val="000000"/>
                <w:sz w:val="19"/>
              </w:rPr>
              <w:t>(2)</w:t>
            </w:r>
          </w:p>
        </w:tc>
      </w:tr>
    </w:tbl>
    <w:p>
      <w:pPr>
        <w:pStyle w:val="3"/>
        <w:spacing w:before="0" w:after="60" w:line="276" w:lineRule="auto"/>
        <w:ind w:firstLine="0"/>
        <w:jc w:val="both"/>
      </w:pPr>
      <w:r>
        <w:rPr>
          <w:rFonts w:ascii="Times New Roman" w:hAnsi="Times New Roman" w:eastAsia="Times New Roman"/>
          <w:b w:val="0"/>
          <w:i w:val="0"/>
          <w:color w:val="000000"/>
          <w:sz w:val="20"/>
        </w:rPr>
        <w:t>Flattening spatial locations, the router selects an exact budget</w:t>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360"/>
        <w:gridCol w:w="3816"/>
        <w:gridCol w:w="504"/>
      </w:tblGrid>
      <w:tr>
        <w:tc>
          <w:tcPr>
            <w:tcW w:type="dxa" w:w="360"/>
            <w:tcMar>
              <w:top w:w="0" w:type="dxa"/>
              <w:left w:w="0" w:type="dxa"/>
              <w:bottom w:w="0" w:type="dxa"/>
              <w:right w:w="0" w:type="dxa"/>
            </w:tcMar>
          </w:tcPr>
          <w:p/>
        </w:tc>
        <w:tc>
          <w:tcPr>
            <w:tcW w:type="dxa" w:w="3816"/>
            <w:tcMar>
              <w:top w:w="0" w:type="dxa"/>
              <w:left w:w="0" w:type="dxa"/>
              <w:bottom w:w="0" w:type="dxa"/>
              <w:right w:w="0" w:type="dxa"/>
            </w:tcMar>
          </w:tcPr>
          <w:p>
            <w:pPr>
              <w:pStyle w:val="equation"/>
              <w:spacing w:before="20" w:after="20"/>
              <w:jc w:val="center"/>
            </w:pPr>
            <m:oMath>
              <m:r>
                <m:rPr>
                  <m:sty m:val="p"/>
                  <m:scr m:val="script"/>
                </m:rPr>
                <m:t>ℐ</m:t>
              </m:r>
              <m:r>
                <m:rPr>
                  <m:sty m:val="p"/>
                </m:rPr>
                <m:t>=TopK(</m:t>
              </m:r>
              <m:r>
                <m:rPr>
                  <m:sty m:val="bi"/>
                </m:rPr>
                <m:t>S</m:t>
              </m:r>
              <m:r>
                <m:rPr>
                  <m:sty m:val="p"/>
                </m:rPr>
                <m:t>,</m:t>
              </m:r>
              <m:r>
                <m:rPr/>
                <m:t>k</m:t>
              </m:r>
              <m:r>
                <m:rPr>
                  <m:sty m:val="p"/>
                </m:rPr>
                <m:t>),</m:t>
              </m:r>
              <m:r>
                <m:rPr/>
                <m:t> k</m:t>
              </m:r>
              <m:r>
                <m:rPr>
                  <m:sty m:val="p"/>
                </m:rPr>
                <m:t>=min(</m:t>
              </m:r>
              <m:r>
                <m:rPr/>
                <m:t>HW</m:t>
              </m:r>
              <m:r>
                <m:rPr>
                  <m:sty m:val="p"/>
                </m:rPr>
                <m:t>,max(</m:t>
              </m:r>
              <m:r>
                <m:rPr/>
                <m:t>4</m:t>
              </m:r>
              <m:r>
                <m:rPr>
                  <m:sty m:val="p"/>
                </m:rPr>
                <m:t>,round(</m:t>
              </m:r>
              <m:r>
                <m:rPr/>
                <m:t>ρHW</m:t>
              </m:r>
              <m:r>
                <m:rPr>
                  <m:sty m:val="p"/>
                </m:rPr>
                <m:t>))).</m:t>
              </m:r>
            </m:oMath>
          </w:p>
        </w:tc>
        <w:tc>
          <w:tcPr>
            <w:tcW w:type="dxa" w:w="504"/>
            <w:tcMar>
              <w:top w:w="0" w:type="dxa"/>
              <w:left w:w="0" w:type="dxa"/>
              <w:bottom w:w="0" w:type="dxa"/>
              <w:right w:w="0" w:type="dxa"/>
            </w:tcMar>
          </w:tcPr>
          <w:p>
            <w:pPr>
              <w:spacing w:before="20" w:after="20"/>
              <w:jc w:val="right"/>
            </w:pPr>
            <w:r>
              <w:rPr>
                <w:rFonts w:ascii="Times New Roman" w:hAnsi="Times New Roman" w:eastAsia="Times New Roman"/>
                <w:b w:val="0"/>
                <w:i w:val="0"/>
                <w:color w:val="000000"/>
                <w:sz w:val="19"/>
              </w:rPr>
              <w:t>(3)</w:t>
            </w:r>
          </w:p>
        </w:tc>
      </w:tr>
    </w:tbl>
    <w:p>
      <w:pPr>
        <w:pStyle w:val="3"/>
        <w:spacing w:before="0" w:after="60" w:line="276" w:lineRule="auto"/>
        <w:ind w:firstLine="0"/>
        <w:jc w:val="both"/>
      </w:pPr>
      <w:r>
        <w:rPr>
          <w:rFonts w:ascii="Times New Roman" w:hAnsi="Times New Roman" w:eastAsia="Times New Roman"/>
          <w:b w:val="0"/>
          <w:i w:val="0"/>
          <w:color w:val="000000"/>
          <w:sz w:val="20"/>
        </w:rPr>
        <w:t>A normalized 3×3 kernel contextualizes Xr; only selected indices are gathered. For token tensor T,</w:t>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360"/>
        <w:gridCol w:w="3816"/>
        <w:gridCol w:w="504"/>
      </w:tblGrid>
      <w:tr>
        <w:tc>
          <w:tcPr>
            <w:tcW w:type="dxa" w:w="360"/>
            <w:tcMar>
              <w:top w:w="0" w:type="dxa"/>
              <w:left w:w="0" w:type="dxa"/>
              <w:bottom w:w="0" w:type="dxa"/>
              <w:right w:w="0" w:type="dxa"/>
            </w:tcMar>
          </w:tcPr>
          <w:p/>
        </w:tc>
        <w:tc>
          <w:tcPr>
            <w:tcW w:type="dxa" w:w="3816"/>
            <w:tcMar>
              <w:top w:w="0" w:type="dxa"/>
              <w:left w:w="0" w:type="dxa"/>
              <w:bottom w:w="0" w:type="dxa"/>
              <w:right w:w="0" w:type="dxa"/>
            </w:tcMar>
          </w:tcPr>
          <w:p>
            <w:pPr>
              <w:pStyle w:val="equation"/>
              <w:spacing w:before="20" w:after="20"/>
              <w:jc w:val="center"/>
            </w:pPr>
            <m:oMath>
              <m:sSubSup>
                <m:sSubSupPr/>
                <m:e>
                  <m:r>
                    <m:rPr>
                      <m:sty m:val="bi"/>
                    </m:rPr>
                    <m:t>T</m:t>
                  </m:r>
                </m:e>
                <m:sub>
                  <m:r>
                    <m:rPr>
                      <m:sty m:val="p"/>
                      <m:scr m:val="script"/>
                    </m:rPr>
                    <m:t>ℐ</m:t>
                  </m:r>
                </m:sub>
                <m:sup>
                  <m:r>
                    <m:rPr>
                      <m:sty m:val="p"/>
                    </m:rPr>
                    <m:t>′</m:t>
                  </m:r>
                </m:sup>
              </m:sSubSup>
              <m:r>
                <m:rPr>
                  <m:sty m:val="p"/>
                </m:rPr>
                <m:t>=</m:t>
              </m:r>
              <m:sSub>
                <m:sSubPr/>
                <m:e>
                  <m:r>
                    <m:rPr>
                      <m:sty m:val="bi"/>
                    </m:rPr>
                    <m:t>T</m:t>
                  </m:r>
                </m:e>
                <m:sub>
                  <m:r>
                    <m:rPr>
                      <m:sty m:val="p"/>
                      <m:scr m:val="script"/>
                    </m:rPr>
                    <m:t>ℐ</m:t>
                  </m:r>
                </m:sub>
              </m:sSub>
              <m:r>
                <m:rPr>
                  <m:sty m:val="p"/>
                </m:rPr>
                <m:t>+</m:t>
              </m:r>
              <m:r>
                <m:rPr/>
                <m:t>σ</m:t>
              </m:r>
              <m:r>
                <m:rPr>
                  <m:sty m:val="p"/>
                </m:rPr>
                <m:t>(</m:t>
              </m:r>
              <m:sSub>
                <m:sSubPr/>
                <m:e>
                  <m:r>
                    <m:rPr>
                      <m:sty m:val="bi"/>
                    </m:rPr>
                    <m:t>S</m:t>
                  </m:r>
                </m:e>
                <m:sub>
                  <m:r>
                    <m:rPr>
                      <m:sty m:val="p"/>
                      <m:scr m:val="script"/>
                    </m:rPr>
                    <m:t>ℐ</m:t>
                  </m:r>
                </m:sub>
              </m:sSub>
              <m:r>
                <m:rPr>
                  <m:sty m:val="p"/>
                </m:rPr>
                <m:t>)⊙MLP</m:t>
              </m:r>
              <m:r>
                <m:rPr/>
                <m:t>​</m:t>
              </m:r>
              <m:d>
                <m:dPr>
                  <m:sepChr m:val=""/>
                </m:dPr>
                <m:e>
                  <m:r>
                    <m:rPr>
                      <m:sty m:val="p"/>
                    </m:rPr>
                    <m:t>LN(</m:t>
                  </m:r>
                  <m:sSub>
                    <m:sSubPr/>
                    <m:e>
                      <m:r>
                        <m:rPr>
                          <m:sty m:val="bi"/>
                        </m:rPr>
                        <m:t>T</m:t>
                      </m:r>
                    </m:e>
                    <m:sub>
                      <m:r>
                        <m:rPr>
                          <m:sty m:val="p"/>
                          <m:scr m:val="script"/>
                        </m:rPr>
                        <m:t>ℐ</m:t>
                      </m:r>
                    </m:sub>
                  </m:sSub>
                  <m:r>
                    <m:rPr>
                      <m:sty m:val="p"/>
                    </m:rPr>
                    <m:t>+</m:t>
                  </m:r>
                  <m:r>
                    <m:rPr/>
                    <m:t>γ</m:t>
                  </m:r>
                  <m:r>
                    <m:rPr>
                      <m:sty m:val="p"/>
                    </m:rPr>
                    <m:t>(</m:t>
                  </m:r>
                  <m:sSub>
                    <m:sSubPr/>
                    <m:e>
                      <m:acc>
                        <m:accPr>
                          <m:chr m:val="̃"/>
                        </m:accPr>
                        <m:e>
                          <m:r>
                            <m:rPr>
                              <m:sty m:val="bi"/>
                            </m:rPr>
                            <m:t>T</m:t>
                          </m:r>
                        </m:e>
                      </m:acc>
                    </m:e>
                    <m:sub>
                      <m:r>
                        <m:rPr>
                          <m:sty m:val="p"/>
                          <m:scr m:val="script"/>
                        </m:rPr>
                        <m:t>ℐ</m:t>
                      </m:r>
                    </m:sub>
                  </m:sSub>
                  <m:r>
                    <m:rPr>
                      <m:sty m:val="p"/>
                    </m:rPr>
                    <m:t>−</m:t>
                  </m:r>
                  <m:sSub>
                    <m:sSubPr/>
                    <m:e>
                      <m:r>
                        <m:rPr>
                          <m:sty m:val="bi"/>
                        </m:rPr>
                        <m:t>T</m:t>
                      </m:r>
                    </m:e>
                    <m:sub>
                      <m:r>
                        <m:rPr>
                          <m:sty m:val="p"/>
                          <m:scr m:val="script"/>
                        </m:rPr>
                        <m:t>ℐ</m:t>
                      </m:r>
                    </m:sub>
                  </m:sSub>
                  <m:r>
                    <m:rPr>
                      <m:sty m:val="p"/>
                    </m:rPr>
                    <m:t>))</m:t>
                  </m:r>
                </m:e>
              </m:d>
              <m:r>
                <m:rPr>
                  <m:sty m:val="p"/>
                </m:rPr>
                <m:t>.</m:t>
              </m:r>
            </m:oMath>
          </w:p>
        </w:tc>
        <w:tc>
          <w:tcPr>
            <w:tcW w:type="dxa" w:w="504"/>
            <w:tcMar>
              <w:top w:w="0" w:type="dxa"/>
              <w:left w:w="0" w:type="dxa"/>
              <w:bottom w:w="0" w:type="dxa"/>
              <w:right w:w="0" w:type="dxa"/>
            </w:tcMar>
          </w:tcPr>
          <w:p>
            <w:pPr>
              <w:spacing w:before="20" w:after="20"/>
              <w:jc w:val="right"/>
            </w:pPr>
            <w:r>
              <w:rPr>
                <w:rFonts w:ascii="Times New Roman" w:hAnsi="Times New Roman" w:eastAsia="Times New Roman"/>
                <w:b w:val="0"/>
                <w:i w:val="0"/>
                <w:color w:val="000000"/>
                <w:sz w:val="19"/>
              </w:rPr>
              <w:t>(4)</w:t>
            </w:r>
          </w:p>
        </w:tc>
      </w:tr>
    </w:tbl>
    <w:p>
      <w:pPr>
        <w:pStyle w:val="3"/>
        <w:spacing w:before="0" w:after="60" w:line="276" w:lineRule="auto"/>
        <w:ind w:firstLine="0"/>
        <w:jc w:val="both"/>
      </w:pPr>
      <w:r>
        <w:rPr>
          <w:rFonts w:ascii="Times New Roman" w:hAnsi="Times New Roman" w:eastAsia="Times New Roman"/>
          <w:b w:val="0"/>
          <w:i w:val="0"/>
          <w:color w:val="000000"/>
          <w:sz w:val="20"/>
        </w:rPr>
        <w:t>Unrouted tokens remain unchanged. A softmax gate fuses both branches with an identity skip. One block is inserted at P3 with ρ=0.25; confidence factors and detector losses train the router although hard indices receive no gradient (Figure 1).</w:t>
      </w:r>
    </w:p>
    <w:p>
      <w:pPr>
        <w:pStyle w:val="2"/>
        <w:keepNext/>
        <w:spacing w:before="160" w:after="80"/>
        <w:jc w:val="center"/>
      </w:pPr>
      <w:r>
        <w:rPr>
          <w:rFonts w:ascii="Times New Roman" w:hAnsi="Times New Roman" w:eastAsia="Times New Roman"/>
          <w:b w:val="0"/>
          <w:i w:val="0"/>
          <w:smallCaps/>
          <w:color w:val="000000"/>
          <w:sz w:val="20"/>
        </w:rPr>
        <w:t>IV. EXPERIMENTS</w:t>
      </w:r>
    </w:p>
    <w:p>
      <w:pPr>
        <w:pStyle w:val="4"/>
        <w:keepNext/>
        <w:spacing w:before="120" w:after="60"/>
        <w:jc w:val="left"/>
      </w:pPr>
      <w:r>
        <w:rPr>
          <w:rFonts w:ascii="Times New Roman" w:hAnsi="Times New Roman" w:eastAsia="Times New Roman"/>
          <w:b w:val="0"/>
          <w:i/>
          <w:color w:val="000000"/>
          <w:sz w:val="20"/>
        </w:rPr>
        <w:t>A. Protocol</w:t>
      </w:r>
    </w:p>
    <w:p>
      <w:pPr>
        <w:pStyle w:val="3"/>
        <w:spacing w:before="0" w:after="60" w:line="276" w:lineRule="auto"/>
        <w:ind w:firstLine="0"/>
        <w:jc w:val="both"/>
      </w:pPr>
      <w:r>
        <w:rPr>
          <w:rFonts w:ascii="Times New Roman" w:hAnsi="Times New Roman" w:eastAsia="Times New Roman"/>
          <w:b w:val="0"/>
          <w:i w:val="0"/>
          <w:color w:val="000000"/>
          <w:sz w:val="20"/>
        </w:rPr>
        <w:t xml:space="preserve">Table 1 gives the frozen splits. DsPCBSD+ uses seven paired seeds; DeepPCB uses three descriptive pairs and audits 500 clean templates separately. Models share the YOLO11s checkpoint, 640-pixel input, 80-epoch limit, deterministic SGD, and augmentation. A pinned COCO evaluator </w:t>
      </w:r>
      <w:r>
        <w:rPr>
          <w:rFonts w:ascii="Times New Roman" w:hAnsi="Times New Roman" w:eastAsia="Times New Roman"/>
          <w:b w:val="0"/>
          <w:i w:val="0"/>
          <w:color w:val="000000"/>
          <w:sz w:val="20"/>
          <w:vertAlign w:val="superscript"/>
        </w:rPr>
        <w:t>[14]</w:t>
      </w:r>
      <w:r>
        <w:rPr>
          <w:rFonts w:ascii="Times New Roman" w:hAnsi="Times New Roman" w:eastAsia="Times New Roman"/>
          <w:b w:val="0"/>
          <w:i w:val="0"/>
          <w:color w:val="000000"/>
          <w:sz w:val="20"/>
        </w:rPr>
        <w:t xml:space="preserve"> reports AP; RTX 3090 timing uses synchronized ABBA/BAAB cycles.</w:t>
      </w:r>
    </w:p>
    <w:p>
      <w:pPr>
        <w:sectPr>
          <w:footnotePr>
            <w:numRestart w:val="eachSect"/>
          </w:footnotePr>
          <w:type w:val="continuous"/>
          <w:pgSz w:w="12240" w:h="15840"/>
          <w:pgMar w:top="1080" w:right="893" w:bottom="1440" w:left="893" w:header="720" w:footer="720" w:gutter="0"/>
          <w:cols w:space="360" w:num="2"/>
        </w:sectPr>
      </w:pPr>
    </w:p>
    <w:p>
      <w:pPr>
        <w:pStyle w:val="figurecaption"/>
        <w:keepLines/>
        <w:pageBreakBefore w:val="0"/>
        <w:jc w:val="center"/>
      </w:pPr>
      <w:r>
        <w:drawing>
          <wp:inline xmlns:a="http://schemas.openxmlformats.org/drawingml/2006/main" xmlns:pic="http://schemas.openxmlformats.org/drawingml/2006/picture">
            <wp:extent cx="6446520" cy="1406513"/>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6446520" cy="1406513"/>
                    </a:xfrm>
                    <a:prstGeom prst="rect"/>
                  </pic:spPr>
                </pic:pic>
              </a:graphicData>
            </a:graphic>
          </wp:inline>
        </w:drawing>
      </w:r>
      <w:r>
        <w:br/>
      </w:r>
      <w:r>
        <w:rPr>
          <w:rFonts w:ascii="Times New Roman" w:hAnsi="Times New Roman" w:eastAsia="Times New Roman"/>
          <w:b w:val="0"/>
          <w:i w:val="0"/>
          <w:color w:val="000000"/>
          <w:sz w:val="16"/>
        </w:rPr>
        <w:t>Figure 1. Compact WSR flow. Fixed Haar cues drive wave gating and dense routing; only the gathered channel MLP uses the exact ρHW budget.</w:t>
      </w:r>
    </w:p>
    <w:p>
      <w:pPr>
        <w:sectPr>
          <w:footnotePr>
            <w:numRestart w:val="eachSect"/>
          </w:footnotePr>
          <w:type w:val="continuous"/>
          <w:pgSz w:w="12240" w:h="15840"/>
          <w:pgMar w:top="1080" w:right="893" w:bottom="1440" w:left="893" w:header="720" w:footer="720" w:gutter="0"/>
          <w:cols w:space="360" w:num="1"/>
        </w:sectPr>
      </w:pPr>
    </w:p>
    <w:p>
      <w:pPr>
        <w:pStyle w:val="3"/>
        <w:spacing w:before="0" w:after="60" w:line="276" w:lineRule="auto"/>
        <w:ind w:firstLine="288"/>
        <w:jc w:val="both"/>
      </w:pPr>
      <w:r>
        <w:rPr>
          <w:rFonts w:ascii="Times New Roman" w:hAnsi="Times New Roman" w:eastAsia="Times New Roman"/>
          <w:b w:val="0"/>
          <w:i w:val="0"/>
          <w:color w:val="000000"/>
          <w:sz w:val="20"/>
        </w:rPr>
        <w:t>Pretraining transfer must exceed 99%; paths, labels, boxes, hashes, and similarity are audited before training. P3/25% is selected on validation data before locked-test access; later studies are explicitly diagnostic or exploratory.</w:t>
      </w:r>
    </w:p>
    <w:p>
      <w:pPr>
        <w:pStyle w:val="tablehead"/>
        <w:keepNext/>
        <w:keepLines/>
        <w:jc w:val="center"/>
      </w:pPr>
      <w:r>
        <w:rPr>
          <w:rFonts w:ascii="Times New Roman" w:hAnsi="Times New Roman" w:eastAsia="Times New Roman"/>
          <w:b w:val="0"/>
          <w:i w:val="0"/>
          <w:color w:val="000000"/>
          <w:sz w:val="16"/>
        </w:rPr>
        <w:t>Table 1. Frozen dataset partitions after conversion and validation.</w:t>
      </w:r>
    </w:p>
    <w:tbl>
      <w:tblPr>
        <w:tblW w:type="dxa" w:w="4277"/>
        <w:jc w:val="center"/>
        <w:tblLayout w:type="fixed"/>
        <w:tblLook w:firstColumn="1" w:firstRow="1" w:lastColumn="0" w:lastRow="0" w:noHBand="0" w:noVBand="1" w:val="04A0"/>
        <w:tblInd w:w="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30" w:type="dxa"/>
          <w:bottom w:w="30" w:type="dxa"/>
          <w:left w:w="40" w:type="dxa"/>
          <w:right w:w="40" w:type="dxa"/>
        </w:tblCellMar>
      </w:tblPr>
      <w:tblGrid>
        <w:gridCol w:w="1267"/>
        <w:gridCol w:w="1224"/>
        <w:gridCol w:w="893"/>
        <w:gridCol w:w="893"/>
      </w:tblGrid>
      <w:tr>
        <w:trPr>
          <w:trHeight w:val="260" w:hRule="atLeast"/>
          <w:cantSplit/>
        </w:trPr>
        <w:tc>
          <w:tcPr>
            <w:tcW w:type="dxa" w:w="1267"/>
            <w:vAlign w:val="center"/>
          </w:tcPr>
          <w:p>
            <w:pPr>
              <w:pStyle w:val="tablecolhead"/>
              <w:keepNext/>
              <w:spacing w:before="0" w:after="0"/>
              <w:jc w:val="center"/>
            </w:pPr>
            <w:r/>
            <w:r>
              <w:rPr>
                <w:rFonts w:ascii="Times New Roman" w:hAnsi="Times New Roman" w:eastAsia="Times New Roman"/>
                <w:b/>
                <w:i w:val="0"/>
                <w:color w:val="000000"/>
                <w:sz w:val="16"/>
              </w:rPr>
              <w:t>Dataset</w:t>
            </w:r>
          </w:p>
        </w:tc>
        <w:tc>
          <w:tcPr>
            <w:tcW w:type="dxa" w:w="1224"/>
            <w:vAlign w:val="center"/>
          </w:tcPr>
          <w:p>
            <w:pPr>
              <w:pStyle w:val="tablecolhead"/>
              <w:keepNext/>
              <w:spacing w:before="0" w:after="0"/>
              <w:jc w:val="center"/>
            </w:pPr>
            <w:r/>
            <w:r>
              <w:rPr>
                <w:rFonts w:ascii="Times New Roman" w:hAnsi="Times New Roman" w:eastAsia="Times New Roman"/>
                <w:b/>
                <w:i w:val="0"/>
                <w:color w:val="000000"/>
                <w:sz w:val="16"/>
              </w:rPr>
              <w:t>Split</w:t>
            </w:r>
          </w:p>
        </w:tc>
        <w:tc>
          <w:tcPr>
            <w:tcW w:type="dxa" w:w="893"/>
            <w:vAlign w:val="center"/>
          </w:tcPr>
          <w:p>
            <w:pPr>
              <w:pStyle w:val="tablecolhead"/>
              <w:keepNext/>
              <w:spacing w:before="0" w:after="0"/>
              <w:jc w:val="center"/>
            </w:pPr>
            <w:r/>
            <w:r>
              <w:rPr>
                <w:rFonts w:ascii="Times New Roman" w:hAnsi="Times New Roman" w:eastAsia="Times New Roman"/>
                <w:b/>
                <w:i w:val="0"/>
                <w:color w:val="000000"/>
                <w:sz w:val="16"/>
              </w:rPr>
              <w:t>Images</w:t>
            </w:r>
          </w:p>
        </w:tc>
        <w:tc>
          <w:tcPr>
            <w:tcW w:type="dxa" w:w="893"/>
            <w:vAlign w:val="center"/>
          </w:tcPr>
          <w:p>
            <w:pPr>
              <w:pStyle w:val="tablecolhead"/>
              <w:keepNext/>
              <w:spacing w:before="0" w:after="0"/>
              <w:jc w:val="center"/>
            </w:pPr>
            <w:r/>
            <w:r>
              <w:rPr>
                <w:rFonts w:ascii="Times New Roman" w:hAnsi="Times New Roman" w:eastAsia="Times New Roman"/>
                <w:b/>
                <w:i w:val="0"/>
                <w:color w:val="000000"/>
                <w:sz w:val="16"/>
              </w:rPr>
              <w:t>Boxes</w:t>
            </w:r>
          </w:p>
        </w:tc>
      </w:tr>
      <w:tr>
        <w:trPr>
          <w:trHeight w:val="260" w:hRule="atLeast"/>
          <w:cantSplit/>
        </w:trPr>
        <w:tc>
          <w:tcPr>
            <w:tcW w:type="dxa" w:w="1267"/>
            <w:vMerge w:val="restart"/>
            <w:vAlign w:val="center"/>
          </w:tcPr>
          <w:p>
            <w:pPr>
              <w:pStyle w:val="tablecopy"/>
              <w:keepNext/>
              <w:spacing w:before="0" w:after="0"/>
              <w:jc w:val="center"/>
            </w:pPr>
            <w:r/>
            <w:r>
              <w:rPr>
                <w:rFonts w:ascii="Times New Roman" w:hAnsi="Times New Roman" w:eastAsia="Times New Roman"/>
                <w:b w:val="0"/>
                <w:i w:val="0"/>
                <w:color w:val="000000"/>
                <w:sz w:val="16"/>
              </w:rPr>
              <w:t>DsPCBSD+</w:t>
            </w:r>
          </w:p>
          <w:p>
            <w:pPr>
              <w:pStyle w:val="tablecopy"/>
              <w:keepNext/>
              <w:spacing w:before="0" w:after="0"/>
              <w:jc w:val="center"/>
            </w:pPr>
            <w:r/>
            <w:r>
              <w:rPr>
                <w:rFonts w:ascii="Times New Roman" w:hAnsi="Times New Roman" w:eastAsia="Times New Roman"/>
                <w:b w:val="0"/>
                <w:i w:val="0"/>
                <w:color w:val="000000"/>
                <w:sz w:val="16"/>
              </w:rPr>
            </w:r>
          </w:p>
          <w:p>
            <w:pPr>
              <w:pStyle w:val="tablecopy"/>
              <w:keepNext/>
              <w:spacing w:before="0" w:after="0"/>
              <w:jc w:val="center"/>
            </w:pPr>
            <w:r/>
            <w:r>
              <w:rPr>
                <w:rFonts w:ascii="Times New Roman" w:hAnsi="Times New Roman" w:eastAsia="Times New Roman"/>
                <w:b w:val="0"/>
                <w:i w:val="0"/>
                <w:color w:val="000000"/>
                <w:sz w:val="16"/>
              </w:rPr>
            </w:r>
          </w:p>
        </w:tc>
        <w:tc>
          <w:tcPr>
            <w:tcW w:type="dxa" w:w="1224"/>
            <w:vAlign w:val="center"/>
          </w:tcPr>
          <w:p>
            <w:pPr>
              <w:pStyle w:val="tablecopy"/>
              <w:keepNext/>
              <w:spacing w:before="0" w:after="0"/>
              <w:jc w:val="center"/>
            </w:pPr>
            <w:r/>
            <w:r>
              <w:rPr>
                <w:rFonts w:ascii="Times New Roman" w:hAnsi="Times New Roman" w:eastAsia="Times New Roman"/>
                <w:b w:val="0"/>
                <w:i w:val="0"/>
                <w:color w:val="000000"/>
                <w:sz w:val="16"/>
              </w:rPr>
              <w:t>Train</w:t>
            </w:r>
          </w:p>
        </w:tc>
        <w:tc>
          <w:tcPr>
            <w:tcW w:type="dxa" w:w="893"/>
            <w:vAlign w:val="center"/>
          </w:tcPr>
          <w:p>
            <w:pPr>
              <w:pStyle w:val="tablecopy"/>
              <w:keepNext/>
              <w:spacing w:before="0" w:after="0"/>
              <w:jc w:val="center"/>
            </w:pPr>
            <w:r/>
            <w:r>
              <w:rPr>
                <w:rFonts w:ascii="Times New Roman" w:hAnsi="Times New Roman" w:eastAsia="Times New Roman"/>
                <w:b w:val="0"/>
                <w:i w:val="0"/>
                <w:color w:val="000000"/>
                <w:sz w:val="16"/>
              </w:rPr>
              <w:t>7,387</w:t>
            </w:r>
          </w:p>
        </w:tc>
        <w:tc>
          <w:tcPr>
            <w:tcW w:type="dxa" w:w="893"/>
            <w:vAlign w:val="center"/>
          </w:tcPr>
          <w:p>
            <w:pPr>
              <w:pStyle w:val="tablecopy"/>
              <w:keepNext/>
              <w:spacing w:before="0" w:after="0"/>
              <w:jc w:val="center"/>
            </w:pPr>
            <w:r/>
            <w:r>
              <w:rPr>
                <w:rFonts w:ascii="Times New Roman" w:hAnsi="Times New Roman" w:eastAsia="Times New Roman"/>
                <w:b w:val="0"/>
                <w:i w:val="0"/>
                <w:color w:val="000000"/>
                <w:sz w:val="16"/>
              </w:rPr>
              <w:t>14,590</w:t>
            </w:r>
          </w:p>
        </w:tc>
      </w:tr>
      <w:tr>
        <w:trPr>
          <w:trHeight w:val="260" w:hRule="atLeast"/>
          <w:cantSplit/>
        </w:trPr>
        <w:tc>
          <w:tcPr>
            <w:tcW w:type="dxa" w:w="1267"/>
            <w:vMerge/>
            <w:vAlign w:val="center"/>
          </w:tcPr>
          <w:p/>
        </w:tc>
        <w:tc>
          <w:tcPr>
            <w:tcW w:type="dxa" w:w="1224"/>
            <w:vAlign w:val="center"/>
          </w:tcPr>
          <w:p>
            <w:pPr>
              <w:pStyle w:val="tablecopy"/>
              <w:keepNext/>
              <w:spacing w:before="0" w:after="0"/>
              <w:jc w:val="center"/>
            </w:pPr>
            <w:r/>
            <w:r>
              <w:rPr>
                <w:rFonts w:ascii="Times New Roman" w:hAnsi="Times New Roman" w:eastAsia="Times New Roman"/>
                <w:b w:val="0"/>
                <w:i w:val="0"/>
                <w:color w:val="000000"/>
                <w:sz w:val="16"/>
              </w:rPr>
              <w:t>Validation</w:t>
            </w:r>
          </w:p>
        </w:tc>
        <w:tc>
          <w:tcPr>
            <w:tcW w:type="dxa" w:w="893"/>
            <w:vAlign w:val="center"/>
          </w:tcPr>
          <w:p>
            <w:pPr>
              <w:pStyle w:val="tablecopy"/>
              <w:keepNext/>
              <w:spacing w:before="0" w:after="0"/>
              <w:jc w:val="center"/>
            </w:pPr>
            <w:r/>
            <w:r>
              <w:rPr>
                <w:rFonts w:ascii="Times New Roman" w:hAnsi="Times New Roman" w:eastAsia="Times New Roman"/>
                <w:b w:val="0"/>
                <w:i w:val="0"/>
                <w:color w:val="000000"/>
                <w:sz w:val="16"/>
              </w:rPr>
              <w:t>821</w:t>
            </w:r>
          </w:p>
        </w:tc>
        <w:tc>
          <w:tcPr>
            <w:tcW w:type="dxa" w:w="893"/>
            <w:vAlign w:val="center"/>
          </w:tcPr>
          <w:p>
            <w:pPr>
              <w:pStyle w:val="tablecopy"/>
              <w:keepNext/>
              <w:spacing w:before="0" w:after="0"/>
              <w:jc w:val="center"/>
            </w:pPr>
            <w:r/>
            <w:r>
              <w:rPr>
                <w:rFonts w:ascii="Times New Roman" w:hAnsi="Times New Roman" w:eastAsia="Times New Roman"/>
                <w:b w:val="0"/>
                <w:i w:val="0"/>
                <w:color w:val="000000"/>
                <w:sz w:val="16"/>
              </w:rPr>
              <w:t>1,594</w:t>
            </w:r>
          </w:p>
        </w:tc>
      </w:tr>
      <w:tr>
        <w:trPr>
          <w:trHeight w:val="260" w:hRule="atLeast"/>
          <w:cantSplit/>
        </w:trPr>
        <w:tc>
          <w:tcPr>
            <w:tcW w:type="dxa" w:w="1267"/>
            <w:vMerge/>
            <w:vAlign w:val="center"/>
          </w:tcPr>
          <w:p/>
        </w:tc>
        <w:tc>
          <w:tcPr>
            <w:tcW w:type="dxa" w:w="1224"/>
            <w:vAlign w:val="center"/>
          </w:tcPr>
          <w:p>
            <w:pPr>
              <w:pStyle w:val="tablecopy"/>
              <w:keepNext/>
              <w:spacing w:before="0" w:after="0"/>
              <w:jc w:val="center"/>
            </w:pPr>
            <w:r/>
            <w:r>
              <w:rPr>
                <w:rFonts w:ascii="Times New Roman" w:hAnsi="Times New Roman" w:eastAsia="Times New Roman"/>
                <w:b w:val="0"/>
                <w:i w:val="0"/>
                <w:color w:val="000000"/>
                <w:sz w:val="16"/>
              </w:rPr>
              <w:t>Locked test</w:t>
            </w:r>
          </w:p>
        </w:tc>
        <w:tc>
          <w:tcPr>
            <w:tcW w:type="dxa" w:w="893"/>
            <w:vAlign w:val="center"/>
          </w:tcPr>
          <w:p>
            <w:pPr>
              <w:pStyle w:val="tablecopy"/>
              <w:keepNext/>
              <w:spacing w:before="0" w:after="0"/>
              <w:jc w:val="center"/>
            </w:pPr>
            <w:r/>
            <w:r>
              <w:rPr>
                <w:rFonts w:ascii="Times New Roman" w:hAnsi="Times New Roman" w:eastAsia="Times New Roman"/>
                <w:b w:val="0"/>
                <w:i w:val="0"/>
                <w:color w:val="000000"/>
                <w:sz w:val="16"/>
              </w:rPr>
              <w:t>2,051</w:t>
            </w:r>
          </w:p>
        </w:tc>
        <w:tc>
          <w:tcPr>
            <w:tcW w:type="dxa" w:w="893"/>
            <w:vAlign w:val="center"/>
          </w:tcPr>
          <w:p>
            <w:pPr>
              <w:pStyle w:val="tablecopy"/>
              <w:keepNext/>
              <w:spacing w:before="0" w:after="0"/>
              <w:jc w:val="center"/>
            </w:pPr>
            <w:r/>
            <w:r>
              <w:rPr>
                <w:rFonts w:ascii="Times New Roman" w:hAnsi="Times New Roman" w:eastAsia="Times New Roman"/>
                <w:b w:val="0"/>
                <w:i w:val="0"/>
                <w:color w:val="000000"/>
                <w:sz w:val="16"/>
              </w:rPr>
              <w:t>4,092</w:t>
            </w:r>
          </w:p>
        </w:tc>
      </w:tr>
      <w:tr>
        <w:trPr>
          <w:trHeight w:val="260" w:hRule="atLeast"/>
          <w:cantSplit/>
        </w:trPr>
        <w:tc>
          <w:tcPr>
            <w:tcW w:type="dxa" w:w="1267"/>
            <w:vMerge w:val="restart"/>
            <w:vAlign w:val="center"/>
          </w:tcPr>
          <w:p>
            <w:pPr>
              <w:pStyle w:val="tablecopy"/>
              <w:keepNext/>
              <w:spacing w:before="0" w:after="0"/>
              <w:jc w:val="center"/>
            </w:pPr>
            <w:r/>
            <w:r>
              <w:rPr>
                <w:rFonts w:ascii="Times New Roman" w:hAnsi="Times New Roman" w:eastAsia="Times New Roman"/>
                <w:b w:val="0"/>
                <w:i w:val="0"/>
                <w:color w:val="000000"/>
                <w:sz w:val="16"/>
              </w:rPr>
              <w:t>DeepPCB</w:t>
            </w:r>
          </w:p>
          <w:p>
            <w:pPr>
              <w:pStyle w:val="tablecopy"/>
              <w:keepNext/>
              <w:spacing w:before="0" w:after="0"/>
              <w:jc w:val="center"/>
            </w:pPr>
            <w:r/>
            <w:r>
              <w:rPr>
                <w:rFonts w:ascii="Times New Roman" w:hAnsi="Times New Roman" w:eastAsia="Times New Roman"/>
                <w:b w:val="0"/>
                <w:i w:val="0"/>
                <w:color w:val="000000"/>
                <w:sz w:val="16"/>
              </w:rPr>
            </w:r>
          </w:p>
          <w:p>
            <w:pPr>
              <w:pStyle w:val="tablecopy"/>
              <w:keepNext/>
              <w:spacing w:before="0" w:after="0"/>
              <w:jc w:val="center"/>
            </w:pPr>
            <w:r/>
            <w:r>
              <w:rPr>
                <w:rFonts w:ascii="Times New Roman" w:hAnsi="Times New Roman" w:eastAsia="Times New Roman"/>
                <w:b w:val="0"/>
                <w:i w:val="0"/>
                <w:color w:val="000000"/>
                <w:sz w:val="16"/>
              </w:rPr>
            </w:r>
          </w:p>
        </w:tc>
        <w:tc>
          <w:tcPr>
            <w:tcW w:type="dxa" w:w="1224"/>
            <w:vAlign w:val="center"/>
          </w:tcPr>
          <w:p>
            <w:pPr>
              <w:pStyle w:val="tablecopy"/>
              <w:keepNext/>
              <w:spacing w:before="0" w:after="0"/>
              <w:jc w:val="center"/>
            </w:pPr>
            <w:r/>
            <w:r>
              <w:rPr>
                <w:rFonts w:ascii="Times New Roman" w:hAnsi="Times New Roman" w:eastAsia="Times New Roman"/>
                <w:b w:val="0"/>
                <w:i w:val="0"/>
                <w:color w:val="000000"/>
                <w:sz w:val="16"/>
              </w:rPr>
              <w:t>Train</w:t>
            </w:r>
          </w:p>
        </w:tc>
        <w:tc>
          <w:tcPr>
            <w:tcW w:type="dxa" w:w="893"/>
            <w:vAlign w:val="center"/>
          </w:tcPr>
          <w:p>
            <w:pPr>
              <w:pStyle w:val="tablecopy"/>
              <w:keepNext/>
              <w:spacing w:before="0" w:after="0"/>
              <w:jc w:val="center"/>
            </w:pPr>
            <w:r/>
            <w:r>
              <w:rPr>
                <w:rFonts w:ascii="Times New Roman" w:hAnsi="Times New Roman" w:eastAsia="Times New Roman"/>
                <w:b w:val="0"/>
                <w:i w:val="0"/>
                <w:color w:val="000000"/>
                <w:sz w:val="16"/>
              </w:rPr>
              <w:t>850</w:t>
            </w:r>
          </w:p>
        </w:tc>
        <w:tc>
          <w:tcPr>
            <w:tcW w:type="dxa" w:w="893"/>
            <w:vAlign w:val="center"/>
          </w:tcPr>
          <w:p>
            <w:pPr>
              <w:pStyle w:val="tablecopy"/>
              <w:keepNext/>
              <w:spacing w:before="0" w:after="0"/>
              <w:jc w:val="center"/>
            </w:pPr>
            <w:r/>
            <w:r>
              <w:rPr>
                <w:rFonts w:ascii="Times New Roman" w:hAnsi="Times New Roman" w:eastAsia="Times New Roman"/>
                <w:b w:val="0"/>
                <w:i w:val="0"/>
                <w:color w:val="000000"/>
                <w:sz w:val="16"/>
              </w:rPr>
              <w:t>5,870</w:t>
            </w:r>
          </w:p>
        </w:tc>
      </w:tr>
      <w:tr>
        <w:trPr>
          <w:trHeight w:val="260" w:hRule="atLeast"/>
          <w:cantSplit/>
        </w:trPr>
        <w:tc>
          <w:tcPr>
            <w:tcW w:type="dxa" w:w="1267"/>
            <w:vMerge/>
            <w:vAlign w:val="center"/>
          </w:tcPr>
          <w:p/>
        </w:tc>
        <w:tc>
          <w:tcPr>
            <w:tcW w:type="dxa" w:w="1224"/>
            <w:vAlign w:val="center"/>
          </w:tcPr>
          <w:p>
            <w:pPr>
              <w:pStyle w:val="tablecopy"/>
              <w:keepNext/>
              <w:spacing w:before="0" w:after="0"/>
              <w:jc w:val="center"/>
            </w:pPr>
            <w:r/>
            <w:r>
              <w:rPr>
                <w:rFonts w:ascii="Times New Roman" w:hAnsi="Times New Roman" w:eastAsia="Times New Roman"/>
                <w:b w:val="0"/>
                <w:i w:val="0"/>
                <w:color w:val="000000"/>
                <w:sz w:val="16"/>
              </w:rPr>
              <w:t>Validation</w:t>
            </w:r>
          </w:p>
        </w:tc>
        <w:tc>
          <w:tcPr>
            <w:tcW w:type="dxa" w:w="893"/>
            <w:vAlign w:val="center"/>
          </w:tcPr>
          <w:p>
            <w:pPr>
              <w:pStyle w:val="tablecopy"/>
              <w:keepNext/>
              <w:spacing w:before="0" w:after="0"/>
              <w:jc w:val="center"/>
            </w:pPr>
            <w:r/>
            <w:r>
              <w:rPr>
                <w:rFonts w:ascii="Times New Roman" w:hAnsi="Times New Roman" w:eastAsia="Times New Roman"/>
                <w:b w:val="0"/>
                <w:i w:val="0"/>
                <w:color w:val="000000"/>
                <w:sz w:val="16"/>
              </w:rPr>
              <w:t>150</w:t>
            </w:r>
          </w:p>
        </w:tc>
        <w:tc>
          <w:tcPr>
            <w:tcW w:type="dxa" w:w="893"/>
            <w:vAlign w:val="center"/>
          </w:tcPr>
          <w:p>
            <w:pPr>
              <w:pStyle w:val="tablecopy"/>
              <w:keepNext/>
              <w:spacing w:before="0" w:after="0"/>
              <w:jc w:val="center"/>
            </w:pPr>
            <w:r/>
            <w:r>
              <w:rPr>
                <w:rFonts w:ascii="Times New Roman" w:hAnsi="Times New Roman" w:eastAsia="Times New Roman"/>
                <w:b w:val="0"/>
                <w:i w:val="0"/>
                <w:color w:val="000000"/>
                <w:sz w:val="16"/>
              </w:rPr>
              <w:t>1,003</w:t>
            </w:r>
          </w:p>
        </w:tc>
      </w:tr>
      <w:tr>
        <w:trPr>
          <w:trHeight w:val="260" w:hRule="atLeast"/>
          <w:cantSplit/>
        </w:trPr>
        <w:tc>
          <w:tcPr>
            <w:tcW w:type="dxa" w:w="1267"/>
            <w:vMerge/>
            <w:vAlign w:val="center"/>
          </w:tcPr>
          <w:p/>
        </w:tc>
        <w:tc>
          <w:tcPr>
            <w:tcW w:type="dxa" w:w="1224"/>
            <w:vAlign w:val="center"/>
          </w:tcPr>
          <w:p>
            <w:pPr>
              <w:pStyle w:val="tablecopy"/>
              <w:spacing w:before="0" w:after="0"/>
              <w:jc w:val="center"/>
            </w:pPr>
            <w:r/>
            <w:r>
              <w:rPr>
                <w:rFonts w:ascii="Times New Roman" w:hAnsi="Times New Roman" w:eastAsia="Times New Roman"/>
                <w:b w:val="0"/>
                <w:i w:val="0"/>
                <w:color w:val="000000"/>
                <w:sz w:val="16"/>
              </w:rPr>
              <w:t>Official test</w:t>
            </w:r>
          </w:p>
        </w:tc>
        <w:tc>
          <w:tcPr>
            <w:tcW w:type="dxa" w:w="893"/>
            <w:vAlign w:val="center"/>
          </w:tcPr>
          <w:p>
            <w:pPr>
              <w:pStyle w:val="tablecopy"/>
              <w:spacing w:before="0" w:after="0"/>
              <w:jc w:val="center"/>
            </w:pPr>
            <w:r/>
            <w:r>
              <w:rPr>
                <w:rFonts w:ascii="Times New Roman" w:hAnsi="Times New Roman" w:eastAsia="Times New Roman"/>
                <w:b w:val="0"/>
                <w:i w:val="0"/>
                <w:color w:val="000000"/>
                <w:sz w:val="16"/>
              </w:rPr>
              <w:t>500</w:t>
            </w:r>
          </w:p>
        </w:tc>
        <w:tc>
          <w:tcPr>
            <w:tcW w:type="dxa" w:w="893"/>
            <w:vAlign w:val="center"/>
          </w:tcPr>
          <w:p>
            <w:pPr>
              <w:pStyle w:val="tablecopy"/>
              <w:spacing w:before="0" w:after="0"/>
              <w:jc w:val="center"/>
            </w:pPr>
            <w:r/>
            <w:r>
              <w:rPr>
                <w:rFonts w:ascii="Times New Roman" w:hAnsi="Times New Roman" w:eastAsia="Times New Roman"/>
                <w:b w:val="0"/>
                <w:i w:val="0"/>
                <w:color w:val="000000"/>
                <w:sz w:val="16"/>
              </w:rPr>
              <w:t>3,140</w:t>
            </w:r>
          </w:p>
        </w:tc>
      </w:tr>
    </w:tbl>
    <w:p>
      <w:pPr>
        <w:pStyle w:val="3"/>
        <w:spacing w:before="0" w:after="60" w:line="276" w:lineRule="auto"/>
        <w:ind w:firstLine="288"/>
        <w:jc w:val="both"/>
      </w:pPr>
      <w:r>
        <w:rPr>
          <w:rFonts w:ascii="Times New Roman" w:hAnsi="Times New Roman" w:eastAsia="Times New Roman"/>
          <w:b w:val="0"/>
          <w:i w:val="0"/>
          <w:color w:val="000000"/>
          <w:sz w:val="20"/>
        </w:rPr>
        <w:t>Route recall is |Mi∩Bi|/|Bi|; enrichment divides it by the selected fraction |Mi|/Ni. Board-FPR is the share of clean templates with a retained detection.</w:t>
      </w:r>
    </w:p>
    <w:p>
      <w:pPr>
        <w:pStyle w:val="4"/>
        <w:keepNext/>
        <w:spacing w:before="120" w:after="60"/>
        <w:jc w:val="left"/>
      </w:pPr>
      <w:r>
        <w:rPr>
          <w:rFonts w:ascii="Times New Roman" w:hAnsi="Times New Roman" w:eastAsia="Times New Roman"/>
          <w:b w:val="0"/>
          <w:i/>
          <w:color w:val="000000"/>
          <w:sz w:val="20"/>
        </w:rPr>
        <w:t>B. Accuracy</w:t>
      </w:r>
    </w:p>
    <w:p>
      <w:pPr>
        <w:pStyle w:val="3"/>
        <w:spacing w:before="0" w:after="60" w:line="276" w:lineRule="auto"/>
        <w:ind w:firstLine="0"/>
        <w:jc w:val="both"/>
      </w:pPr>
      <w:r>
        <w:rPr>
          <w:rFonts w:ascii="Times New Roman" w:hAnsi="Times New Roman" w:eastAsia="Times New Roman"/>
          <w:b w:val="0"/>
          <w:i w:val="0"/>
          <w:color w:val="000000"/>
          <w:sz w:val="20"/>
        </w:rPr>
        <w:t>Table 2 reports architecture-controlled tests. DsPCBSD+ gains only 0.155 AP across four of seven wins (p=0.8125; 95% interval [−0.535, 0.844]). DeepPCB gains 4.196 points, but n=3 and p=0.25 preclude confirmation.</w:t>
      </w:r>
    </w:p>
    <w:p>
      <w:pPr>
        <w:pStyle w:val="tablehead"/>
        <w:keepNext/>
        <w:keepLines/>
        <w:jc w:val="center"/>
      </w:pPr>
      <w:r>
        <w:rPr>
          <w:rFonts w:ascii="Times New Roman" w:hAnsi="Times New Roman" w:eastAsia="Times New Roman"/>
          <w:b w:val="0"/>
          <w:i w:val="0"/>
          <w:color w:val="000000"/>
          <w:sz w:val="16"/>
        </w:rPr>
        <w:t>Table 2. Architecture-controlled test AP (%), mean±sample SD.</w:t>
      </w:r>
    </w:p>
    <w:tbl>
      <w:tblPr>
        <w:tblW w:type="dxa" w:w="4651"/>
        <w:jc w:val="center"/>
        <w:tblLayout w:type="fixed"/>
        <w:tblLook w:firstColumn="1" w:firstRow="1" w:lastColumn="0" w:lastRow="0" w:noHBand="0" w:noVBand="1" w:val="04A0"/>
        <w:tblInd w:w="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30" w:type="dxa"/>
          <w:bottom w:w="30" w:type="dxa"/>
          <w:left w:w="40" w:type="dxa"/>
          <w:right w:w="40" w:type="dxa"/>
        </w:tblCellMar>
      </w:tblPr>
      <w:tblGrid>
        <w:gridCol w:w="893"/>
        <w:gridCol w:w="1296"/>
        <w:gridCol w:w="360"/>
        <w:gridCol w:w="1123"/>
        <w:gridCol w:w="979"/>
      </w:tblGrid>
      <w:tr>
        <w:trPr>
          <w:trHeight w:val="260" w:hRule="atLeast"/>
          <w:cantSplit/>
        </w:trPr>
        <w:tc>
          <w:tcPr>
            <w:tcW w:type="dxa" w:w="893"/>
            <w:vAlign w:val="center"/>
          </w:tcPr>
          <w:p>
            <w:pPr>
              <w:pStyle w:val="tablecolhead"/>
              <w:keepNext/>
              <w:spacing w:before="0" w:after="0"/>
              <w:jc w:val="center"/>
            </w:pPr>
            <w:r/>
            <w:r>
              <w:rPr>
                <w:rFonts w:ascii="Times New Roman" w:hAnsi="Times New Roman" w:eastAsia="Times New Roman"/>
                <w:b/>
                <w:i w:val="0"/>
                <w:color w:val="000000"/>
                <w:sz w:val="16"/>
              </w:rPr>
              <w:t>Dataset</w:t>
            </w:r>
          </w:p>
        </w:tc>
        <w:tc>
          <w:tcPr>
            <w:tcW w:type="dxa" w:w="1296"/>
            <w:vAlign w:val="center"/>
          </w:tcPr>
          <w:p>
            <w:pPr>
              <w:pStyle w:val="tablecolhead"/>
              <w:keepNext/>
              <w:spacing w:before="0" w:after="0"/>
              <w:jc w:val="center"/>
            </w:pPr>
            <w:r/>
            <w:r>
              <w:rPr>
                <w:rFonts w:ascii="Times New Roman" w:hAnsi="Times New Roman" w:eastAsia="Times New Roman"/>
                <w:b/>
                <w:i w:val="0"/>
                <w:color w:val="000000"/>
                <w:sz w:val="16"/>
              </w:rPr>
              <w:t>Model</w:t>
            </w:r>
          </w:p>
        </w:tc>
        <w:tc>
          <w:tcPr>
            <w:tcW w:type="dxa" w:w="360"/>
            <w:vAlign w:val="center"/>
          </w:tcPr>
          <w:p>
            <w:pPr>
              <w:pStyle w:val="tablecolhead"/>
              <w:keepNext/>
              <w:spacing w:before="0" w:after="0"/>
              <w:jc w:val="center"/>
            </w:pPr>
            <w:r/>
            <w:r>
              <w:rPr>
                <w:rFonts w:ascii="Times New Roman" w:hAnsi="Times New Roman" w:eastAsia="Times New Roman"/>
                <w:b/>
                <w:i w:val="0"/>
                <w:color w:val="000000"/>
                <w:sz w:val="16"/>
              </w:rPr>
              <w:t>n</w:t>
            </w:r>
          </w:p>
        </w:tc>
        <w:tc>
          <w:tcPr>
            <w:tcW w:type="dxa" w:w="1123"/>
            <w:vAlign w:val="center"/>
          </w:tcPr>
          <w:p>
            <w:pPr>
              <w:pStyle w:val="tablecolhead"/>
              <w:keepNext/>
              <w:spacing w:before="0" w:after="0"/>
              <w:jc w:val="center"/>
            </w:pPr>
            <w:r/>
            <w:r>
              <w:rPr>
                <w:rFonts w:ascii="Times New Roman" w:hAnsi="Times New Roman" w:eastAsia="Times New Roman"/>
                <w:b/>
                <w:i w:val="0"/>
                <w:color w:val="000000"/>
                <w:sz w:val="16"/>
              </w:rPr>
              <w:t>AP50:95</w:t>
            </w:r>
          </w:p>
        </w:tc>
        <w:tc>
          <w:tcPr>
            <w:tcW w:type="dxa" w:w="979"/>
            <w:vAlign w:val="center"/>
          </w:tcPr>
          <w:p>
            <w:pPr>
              <w:pStyle w:val="tablecolhead"/>
              <w:keepNext/>
              <w:spacing w:before="0" w:after="0"/>
              <w:jc w:val="center"/>
            </w:pPr>
            <w:r/>
            <w:r>
              <w:rPr>
                <w:rFonts w:ascii="Times New Roman" w:hAnsi="Times New Roman" w:eastAsia="Times New Roman"/>
                <w:b/>
                <w:i w:val="0"/>
                <w:color w:val="000000"/>
                <w:sz w:val="16"/>
              </w:rPr>
              <w:t>AP50</w:t>
            </w:r>
          </w:p>
        </w:tc>
      </w:tr>
      <w:tr>
        <w:trPr>
          <w:trHeight w:val="260" w:hRule="atLeast"/>
          <w:cantSplit/>
        </w:trPr>
        <w:tc>
          <w:tcPr>
            <w:tcW w:type="dxa" w:w="893"/>
            <w:vMerge w:val="restart"/>
            <w:vAlign w:val="center"/>
          </w:tcPr>
          <w:p>
            <w:pPr>
              <w:pStyle w:val="tablecopy"/>
              <w:keepNext/>
              <w:spacing w:before="0" w:after="0"/>
              <w:jc w:val="center"/>
            </w:pPr>
            <w:r/>
            <w:r>
              <w:rPr>
                <w:rFonts w:ascii="Times New Roman" w:hAnsi="Times New Roman" w:eastAsia="Times New Roman"/>
                <w:b w:val="0"/>
                <w:i w:val="0"/>
                <w:color w:val="000000"/>
                <w:sz w:val="16"/>
              </w:rPr>
              <w:t>DsPCBSD+</w:t>
            </w:r>
          </w:p>
          <w:p>
            <w:pPr>
              <w:pStyle w:val="tablecopy"/>
              <w:keepNext/>
              <w:spacing w:before="0" w:after="0"/>
              <w:jc w:val="center"/>
            </w:pPr>
            <w:r/>
            <w:r>
              <w:rPr>
                <w:rFonts w:ascii="Times New Roman" w:hAnsi="Times New Roman" w:eastAsia="Times New Roman"/>
                <w:b w:val="0"/>
                <w:i w:val="0"/>
                <w:color w:val="000000"/>
                <w:sz w:val="16"/>
              </w:rPr>
            </w:r>
          </w:p>
        </w:tc>
        <w:tc>
          <w:tcPr>
            <w:tcW w:type="dxa" w:w="1296"/>
            <w:vAlign w:val="center"/>
          </w:tcPr>
          <w:p>
            <w:pPr>
              <w:pStyle w:val="tablecopy"/>
              <w:keepNext/>
              <w:spacing w:before="0" w:after="0"/>
              <w:jc w:val="center"/>
            </w:pPr>
            <w:r/>
            <w:r>
              <w:rPr>
                <w:rFonts w:ascii="Times New Roman" w:hAnsi="Times New Roman" w:eastAsia="Times New Roman"/>
                <w:b w:val="0"/>
                <w:i w:val="0"/>
                <w:color w:val="000000"/>
                <w:sz w:val="16"/>
              </w:rPr>
              <w:t>YOLO11s</w:t>
            </w:r>
          </w:p>
        </w:tc>
        <w:tc>
          <w:tcPr>
            <w:tcW w:type="dxa" w:w="360"/>
            <w:vAlign w:val="center"/>
          </w:tcPr>
          <w:p>
            <w:pPr>
              <w:pStyle w:val="tablecopy"/>
              <w:keepNext/>
              <w:spacing w:before="0" w:after="0"/>
              <w:jc w:val="center"/>
            </w:pPr>
            <w:r/>
            <w:r>
              <w:rPr>
                <w:rFonts w:ascii="Times New Roman" w:hAnsi="Times New Roman" w:eastAsia="Times New Roman"/>
                <w:b w:val="0"/>
                <w:i w:val="0"/>
                <w:color w:val="000000"/>
                <w:sz w:val="16"/>
              </w:rPr>
              <w:t>7</w:t>
            </w:r>
          </w:p>
        </w:tc>
        <w:tc>
          <w:tcPr>
            <w:tcW w:type="dxa" w:w="1123"/>
            <w:vAlign w:val="center"/>
          </w:tcPr>
          <w:p>
            <w:pPr>
              <w:pStyle w:val="tablecopy"/>
              <w:keepNext/>
              <w:spacing w:before="0" w:after="0"/>
              <w:jc w:val="center"/>
            </w:pPr>
            <w:r/>
            <w:r>
              <w:rPr>
                <w:rFonts w:ascii="Times New Roman" w:hAnsi="Times New Roman" w:eastAsia="Times New Roman"/>
                <w:b w:val="0"/>
                <w:i w:val="0"/>
                <w:color w:val="000000"/>
                <w:sz w:val="16"/>
              </w:rPr>
              <w:t>46.54±0.36</w:t>
            </w:r>
          </w:p>
        </w:tc>
        <w:tc>
          <w:tcPr>
            <w:tcW w:type="dxa" w:w="979"/>
            <w:vAlign w:val="center"/>
          </w:tcPr>
          <w:p>
            <w:pPr>
              <w:pStyle w:val="tablecopy"/>
              <w:keepNext/>
              <w:spacing w:before="0" w:after="0"/>
              <w:jc w:val="center"/>
            </w:pPr>
            <w:r/>
            <w:r>
              <w:rPr>
                <w:rFonts w:ascii="Times New Roman" w:hAnsi="Times New Roman" w:eastAsia="Times New Roman"/>
                <w:b w:val="0"/>
                <w:i w:val="0"/>
                <w:color w:val="000000"/>
                <w:sz w:val="16"/>
              </w:rPr>
              <w:t>80.25±0.48</w:t>
            </w:r>
          </w:p>
        </w:tc>
      </w:tr>
      <w:tr>
        <w:trPr>
          <w:trHeight w:val="260" w:hRule="atLeast"/>
          <w:cantSplit/>
        </w:trPr>
        <w:tc>
          <w:tcPr>
            <w:tcW w:type="dxa" w:w="893"/>
            <w:vMerge/>
            <w:vAlign w:val="center"/>
          </w:tcPr>
          <w:p/>
        </w:tc>
        <w:tc>
          <w:tcPr>
            <w:tcW w:type="dxa" w:w="1296"/>
            <w:vAlign w:val="center"/>
          </w:tcPr>
          <w:p>
            <w:pPr>
              <w:pStyle w:val="tablecopy"/>
              <w:keepNext/>
              <w:spacing w:before="0" w:after="0"/>
              <w:jc w:val="center"/>
            </w:pPr>
            <w:r/>
            <w:r>
              <w:rPr>
                <w:rFonts w:ascii="Times New Roman" w:hAnsi="Times New Roman" w:eastAsia="Times New Roman"/>
                <w:b w:val="0"/>
                <w:i w:val="0"/>
                <w:color w:val="000000"/>
                <w:sz w:val="16"/>
              </w:rPr>
              <w:t>WSR-YOLO11s</w:t>
            </w:r>
          </w:p>
        </w:tc>
        <w:tc>
          <w:tcPr>
            <w:tcW w:type="dxa" w:w="360"/>
            <w:vAlign w:val="center"/>
          </w:tcPr>
          <w:p>
            <w:pPr>
              <w:pStyle w:val="tablecopy"/>
              <w:keepNext/>
              <w:spacing w:before="0" w:after="0"/>
              <w:jc w:val="center"/>
            </w:pPr>
            <w:r/>
            <w:r>
              <w:rPr>
                <w:rFonts w:ascii="Times New Roman" w:hAnsi="Times New Roman" w:eastAsia="Times New Roman"/>
                <w:b w:val="0"/>
                <w:i w:val="0"/>
                <w:color w:val="000000"/>
                <w:sz w:val="16"/>
              </w:rPr>
              <w:t>7</w:t>
            </w:r>
          </w:p>
        </w:tc>
        <w:tc>
          <w:tcPr>
            <w:tcW w:type="dxa" w:w="1123"/>
            <w:vAlign w:val="center"/>
          </w:tcPr>
          <w:p>
            <w:pPr>
              <w:pStyle w:val="tablecopy"/>
              <w:keepNext/>
              <w:spacing w:before="0" w:after="0"/>
              <w:jc w:val="center"/>
            </w:pPr>
            <w:r/>
            <w:r>
              <w:rPr>
                <w:rFonts w:ascii="Times New Roman" w:hAnsi="Times New Roman" w:eastAsia="Times New Roman"/>
                <w:b w:val="0"/>
                <w:i w:val="0"/>
                <w:color w:val="000000"/>
                <w:sz w:val="16"/>
              </w:rPr>
              <w:t>46.69±0.72</w:t>
            </w:r>
          </w:p>
        </w:tc>
        <w:tc>
          <w:tcPr>
            <w:tcW w:type="dxa" w:w="979"/>
            <w:vAlign w:val="center"/>
          </w:tcPr>
          <w:p>
            <w:pPr>
              <w:pStyle w:val="tablecopy"/>
              <w:keepNext/>
              <w:spacing w:before="0" w:after="0"/>
              <w:jc w:val="center"/>
            </w:pPr>
            <w:r/>
            <w:r>
              <w:rPr>
                <w:rFonts w:ascii="Times New Roman" w:hAnsi="Times New Roman" w:eastAsia="Times New Roman"/>
                <w:b w:val="0"/>
                <w:i w:val="0"/>
                <w:color w:val="000000"/>
                <w:sz w:val="16"/>
              </w:rPr>
              <w:t>80.46±0.86</w:t>
            </w:r>
          </w:p>
        </w:tc>
      </w:tr>
      <w:tr>
        <w:trPr>
          <w:trHeight w:val="260" w:hRule="atLeast"/>
          <w:cantSplit/>
        </w:trPr>
        <w:tc>
          <w:tcPr>
            <w:tcW w:type="dxa" w:w="893"/>
            <w:vMerge w:val="restart"/>
            <w:vAlign w:val="center"/>
          </w:tcPr>
          <w:p>
            <w:pPr>
              <w:pStyle w:val="tablecopy"/>
              <w:keepNext/>
              <w:spacing w:before="0" w:after="0"/>
              <w:jc w:val="center"/>
            </w:pPr>
            <w:r/>
            <w:r>
              <w:rPr>
                <w:rFonts w:ascii="Times New Roman" w:hAnsi="Times New Roman" w:eastAsia="Times New Roman"/>
                <w:b w:val="0"/>
                <w:i w:val="0"/>
                <w:color w:val="000000"/>
                <w:sz w:val="16"/>
              </w:rPr>
              <w:t>DeepPCB</w:t>
            </w:r>
          </w:p>
          <w:p>
            <w:pPr>
              <w:pStyle w:val="tablecopy"/>
              <w:keepNext/>
              <w:spacing w:before="0" w:after="0"/>
              <w:jc w:val="center"/>
            </w:pPr>
            <w:r/>
            <w:r>
              <w:rPr>
                <w:rFonts w:ascii="Times New Roman" w:hAnsi="Times New Roman" w:eastAsia="Times New Roman"/>
                <w:b w:val="0"/>
                <w:i w:val="0"/>
                <w:color w:val="000000"/>
                <w:sz w:val="16"/>
              </w:rPr>
            </w:r>
          </w:p>
        </w:tc>
        <w:tc>
          <w:tcPr>
            <w:tcW w:type="dxa" w:w="1296"/>
            <w:vAlign w:val="center"/>
          </w:tcPr>
          <w:p>
            <w:pPr>
              <w:pStyle w:val="tablecopy"/>
              <w:keepNext/>
              <w:spacing w:before="0" w:after="0"/>
              <w:jc w:val="center"/>
            </w:pPr>
            <w:r/>
            <w:r>
              <w:rPr>
                <w:rFonts w:ascii="Times New Roman" w:hAnsi="Times New Roman" w:eastAsia="Times New Roman"/>
                <w:b w:val="0"/>
                <w:i w:val="0"/>
                <w:color w:val="000000"/>
                <w:sz w:val="16"/>
              </w:rPr>
              <w:t>YOLO11s</w:t>
            </w:r>
          </w:p>
        </w:tc>
        <w:tc>
          <w:tcPr>
            <w:tcW w:type="dxa" w:w="360"/>
            <w:vAlign w:val="center"/>
          </w:tcPr>
          <w:p>
            <w:pPr>
              <w:pStyle w:val="tablecopy"/>
              <w:keepNext/>
              <w:spacing w:before="0" w:after="0"/>
              <w:jc w:val="center"/>
            </w:pPr>
            <w:r/>
            <w:r>
              <w:rPr>
                <w:rFonts w:ascii="Times New Roman" w:hAnsi="Times New Roman" w:eastAsia="Times New Roman"/>
                <w:b w:val="0"/>
                <w:i w:val="0"/>
                <w:color w:val="000000"/>
                <w:sz w:val="16"/>
              </w:rPr>
              <w:t>3</w:t>
            </w:r>
          </w:p>
        </w:tc>
        <w:tc>
          <w:tcPr>
            <w:tcW w:type="dxa" w:w="1123"/>
            <w:vAlign w:val="center"/>
          </w:tcPr>
          <w:p>
            <w:pPr>
              <w:pStyle w:val="tablecopy"/>
              <w:keepNext/>
              <w:spacing w:before="0" w:after="0"/>
              <w:jc w:val="center"/>
            </w:pPr>
            <w:r/>
            <w:r>
              <w:rPr>
                <w:rFonts w:ascii="Times New Roman" w:hAnsi="Times New Roman" w:eastAsia="Times New Roman"/>
                <w:b w:val="0"/>
                <w:i w:val="0"/>
                <w:color w:val="000000"/>
                <w:sz w:val="16"/>
              </w:rPr>
              <w:t>64.61±1.91</w:t>
            </w:r>
          </w:p>
        </w:tc>
        <w:tc>
          <w:tcPr>
            <w:tcW w:type="dxa" w:w="979"/>
            <w:vAlign w:val="center"/>
          </w:tcPr>
          <w:p>
            <w:pPr>
              <w:pStyle w:val="tablecopy"/>
              <w:keepNext/>
              <w:spacing w:before="0" w:after="0"/>
              <w:jc w:val="center"/>
            </w:pPr>
            <w:r/>
            <w:r>
              <w:rPr>
                <w:rFonts w:ascii="Times New Roman" w:hAnsi="Times New Roman" w:eastAsia="Times New Roman"/>
                <w:b w:val="0"/>
                <w:i w:val="0"/>
                <w:color w:val="000000"/>
                <w:sz w:val="16"/>
              </w:rPr>
              <w:t>94.34±1.07</w:t>
            </w:r>
          </w:p>
        </w:tc>
      </w:tr>
      <w:tr>
        <w:trPr>
          <w:trHeight w:val="260" w:hRule="atLeast"/>
          <w:cantSplit/>
        </w:trPr>
        <w:tc>
          <w:tcPr>
            <w:tcW w:type="dxa" w:w="893"/>
            <w:vMerge/>
            <w:vAlign w:val="center"/>
          </w:tcPr>
          <w:p/>
        </w:tc>
        <w:tc>
          <w:tcPr>
            <w:tcW w:type="dxa" w:w="1296"/>
            <w:vAlign w:val="center"/>
          </w:tcPr>
          <w:p>
            <w:pPr>
              <w:pStyle w:val="tablecopy"/>
              <w:spacing w:before="0" w:after="0"/>
              <w:jc w:val="center"/>
            </w:pPr>
            <w:r/>
            <w:r>
              <w:rPr>
                <w:rFonts w:ascii="Times New Roman" w:hAnsi="Times New Roman" w:eastAsia="Times New Roman"/>
                <w:b w:val="0"/>
                <w:i w:val="0"/>
                <w:color w:val="000000"/>
                <w:sz w:val="16"/>
              </w:rPr>
              <w:t>WSR-YOLO11s</w:t>
            </w:r>
          </w:p>
        </w:tc>
        <w:tc>
          <w:tcPr>
            <w:tcW w:type="dxa" w:w="360"/>
            <w:vAlign w:val="center"/>
          </w:tcPr>
          <w:p>
            <w:pPr>
              <w:pStyle w:val="tablecopy"/>
              <w:spacing w:before="0" w:after="0"/>
              <w:jc w:val="center"/>
            </w:pPr>
            <w:r/>
            <w:r>
              <w:rPr>
                <w:rFonts w:ascii="Times New Roman" w:hAnsi="Times New Roman" w:eastAsia="Times New Roman"/>
                <w:b w:val="0"/>
                <w:i w:val="0"/>
                <w:color w:val="000000"/>
                <w:sz w:val="16"/>
              </w:rPr>
              <w:t>3</w:t>
            </w:r>
          </w:p>
        </w:tc>
        <w:tc>
          <w:tcPr>
            <w:tcW w:type="dxa" w:w="1123"/>
            <w:vAlign w:val="center"/>
          </w:tcPr>
          <w:p>
            <w:pPr>
              <w:pStyle w:val="tablecopy"/>
              <w:spacing w:before="0" w:after="0"/>
              <w:jc w:val="center"/>
            </w:pPr>
            <w:r/>
            <w:r>
              <w:rPr>
                <w:rFonts w:ascii="Times New Roman" w:hAnsi="Times New Roman" w:eastAsia="Times New Roman"/>
                <w:b w:val="0"/>
                <w:i w:val="0"/>
                <w:color w:val="000000"/>
                <w:sz w:val="16"/>
              </w:rPr>
              <w:t>68.81±4.12</w:t>
            </w:r>
          </w:p>
        </w:tc>
        <w:tc>
          <w:tcPr>
            <w:tcW w:type="dxa" w:w="979"/>
            <w:vAlign w:val="center"/>
          </w:tcPr>
          <w:p>
            <w:pPr>
              <w:pStyle w:val="tablecopy"/>
              <w:spacing w:before="0" w:after="0"/>
              <w:jc w:val="center"/>
            </w:pPr>
            <w:r/>
            <w:r>
              <w:rPr>
                <w:rFonts w:ascii="Times New Roman" w:hAnsi="Times New Roman" w:eastAsia="Times New Roman"/>
                <w:b w:val="0"/>
                <w:i w:val="0"/>
                <w:color w:val="000000"/>
                <w:sz w:val="16"/>
              </w:rPr>
              <w:t>95.46±0.43</w:t>
            </w:r>
          </w:p>
        </w:tc>
      </w:tr>
    </w:tbl>
    <w:p>
      <w:pPr>
        <w:pStyle w:val="3"/>
        <w:spacing w:before="0" w:after="60" w:line="276" w:lineRule="auto"/>
        <w:ind w:firstLine="288"/>
        <w:jc w:val="both"/>
      </w:pPr>
      <w:r>
        <w:rPr>
          <w:rFonts w:ascii="Times New Roman" w:hAnsi="Times New Roman" w:eastAsia="Times New Roman"/>
          <w:b w:val="0"/>
          <w:i w:val="0"/>
          <w:color w:val="000000"/>
          <w:sz w:val="20"/>
        </w:rPr>
        <w:t>Figure 2 shows unstable DsPCBSD+ seed effects (−0.99 to +0.98; two classes decline), whereas all DeepPCB classes gain but reuse only three checkpoints. Figure 3 gives model-blind examples. Larger published detectors gain 2.75–6.39 AP with 1.75–3.55× the parameters, under different recipes.</w:t>
      </w:r>
    </w:p>
    <w:p>
      <w:pPr>
        <w:pStyle w:val="3"/>
        <w:spacing w:before="0" w:after="60" w:line="276" w:lineRule="auto"/>
        <w:ind w:firstLine="288"/>
        <w:jc w:val="both"/>
      </w:pPr>
      <w:r>
        <w:rPr>
          <w:rFonts w:ascii="Times New Roman" w:hAnsi="Times New Roman" w:eastAsia="Times New Roman"/>
          <w:b w:val="0"/>
          <w:i w:val="0"/>
          <w:color w:val="000000"/>
          <w:sz w:val="20"/>
        </w:rPr>
        <w:t>Scale-specific changes are also inconsistent: the effect is neither seed-stable on the primary dataset nor uniform across object sizes. Class and scale slices remain diagnostic decompositions, not independent samples.</w:t>
      </w:r>
    </w:p>
    <w:p>
      <w:pPr>
        <w:sectPr>
          <w:footnotePr>
            <w:numRestart w:val="eachSect"/>
          </w:footnotePr>
          <w:type w:val="continuous"/>
          <w:pgSz w:w="12240" w:h="15840"/>
          <w:pgMar w:top="1080" w:right="893" w:bottom="1440" w:left="893" w:header="720" w:footer="720" w:gutter="0"/>
          <w:cols w:space="360" w:num="2"/>
        </w:sectPr>
      </w:pPr>
    </w:p>
    <w:p>
      <w:pPr>
        <w:pStyle w:val="figurecaption"/>
        <w:keepLines/>
        <w:pageBreakBefore w:val="0"/>
        <w:jc w:val="center"/>
      </w:pPr>
      <w:r>
        <w:drawing>
          <wp:inline xmlns:a="http://schemas.openxmlformats.org/drawingml/2006/main" xmlns:pic="http://schemas.openxmlformats.org/drawingml/2006/picture">
            <wp:extent cx="6446520" cy="2434671"/>
            <wp:docPr id="2" name="Picture 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446520" cy="2434671"/>
                    </a:xfrm>
                    <a:prstGeom prst="rect"/>
                  </pic:spPr>
                </pic:pic>
              </a:graphicData>
            </a:graphic>
          </wp:inline>
        </w:drawing>
      </w:r>
      <w:r>
        <w:br/>
      </w:r>
      <w:r>
        <w:rPr>
          <w:rFonts w:ascii="Times New Roman" w:hAnsi="Times New Roman" w:eastAsia="Times New Roman"/>
          <w:b w:val="0"/>
          <w:i w:val="0"/>
          <w:color w:val="000000"/>
          <w:sz w:val="16"/>
        </w:rPr>
        <w:t>Figure 2. Paired and classwise accuracy differences. Dots are paired seeds; bars show per-class mean changes, with orange indicating regressions.</w:t>
      </w:r>
    </w:p>
    <w:p>
      <w:pPr>
        <w:sectPr>
          <w:footnotePr>
            <w:numRestart w:val="eachSect"/>
          </w:footnotePr>
          <w:type w:val="continuous"/>
          <w:pgSz w:w="12240" w:h="15840"/>
          <w:pgMar w:top="1080" w:right="893" w:bottom="1440" w:left="893" w:header="720" w:footer="720" w:gutter="0"/>
          <w:cols w:space="360" w:num="1"/>
        </w:sectPr>
      </w:pPr>
    </w:p>
    <w:p>
      <w:pPr>
        <w:pStyle w:val="figurecaption"/>
        <w:keepLines/>
        <w:pageBreakBefore w:val="0"/>
        <w:jc w:val="center"/>
      </w:pPr>
      <w:r>
        <w:drawing>
          <wp:inline xmlns:a="http://schemas.openxmlformats.org/drawingml/2006/main" xmlns:pic="http://schemas.openxmlformats.org/drawingml/2006/picture">
            <wp:extent cx="3154680" cy="1903686"/>
            <wp:docPr id="3" name="Picture 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154680" cy="1903686"/>
                    </a:xfrm>
                    <a:prstGeom prst="rect"/>
                  </pic:spPr>
                </pic:pic>
              </a:graphicData>
            </a:graphic>
          </wp:inline>
        </w:drawing>
      </w:r>
      <w:r>
        <w:br/>
      </w:r>
      <w:r>
        <w:rPr>
          <w:rFonts w:ascii="Times New Roman" w:hAnsi="Times New Roman" w:eastAsia="Times New Roman"/>
          <w:b w:val="0"/>
          <w:i w:val="0"/>
          <w:color w:val="000000"/>
          <w:sz w:val="16"/>
        </w:rPr>
        <w:t>Figure 3. Model-blind DsPCBSD+ examples. Green: ground truth; blue/orange: true positives; dashed red: false positives. TP/FP/FN use class-matched IoU ≥0.5.</w:t>
      </w:r>
    </w:p>
    <w:p>
      <w:pPr>
        <w:pStyle w:val="4"/>
        <w:keepNext/>
        <w:spacing w:before="120" w:after="60"/>
        <w:jc w:val="left"/>
      </w:pPr>
      <w:r>
        <w:rPr>
          <w:rFonts w:ascii="Times New Roman" w:hAnsi="Times New Roman" w:eastAsia="Times New Roman"/>
          <w:b w:val="0"/>
          <w:i/>
          <w:color w:val="000000"/>
          <w:sz w:val="20"/>
        </w:rPr>
        <w:t>C. Routing, Controls, and Cost</w:t>
      </w:r>
    </w:p>
    <w:p>
      <w:pPr>
        <w:pStyle w:val="3"/>
        <w:spacing w:before="0" w:after="60" w:line="276" w:lineRule="auto"/>
        <w:ind w:firstLine="0"/>
        <w:jc w:val="both"/>
      </w:pPr>
      <w:r>
        <w:rPr>
          <w:rFonts w:ascii="Times New Roman" w:hAnsi="Times New Roman" w:eastAsia="Times New Roman"/>
          <w:b w:val="0"/>
          <w:i w:val="0"/>
          <w:color w:val="000000"/>
          <w:sz w:val="20"/>
        </w:rPr>
        <w:t>At 25%, routes recall 79.11%/88.68% of box cells on DsPCBSD+/DeepPCB (3.164×/3.547× enrichment). Figure 4 shows that spatial priors explain much of the primary enrichment; cross-image shuffling confirms image dependence but not wavelet specificity. Equal fusion, no-HF, and matched convolution reach 48.314, 48.296, and 48.057 AP versus 48.025 for WSR, leaving capacity and optimization as plausible explanations.</w:t>
      </w:r>
    </w:p>
    <w:p>
      <w:pPr>
        <w:pStyle w:val="3"/>
        <w:spacing w:before="0" w:after="60" w:line="276" w:lineRule="auto"/>
        <w:ind w:firstLine="288"/>
        <w:jc w:val="both"/>
      </w:pPr>
      <w:r>
        <w:rPr>
          <w:rFonts w:ascii="Times New Roman" w:hAnsi="Times New Roman" w:eastAsia="Times New Roman"/>
          <w:b w:val="0"/>
          <w:i w:val="0"/>
          <w:color w:val="000000"/>
          <w:sz w:val="20"/>
        </w:rPr>
        <w:t>The validation gate admitted WSR at +1.283 AP and 2.469× enrichment, but locked timing reversed the preliminary speed advantage.</w:t>
      </w:r>
    </w:p>
    <w:p>
      <w:pPr>
        <w:pStyle w:val="3"/>
        <w:spacing w:before="0" w:after="60" w:line="276" w:lineRule="auto"/>
        <w:ind w:firstLine="288"/>
        <w:jc w:val="both"/>
      </w:pPr>
      <w:r>
        <w:rPr>
          <w:rFonts w:ascii="Times New Roman" w:hAnsi="Times New Roman" w:eastAsia="Times New Roman"/>
          <w:b w:val="0"/>
          <w:i w:val="0"/>
          <w:color w:val="000000"/>
          <w:sz w:val="20"/>
        </w:rPr>
        <w:t>Across 27 validation jobs, WSR reaches 48.025 AP versus 46.995 for the repeated baseline, with a 95% interval of [−0.158, 2.219]. The matched controls therefore do not isolate a unique wavelet mechanism.</w:t>
      </w:r>
    </w:p>
    <w:p>
      <w:pPr>
        <w:pStyle w:val="figurecaption"/>
        <w:keepLines/>
        <w:pageBreakBefore w:val="0"/>
        <w:jc w:val="center"/>
      </w:pPr>
      <w:r>
        <w:drawing>
          <wp:inline xmlns:a="http://schemas.openxmlformats.org/drawingml/2006/main" xmlns:pic="http://schemas.openxmlformats.org/drawingml/2006/picture">
            <wp:extent cx="3154680" cy="2882725"/>
            <wp:docPr id="4" name="Picture 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154680" cy="2882725"/>
                    </a:xfrm>
                    <a:prstGeom prst="rect"/>
                  </pic:spPr>
                </pic:pic>
              </a:graphicData>
            </a:graphic>
          </wp:inline>
        </w:drawing>
      </w:r>
      <w:r>
        <w:br/>
      </w:r>
      <w:r>
        <w:rPr>
          <w:rFonts w:ascii="Times New Roman" w:hAnsi="Times New Roman" w:eastAsia="Times New Roman"/>
          <w:b w:val="0"/>
          <w:i w:val="0"/>
          <w:color w:val="000000"/>
          <w:sz w:val="16"/>
        </w:rPr>
        <w:t>Figure 4. Model-size and route context. (a) DsPCBSD+ AP versus parameters. (b) Same-budget route enrichment; the dashed line is uniform expectation.</w:t>
      </w:r>
    </w:p>
    <w:p>
      <w:pPr>
        <w:pStyle w:val="3"/>
        <w:spacing w:before="0" w:after="60" w:line="276" w:lineRule="auto"/>
        <w:ind w:firstLine="288"/>
        <w:jc w:val="both"/>
      </w:pPr>
      <w:r>
        <w:rPr>
          <w:rFonts w:ascii="Times New Roman" w:hAnsi="Times New Roman" w:eastAsia="Times New Roman"/>
          <w:b w:val="0"/>
          <w:i w:val="0"/>
          <w:color w:val="000000"/>
          <w:sz w:val="20"/>
        </w:rPr>
        <w:t>WSR adds 13,342 parameters (0.14%) and 0.038 GFLOPs (0.18%), yet latency is 1.184–1.206× baseline; every paired cycle interval excludes one. Dense support and unfused indexing therefore yield sparse arithmetic, not acceleration (Table 3).</w:t>
      </w:r>
    </w:p>
    <w:p>
      <w:pPr>
        <w:pStyle w:val="3"/>
        <w:spacing w:before="0" w:after="60" w:line="276" w:lineRule="auto"/>
        <w:ind w:firstLine="288"/>
        <w:jc w:val="both"/>
      </w:pPr>
      <w:r>
        <w:rPr>
          <w:rFonts w:ascii="Times New Roman" w:hAnsi="Times New Roman" w:eastAsia="Times New Roman"/>
          <w:b w:val="0"/>
          <w:i w:val="0"/>
          <w:color w:val="000000"/>
          <w:sz w:val="20"/>
        </w:rPr>
        <w:t>The 95% ratio intervals are [1.166, 1.203]/[1.162, 1.227] on DsPCBSD+ FP32/FP16 and [1.193, 1.220]/[1.166, 1.204] on DeepPCB, confirming slowdown in all four settings.</w:t>
      </w:r>
    </w:p>
    <w:p>
      <w:pPr>
        <w:pStyle w:val="tablehead"/>
        <w:keepNext/>
        <w:keepLines/>
        <w:jc w:val="center"/>
      </w:pPr>
      <w:r>
        <w:rPr>
          <w:rFonts w:ascii="Times New Roman" w:hAnsi="Times New Roman" w:eastAsia="Times New Roman"/>
          <w:b w:val="0"/>
          <w:i w:val="0"/>
          <w:color w:val="000000"/>
          <w:sz w:val="16"/>
        </w:rPr>
        <w:t>Table 3. Compact validation and latency audit. Ratios are WSR/baseline.</w:t>
      </w:r>
    </w:p>
    <w:tbl>
      <w:tblPr>
        <w:tblW w:type="dxa" w:w="4622"/>
        <w:jc w:val="center"/>
        <w:tblLayout w:type="fixed"/>
        <w:tblLook w:firstColumn="1" w:firstRow="1" w:lastColumn="0" w:lastRow="0" w:noHBand="0" w:noVBand="1" w:val="04A0"/>
        <w:tblInd w:w="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30" w:type="dxa"/>
          <w:bottom w:w="30" w:type="dxa"/>
          <w:left w:w="40" w:type="dxa"/>
          <w:right w:w="40" w:type="dxa"/>
        </w:tblCellMar>
      </w:tblPr>
      <w:tblGrid>
        <w:gridCol w:w="749"/>
        <w:gridCol w:w="2088"/>
        <w:gridCol w:w="749"/>
        <w:gridCol w:w="1037"/>
      </w:tblGrid>
      <w:tr>
        <w:trPr>
          <w:trHeight w:val="260" w:hRule="atLeast"/>
          <w:cantSplit/>
        </w:trPr>
        <w:tc>
          <w:tcPr>
            <w:tcW w:type="dxa" w:w="749"/>
            <w:vAlign w:val="center"/>
          </w:tcPr>
          <w:p>
            <w:pPr>
              <w:pStyle w:val="tablecolhead"/>
              <w:keepNext/>
              <w:spacing w:before="0" w:after="0"/>
              <w:jc w:val="center"/>
            </w:pPr>
            <w:r/>
            <w:r>
              <w:rPr>
                <w:rFonts w:ascii="Times New Roman" w:hAnsi="Times New Roman" w:eastAsia="Times New Roman"/>
                <w:b/>
                <w:i w:val="0"/>
                <w:color w:val="000000"/>
                <w:sz w:val="16"/>
              </w:rPr>
              <w:t>Study</w:t>
            </w:r>
          </w:p>
        </w:tc>
        <w:tc>
          <w:tcPr>
            <w:tcW w:type="dxa" w:w="2088"/>
            <w:vAlign w:val="center"/>
          </w:tcPr>
          <w:p>
            <w:pPr>
              <w:pStyle w:val="tablecolhead"/>
              <w:keepNext/>
              <w:spacing w:before="0" w:after="0"/>
              <w:jc w:val="center"/>
            </w:pPr>
            <w:r/>
            <w:r>
              <w:rPr>
                <w:rFonts w:ascii="Times New Roman" w:hAnsi="Times New Roman" w:eastAsia="Times New Roman"/>
                <w:b/>
                <w:i w:val="0"/>
                <w:color w:val="000000"/>
                <w:sz w:val="16"/>
              </w:rPr>
              <w:t>Variant/setting</w:t>
            </w:r>
          </w:p>
        </w:tc>
        <w:tc>
          <w:tcPr>
            <w:tcW w:type="dxa" w:w="749"/>
            <w:vAlign w:val="center"/>
          </w:tcPr>
          <w:p>
            <w:pPr>
              <w:pStyle w:val="tablecolhead"/>
              <w:keepNext/>
              <w:spacing w:before="0" w:after="0"/>
              <w:jc w:val="center"/>
            </w:pPr>
            <w:r/>
            <w:r>
              <w:rPr>
                <w:rFonts w:ascii="Times New Roman" w:hAnsi="Times New Roman" w:eastAsia="Times New Roman"/>
                <w:b/>
                <w:i w:val="0"/>
                <w:color w:val="000000"/>
                <w:sz w:val="16"/>
              </w:rPr>
              <w:t>ΔAP</w:t>
            </w:r>
          </w:p>
        </w:tc>
        <w:tc>
          <w:tcPr>
            <w:tcW w:type="dxa" w:w="1037"/>
            <w:vAlign w:val="center"/>
          </w:tcPr>
          <w:p>
            <w:pPr>
              <w:pStyle w:val="tablecolhead"/>
              <w:keepNext/>
              <w:spacing w:before="0" w:after="0"/>
              <w:jc w:val="center"/>
            </w:pPr>
            <w:r/>
            <w:r>
              <w:rPr>
                <w:rFonts w:ascii="Times New Roman" w:hAnsi="Times New Roman" w:eastAsia="Times New Roman"/>
                <w:b/>
                <w:i w:val="0"/>
                <w:color w:val="000000"/>
                <w:sz w:val="16"/>
              </w:rPr>
              <w:t>Ratio</w:t>
            </w:r>
          </w:p>
        </w:tc>
      </w:tr>
      <w:tr>
        <w:trPr>
          <w:trHeight w:val="260" w:hRule="atLeast"/>
          <w:cantSplit/>
        </w:trPr>
        <w:tc>
          <w:tcPr>
            <w:tcW w:type="dxa" w:w="749"/>
            <w:vMerge w:val="restart"/>
            <w:vAlign w:val="center"/>
          </w:tcPr>
          <w:p>
            <w:pPr>
              <w:pStyle w:val="tablecopy"/>
              <w:keepNext/>
              <w:spacing w:before="0" w:after="0"/>
              <w:jc w:val="center"/>
            </w:pPr>
            <w:r/>
            <w:r>
              <w:rPr>
                <w:rFonts w:ascii="Times New Roman" w:hAnsi="Times New Roman" w:eastAsia="Times New Roman"/>
                <w:b w:val="0"/>
                <w:i w:val="0"/>
                <w:color w:val="000000"/>
                <w:sz w:val="16"/>
              </w:rPr>
              <w:t>Control</w:t>
            </w:r>
          </w:p>
          <w:p>
            <w:pPr>
              <w:pStyle w:val="tablecopy"/>
              <w:keepNext/>
              <w:spacing w:before="0" w:after="0"/>
              <w:jc w:val="center"/>
            </w:pPr>
            <w:r/>
            <w:r>
              <w:rPr>
                <w:rFonts w:ascii="Times New Roman" w:hAnsi="Times New Roman" w:eastAsia="Times New Roman"/>
                <w:b w:val="0"/>
                <w:i w:val="0"/>
                <w:color w:val="000000"/>
                <w:sz w:val="16"/>
              </w:rPr>
            </w:r>
          </w:p>
          <w:p>
            <w:pPr>
              <w:pStyle w:val="tablecopy"/>
              <w:keepNext/>
              <w:spacing w:before="0" w:after="0"/>
              <w:jc w:val="center"/>
            </w:pPr>
            <w:r/>
            <w:r>
              <w:rPr>
                <w:rFonts w:ascii="Times New Roman" w:hAnsi="Times New Roman" w:eastAsia="Times New Roman"/>
                <w:b w:val="0"/>
                <w:i w:val="0"/>
                <w:color w:val="000000"/>
                <w:sz w:val="16"/>
              </w:rPr>
            </w:r>
          </w:p>
          <w:p>
            <w:pPr>
              <w:pStyle w:val="tablecopy"/>
              <w:keepNext/>
              <w:spacing w:before="0" w:after="0"/>
              <w:jc w:val="center"/>
            </w:pPr>
            <w:r/>
            <w:r>
              <w:rPr>
                <w:rFonts w:ascii="Times New Roman" w:hAnsi="Times New Roman" w:eastAsia="Times New Roman"/>
                <w:b w:val="0"/>
                <w:i w:val="0"/>
                <w:color w:val="000000"/>
                <w:sz w:val="16"/>
              </w:rPr>
            </w:r>
          </w:p>
        </w:tc>
        <w:tc>
          <w:tcPr>
            <w:tcW w:type="dxa" w:w="2088"/>
            <w:vAlign w:val="center"/>
          </w:tcPr>
          <w:p>
            <w:pPr>
              <w:pStyle w:val="tablecopy"/>
              <w:keepNext/>
              <w:spacing w:before="0" w:after="0"/>
              <w:jc w:val="center"/>
            </w:pPr>
            <w:r/>
            <w:r>
              <w:rPr>
                <w:rFonts w:ascii="Times New Roman" w:hAnsi="Times New Roman" w:eastAsia="Times New Roman"/>
                <w:b w:val="0"/>
                <w:i w:val="0"/>
                <w:color w:val="000000"/>
                <w:sz w:val="16"/>
              </w:rPr>
              <w:t>WSR P3/25%</w:t>
            </w:r>
          </w:p>
        </w:tc>
        <w:tc>
          <w:tcPr>
            <w:tcW w:type="dxa" w:w="749"/>
            <w:vAlign w:val="center"/>
          </w:tcPr>
          <w:p>
            <w:pPr>
              <w:pStyle w:val="tablecopy"/>
              <w:keepNext/>
              <w:spacing w:before="0" w:after="0"/>
              <w:jc w:val="center"/>
            </w:pPr>
            <w:r/>
            <w:r>
              <w:rPr>
                <w:rFonts w:ascii="Times New Roman" w:hAnsi="Times New Roman" w:eastAsia="Times New Roman"/>
                <w:b w:val="0"/>
                <w:i w:val="0"/>
                <w:color w:val="000000"/>
                <w:sz w:val="16"/>
              </w:rPr>
              <w:t>+1.030</w:t>
            </w:r>
          </w:p>
        </w:tc>
        <w:tc>
          <w:tcPr>
            <w:tcW w:type="dxa" w:w="1037"/>
            <w:vAlign w:val="center"/>
          </w:tcPr>
          <w:p>
            <w:pPr>
              <w:pStyle w:val="tablecopy"/>
              <w:keepNext/>
              <w:spacing w:before="0" w:after="0"/>
              <w:jc w:val="center"/>
            </w:pPr>
            <w:r/>
            <w:r>
              <w:rPr>
                <w:rFonts w:ascii="Times New Roman" w:hAnsi="Times New Roman" w:eastAsia="Times New Roman"/>
                <w:b w:val="0"/>
                <w:i w:val="0"/>
                <w:color w:val="000000"/>
                <w:sz w:val="16"/>
              </w:rPr>
              <w:t>—</w:t>
            </w:r>
          </w:p>
        </w:tc>
      </w:tr>
      <w:tr>
        <w:trPr>
          <w:trHeight w:val="260" w:hRule="atLeast"/>
          <w:cantSplit/>
        </w:trPr>
        <w:tc>
          <w:tcPr>
            <w:tcW w:type="dxa" w:w="749"/>
            <w:vMerge/>
            <w:vAlign w:val="center"/>
          </w:tcPr>
          <w:p/>
        </w:tc>
        <w:tc>
          <w:tcPr>
            <w:tcW w:type="dxa" w:w="2088"/>
            <w:vAlign w:val="center"/>
          </w:tcPr>
          <w:p>
            <w:pPr>
              <w:pStyle w:val="tablecopy"/>
              <w:keepNext/>
              <w:spacing w:before="0" w:after="0"/>
              <w:jc w:val="center"/>
            </w:pPr>
            <w:r/>
            <w:r>
              <w:rPr>
                <w:rFonts w:ascii="Times New Roman" w:hAnsi="Times New Roman" w:eastAsia="Times New Roman"/>
                <w:b w:val="0"/>
                <w:i w:val="0"/>
                <w:color w:val="000000"/>
                <w:sz w:val="16"/>
              </w:rPr>
              <w:t>no HF cue</w:t>
            </w:r>
          </w:p>
        </w:tc>
        <w:tc>
          <w:tcPr>
            <w:tcW w:type="dxa" w:w="749"/>
            <w:vAlign w:val="center"/>
          </w:tcPr>
          <w:p>
            <w:pPr>
              <w:pStyle w:val="tablecopy"/>
              <w:keepNext/>
              <w:spacing w:before="0" w:after="0"/>
              <w:jc w:val="center"/>
            </w:pPr>
            <w:r/>
            <w:r>
              <w:rPr>
                <w:rFonts w:ascii="Times New Roman" w:hAnsi="Times New Roman" w:eastAsia="Times New Roman"/>
                <w:b w:val="0"/>
                <w:i w:val="0"/>
                <w:color w:val="000000"/>
                <w:sz w:val="16"/>
              </w:rPr>
              <w:t>+1.301</w:t>
            </w:r>
          </w:p>
        </w:tc>
        <w:tc>
          <w:tcPr>
            <w:tcW w:type="dxa" w:w="1037"/>
            <w:vAlign w:val="center"/>
          </w:tcPr>
          <w:p>
            <w:pPr>
              <w:pStyle w:val="tablecopy"/>
              <w:keepNext/>
              <w:spacing w:before="0" w:after="0"/>
              <w:jc w:val="center"/>
            </w:pPr>
            <w:r/>
            <w:r>
              <w:rPr>
                <w:rFonts w:ascii="Times New Roman" w:hAnsi="Times New Roman" w:eastAsia="Times New Roman"/>
                <w:b w:val="0"/>
                <w:i w:val="0"/>
                <w:color w:val="000000"/>
                <w:sz w:val="16"/>
              </w:rPr>
              <w:t>—</w:t>
            </w:r>
          </w:p>
        </w:tc>
      </w:tr>
      <w:tr>
        <w:trPr>
          <w:trHeight w:val="260" w:hRule="atLeast"/>
          <w:cantSplit/>
        </w:trPr>
        <w:tc>
          <w:tcPr>
            <w:tcW w:type="dxa" w:w="749"/>
            <w:vMerge/>
            <w:vAlign w:val="center"/>
          </w:tcPr>
          <w:p/>
        </w:tc>
        <w:tc>
          <w:tcPr>
            <w:tcW w:type="dxa" w:w="2088"/>
            <w:vAlign w:val="center"/>
          </w:tcPr>
          <w:p>
            <w:pPr>
              <w:pStyle w:val="tablecopy"/>
              <w:keepNext/>
              <w:spacing w:before="0" w:after="0"/>
              <w:jc w:val="center"/>
            </w:pPr>
            <w:r/>
            <w:r>
              <w:rPr>
                <w:rFonts w:ascii="Times New Roman" w:hAnsi="Times New Roman" w:eastAsia="Times New Roman"/>
                <w:b w:val="0"/>
                <w:i w:val="0"/>
                <w:color w:val="000000"/>
                <w:sz w:val="16"/>
              </w:rPr>
              <w:t>equal fusion</w:t>
            </w:r>
          </w:p>
        </w:tc>
        <w:tc>
          <w:tcPr>
            <w:tcW w:type="dxa" w:w="749"/>
            <w:vAlign w:val="center"/>
          </w:tcPr>
          <w:p>
            <w:pPr>
              <w:pStyle w:val="tablecopy"/>
              <w:keepNext/>
              <w:spacing w:before="0" w:after="0"/>
              <w:jc w:val="center"/>
            </w:pPr>
            <w:r/>
            <w:r>
              <w:rPr>
                <w:rFonts w:ascii="Times New Roman" w:hAnsi="Times New Roman" w:eastAsia="Times New Roman"/>
                <w:b w:val="0"/>
                <w:i w:val="0"/>
                <w:color w:val="000000"/>
                <w:sz w:val="16"/>
              </w:rPr>
              <w:t>+1.319</w:t>
            </w:r>
          </w:p>
        </w:tc>
        <w:tc>
          <w:tcPr>
            <w:tcW w:type="dxa" w:w="1037"/>
            <w:vAlign w:val="center"/>
          </w:tcPr>
          <w:p>
            <w:pPr>
              <w:pStyle w:val="tablecopy"/>
              <w:keepNext/>
              <w:spacing w:before="0" w:after="0"/>
              <w:jc w:val="center"/>
            </w:pPr>
            <w:r/>
            <w:r>
              <w:rPr>
                <w:rFonts w:ascii="Times New Roman" w:hAnsi="Times New Roman" w:eastAsia="Times New Roman"/>
                <w:b w:val="0"/>
                <w:i w:val="0"/>
                <w:color w:val="000000"/>
                <w:sz w:val="16"/>
              </w:rPr>
              <w:t>—</w:t>
            </w:r>
          </w:p>
        </w:tc>
      </w:tr>
      <w:tr>
        <w:trPr>
          <w:trHeight w:val="260" w:hRule="atLeast"/>
          <w:cantSplit/>
        </w:trPr>
        <w:tc>
          <w:tcPr>
            <w:tcW w:type="dxa" w:w="749"/>
            <w:vMerge/>
            <w:vAlign w:val="center"/>
          </w:tcPr>
          <w:p/>
        </w:tc>
        <w:tc>
          <w:tcPr>
            <w:tcW w:type="dxa" w:w="2088"/>
            <w:vAlign w:val="center"/>
          </w:tcPr>
          <w:p>
            <w:pPr>
              <w:pStyle w:val="tablecopy"/>
              <w:keepNext/>
              <w:spacing w:before="0" w:after="0"/>
              <w:jc w:val="center"/>
            </w:pPr>
            <w:r/>
            <w:r>
              <w:rPr>
                <w:rFonts w:ascii="Times New Roman" w:hAnsi="Times New Roman" w:eastAsia="Times New Roman"/>
                <w:b w:val="0"/>
                <w:i w:val="0"/>
                <w:color w:val="000000"/>
                <w:sz w:val="16"/>
              </w:rPr>
              <w:t>matched convolution</w:t>
            </w:r>
          </w:p>
        </w:tc>
        <w:tc>
          <w:tcPr>
            <w:tcW w:type="dxa" w:w="749"/>
            <w:vAlign w:val="center"/>
          </w:tcPr>
          <w:p>
            <w:pPr>
              <w:pStyle w:val="tablecopy"/>
              <w:keepNext/>
              <w:spacing w:before="0" w:after="0"/>
              <w:jc w:val="center"/>
            </w:pPr>
            <w:r/>
            <w:r>
              <w:rPr>
                <w:rFonts w:ascii="Times New Roman" w:hAnsi="Times New Roman" w:eastAsia="Times New Roman"/>
                <w:b w:val="0"/>
                <w:i w:val="0"/>
                <w:color w:val="000000"/>
                <w:sz w:val="16"/>
              </w:rPr>
              <w:t>+1.062</w:t>
            </w:r>
          </w:p>
        </w:tc>
        <w:tc>
          <w:tcPr>
            <w:tcW w:type="dxa" w:w="1037"/>
            <w:vAlign w:val="center"/>
          </w:tcPr>
          <w:p>
            <w:pPr>
              <w:pStyle w:val="tablecopy"/>
              <w:keepNext/>
              <w:spacing w:before="0" w:after="0"/>
              <w:jc w:val="center"/>
            </w:pPr>
            <w:r/>
            <w:r>
              <w:rPr>
                <w:rFonts w:ascii="Times New Roman" w:hAnsi="Times New Roman" w:eastAsia="Times New Roman"/>
                <w:b w:val="0"/>
                <w:i w:val="0"/>
                <w:color w:val="000000"/>
                <w:sz w:val="16"/>
              </w:rPr>
              <w:t>—</w:t>
            </w:r>
          </w:p>
        </w:tc>
      </w:tr>
      <w:tr>
        <w:trPr>
          <w:trHeight w:val="260" w:hRule="atLeast"/>
          <w:cantSplit/>
        </w:trPr>
        <w:tc>
          <w:tcPr>
            <w:tcW w:type="dxa" w:w="749"/>
            <w:vMerge w:val="restart"/>
            <w:vAlign w:val="center"/>
          </w:tcPr>
          <w:p>
            <w:pPr>
              <w:pStyle w:val="tablecopy"/>
              <w:keepNext/>
              <w:spacing w:before="0" w:after="0"/>
              <w:jc w:val="center"/>
            </w:pPr>
            <w:r/>
            <w:r>
              <w:rPr>
                <w:rFonts w:ascii="Times New Roman" w:hAnsi="Times New Roman" w:eastAsia="Times New Roman"/>
                <w:b w:val="0"/>
                <w:i w:val="0"/>
                <w:color w:val="000000"/>
                <w:sz w:val="16"/>
              </w:rPr>
              <w:t>Latency</w:t>
            </w:r>
          </w:p>
          <w:p>
            <w:pPr>
              <w:pStyle w:val="tablecopy"/>
              <w:keepNext/>
              <w:spacing w:before="0" w:after="0"/>
              <w:jc w:val="center"/>
            </w:pPr>
            <w:r/>
            <w:r>
              <w:rPr>
                <w:rFonts w:ascii="Times New Roman" w:hAnsi="Times New Roman" w:eastAsia="Times New Roman"/>
                <w:b w:val="0"/>
                <w:i w:val="0"/>
                <w:color w:val="000000"/>
                <w:sz w:val="16"/>
              </w:rPr>
            </w:r>
          </w:p>
        </w:tc>
        <w:tc>
          <w:tcPr>
            <w:tcW w:type="dxa" w:w="2088"/>
            <w:vAlign w:val="center"/>
          </w:tcPr>
          <w:p>
            <w:pPr>
              <w:pStyle w:val="tablecopy"/>
              <w:keepNext/>
              <w:spacing w:before="0" w:after="0"/>
              <w:jc w:val="center"/>
            </w:pPr>
            <w:r/>
            <w:r>
              <w:rPr>
                <w:rFonts w:ascii="Times New Roman" w:hAnsi="Times New Roman" w:eastAsia="Times New Roman"/>
                <w:b w:val="0"/>
                <w:i w:val="0"/>
                <w:color w:val="000000"/>
                <w:sz w:val="16"/>
              </w:rPr>
              <w:t>DsPCBSD+ FP32/FP16</w:t>
            </w:r>
          </w:p>
        </w:tc>
        <w:tc>
          <w:tcPr>
            <w:tcW w:type="dxa" w:w="749"/>
            <w:vAlign w:val="center"/>
          </w:tcPr>
          <w:p>
            <w:pPr>
              <w:pStyle w:val="tablecopy"/>
              <w:keepNext/>
              <w:spacing w:before="0" w:after="0"/>
              <w:jc w:val="center"/>
            </w:pPr>
            <w:r/>
            <w:r>
              <w:rPr>
                <w:rFonts w:ascii="Times New Roman" w:hAnsi="Times New Roman" w:eastAsia="Times New Roman"/>
                <w:b w:val="0"/>
                <w:i w:val="0"/>
                <w:color w:val="000000"/>
                <w:sz w:val="16"/>
              </w:rPr>
              <w:t>—</w:t>
            </w:r>
          </w:p>
        </w:tc>
        <w:tc>
          <w:tcPr>
            <w:tcW w:type="dxa" w:w="1037"/>
            <w:vAlign w:val="center"/>
          </w:tcPr>
          <w:p>
            <w:pPr>
              <w:pStyle w:val="tablecopy"/>
              <w:keepNext/>
              <w:spacing w:before="0" w:after="0"/>
              <w:jc w:val="center"/>
            </w:pPr>
            <w:r/>
            <w:r>
              <w:rPr>
                <w:rFonts w:ascii="Times New Roman" w:hAnsi="Times New Roman" w:eastAsia="Times New Roman"/>
                <w:b w:val="0"/>
                <w:i w:val="0"/>
                <w:color w:val="000000"/>
                <w:sz w:val="16"/>
              </w:rPr>
              <w:t>1.184/1.194</w:t>
            </w:r>
          </w:p>
        </w:tc>
      </w:tr>
      <w:tr>
        <w:trPr>
          <w:trHeight w:val="260" w:hRule="atLeast"/>
          <w:cantSplit/>
        </w:trPr>
        <w:tc>
          <w:tcPr>
            <w:tcW w:type="dxa" w:w="749"/>
            <w:vMerge/>
            <w:vAlign w:val="center"/>
          </w:tcPr>
          <w:p/>
        </w:tc>
        <w:tc>
          <w:tcPr>
            <w:tcW w:type="dxa" w:w="2088"/>
            <w:vAlign w:val="center"/>
          </w:tcPr>
          <w:p>
            <w:pPr>
              <w:pStyle w:val="tablecopy"/>
              <w:spacing w:before="0" w:after="0"/>
              <w:jc w:val="center"/>
            </w:pPr>
            <w:r/>
            <w:r>
              <w:rPr>
                <w:rFonts w:ascii="Times New Roman" w:hAnsi="Times New Roman" w:eastAsia="Times New Roman"/>
                <w:b w:val="0"/>
                <w:i w:val="0"/>
                <w:color w:val="000000"/>
                <w:sz w:val="16"/>
              </w:rPr>
              <w:t>DeepPCB FP32/FP16</w:t>
            </w:r>
          </w:p>
        </w:tc>
        <w:tc>
          <w:tcPr>
            <w:tcW w:type="dxa" w:w="749"/>
            <w:vAlign w:val="center"/>
          </w:tcPr>
          <w:p>
            <w:pPr>
              <w:pStyle w:val="tablecopy"/>
              <w:spacing w:before="0" w:after="0"/>
              <w:jc w:val="center"/>
            </w:pPr>
            <w:r/>
            <w:r>
              <w:rPr>
                <w:rFonts w:ascii="Times New Roman" w:hAnsi="Times New Roman" w:eastAsia="Times New Roman"/>
                <w:b w:val="0"/>
                <w:i w:val="0"/>
                <w:color w:val="000000"/>
                <w:sz w:val="16"/>
              </w:rPr>
              <w:t>—</w:t>
            </w:r>
          </w:p>
        </w:tc>
        <w:tc>
          <w:tcPr>
            <w:tcW w:type="dxa" w:w="1037"/>
            <w:vAlign w:val="center"/>
          </w:tcPr>
          <w:p>
            <w:pPr>
              <w:pStyle w:val="tablecopy"/>
              <w:spacing w:before="0" w:after="0"/>
              <w:jc w:val="center"/>
            </w:pPr>
            <w:r/>
            <w:r>
              <w:rPr>
                <w:rFonts w:ascii="Times New Roman" w:hAnsi="Times New Roman" w:eastAsia="Times New Roman"/>
                <w:b w:val="0"/>
                <w:i w:val="0"/>
                <w:color w:val="000000"/>
                <w:sz w:val="16"/>
              </w:rPr>
              <w:t>1.206/1.185</w:t>
            </w:r>
          </w:p>
        </w:tc>
      </w:tr>
    </w:tbl>
    <w:p>
      <w:pPr>
        <w:pStyle w:val="4"/>
        <w:keepNext/>
        <w:spacing w:before="120" w:after="60"/>
        <w:jc w:val="left"/>
      </w:pPr>
      <w:r>
        <w:rPr>
          <w:rFonts w:ascii="Times New Roman" w:hAnsi="Times New Roman" w:eastAsia="Times New Roman"/>
          <w:b w:val="0"/>
          <w:i/>
          <w:color w:val="000000"/>
          <w:sz w:val="20"/>
        </w:rPr>
        <w:t>D. Operational False Alarms</w:t>
      </w:r>
    </w:p>
    <w:p>
      <w:pPr>
        <w:pStyle w:val="3"/>
        <w:spacing w:before="0" w:after="60" w:line="276" w:lineRule="auto"/>
        <w:ind w:firstLine="0"/>
        <w:jc w:val="both"/>
      </w:pPr>
      <w:r>
        <w:rPr>
          <w:rFonts w:ascii="Times New Roman" w:hAnsi="Times New Roman" w:eastAsia="Times New Roman"/>
          <w:b w:val="0"/>
          <w:i w:val="0"/>
          <w:color w:val="000000"/>
          <w:sz w:val="20"/>
        </w:rPr>
        <w:t>DeepPCB’s 500 clean templates expose risk hidden by positive-only AP. At confidence 0.25, seed-13 WSR alarms on 56.6% of boards versus 48.0% for YOLO11s (Table 4). Negative-aware training lowers the three-seed board-FPR from 53.5% to 27.5% at 0.946 recall and raises AP from 68.81 to 72.44. The exploratory paired-reference policy reaches 1.4% board-FPR, AP 72.63, and 0.959 F1, but is post-hoc, single-seed, and changes the input contract (Figure 5).</w:t>
      </w:r>
    </w:p>
    <w:p>
      <w:pPr>
        <w:pStyle w:val="tablehead"/>
        <w:keepNext/>
        <w:keepLines/>
        <w:jc w:val="center"/>
      </w:pPr>
      <w:r>
        <w:rPr>
          <w:rFonts w:ascii="Times New Roman" w:hAnsi="Times New Roman" w:eastAsia="Times New Roman"/>
          <w:b w:val="0"/>
          <w:i w:val="0"/>
          <w:color w:val="000000"/>
          <w:sz w:val="16"/>
        </w:rPr>
        <w:t>Table 4. Seed-13 board-FPR (%) on 500 clean DeepPCB templates.</w:t>
      </w:r>
    </w:p>
    <w:tbl>
      <w:tblPr>
        <w:tblW w:type="dxa" w:w="4421"/>
        <w:jc w:val="center"/>
        <w:tblLayout w:type="fixed"/>
        <w:tblLook w:firstColumn="1" w:firstRow="1" w:lastColumn="0" w:lastRow="0" w:noHBand="0" w:noVBand="1" w:val="04A0"/>
        <w:tblInd w:w="0" w:type="dxa"/>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CellMar>
          <w:top w:w="30" w:type="dxa"/>
          <w:bottom w:w="30" w:type="dxa"/>
          <w:left w:w="40" w:type="dxa"/>
          <w:right w:w="40" w:type="dxa"/>
        </w:tblCellMar>
      </w:tblPr>
      <w:tblGrid>
        <w:gridCol w:w="1656"/>
        <w:gridCol w:w="691"/>
        <w:gridCol w:w="691"/>
        <w:gridCol w:w="691"/>
        <w:gridCol w:w="691"/>
      </w:tblGrid>
      <w:tr>
        <w:trPr>
          <w:trHeight w:val="260" w:hRule="atLeast"/>
          <w:cantSplit/>
        </w:trPr>
        <w:tc>
          <w:tcPr>
            <w:tcW w:type="dxa" w:w="1656"/>
            <w:vAlign w:val="center"/>
          </w:tcPr>
          <w:p>
            <w:pPr>
              <w:pStyle w:val="tablecolhead"/>
              <w:keepNext/>
              <w:spacing w:before="0" w:after="0"/>
              <w:jc w:val="center"/>
            </w:pPr>
            <w:r/>
            <w:r>
              <w:rPr>
                <w:rFonts w:ascii="Times New Roman" w:hAnsi="Times New Roman" w:eastAsia="Times New Roman"/>
                <w:b/>
                <w:i w:val="0"/>
                <w:color w:val="000000"/>
                <w:sz w:val="16"/>
              </w:rPr>
              <w:t>Model</w:t>
            </w:r>
          </w:p>
        </w:tc>
        <w:tc>
          <w:tcPr>
            <w:tcW w:type="dxa" w:w="691"/>
            <w:vAlign w:val="center"/>
          </w:tcPr>
          <w:p>
            <w:pPr>
              <w:pStyle w:val="tablecolhead"/>
              <w:keepNext/>
              <w:spacing w:before="0" w:after="0"/>
              <w:jc w:val="center"/>
            </w:pPr>
            <w:r/>
            <w:r>
              <w:rPr>
                <w:rFonts w:ascii="Times New Roman" w:hAnsi="Times New Roman" w:eastAsia="Times New Roman"/>
                <w:b/>
                <w:i w:val="0"/>
                <w:color w:val="000000"/>
                <w:sz w:val="16"/>
              </w:rPr>
              <w:t>0.05</w:t>
            </w:r>
          </w:p>
        </w:tc>
        <w:tc>
          <w:tcPr>
            <w:tcW w:type="dxa" w:w="691"/>
            <w:vAlign w:val="center"/>
          </w:tcPr>
          <w:p>
            <w:pPr>
              <w:pStyle w:val="tablecolhead"/>
              <w:keepNext/>
              <w:spacing w:before="0" w:after="0"/>
              <w:jc w:val="center"/>
            </w:pPr>
            <w:r/>
            <w:r>
              <w:rPr>
                <w:rFonts w:ascii="Times New Roman" w:hAnsi="Times New Roman" w:eastAsia="Times New Roman"/>
                <w:b/>
                <w:i w:val="0"/>
                <w:color w:val="000000"/>
                <w:sz w:val="16"/>
              </w:rPr>
              <w:t>0.10</w:t>
            </w:r>
          </w:p>
        </w:tc>
        <w:tc>
          <w:tcPr>
            <w:tcW w:type="dxa" w:w="691"/>
            <w:vAlign w:val="center"/>
          </w:tcPr>
          <w:p>
            <w:pPr>
              <w:pStyle w:val="tablecolhead"/>
              <w:keepNext/>
              <w:spacing w:before="0" w:after="0"/>
              <w:jc w:val="center"/>
            </w:pPr>
            <w:r/>
            <w:r>
              <w:rPr>
                <w:rFonts w:ascii="Times New Roman" w:hAnsi="Times New Roman" w:eastAsia="Times New Roman"/>
                <w:b/>
                <w:i w:val="0"/>
                <w:color w:val="000000"/>
                <w:sz w:val="16"/>
              </w:rPr>
              <w:t>0.25</w:t>
            </w:r>
          </w:p>
        </w:tc>
        <w:tc>
          <w:tcPr>
            <w:tcW w:type="dxa" w:w="691"/>
            <w:vAlign w:val="center"/>
          </w:tcPr>
          <w:p>
            <w:pPr>
              <w:pStyle w:val="tablecolhead"/>
              <w:keepNext/>
              <w:spacing w:before="0" w:after="0"/>
              <w:jc w:val="center"/>
            </w:pPr>
            <w:r/>
            <w:r>
              <w:rPr>
                <w:rFonts w:ascii="Times New Roman" w:hAnsi="Times New Roman" w:eastAsia="Times New Roman"/>
                <w:b/>
                <w:i w:val="0"/>
                <w:color w:val="000000"/>
                <w:sz w:val="16"/>
              </w:rPr>
              <w:t>0.50</w:t>
            </w:r>
          </w:p>
        </w:tc>
      </w:tr>
      <w:tr>
        <w:trPr>
          <w:trHeight w:val="260" w:hRule="atLeast"/>
          <w:cantSplit/>
        </w:trPr>
        <w:tc>
          <w:tcPr>
            <w:tcW w:type="dxa" w:w="1656"/>
            <w:vAlign w:val="center"/>
          </w:tcPr>
          <w:p>
            <w:pPr>
              <w:pStyle w:val="tablecopy"/>
              <w:keepNext/>
              <w:spacing w:before="0" w:after="0"/>
              <w:jc w:val="center"/>
            </w:pPr>
            <w:r/>
            <w:r>
              <w:rPr>
                <w:rFonts w:ascii="Times New Roman" w:hAnsi="Times New Roman" w:eastAsia="Times New Roman"/>
                <w:b w:val="0"/>
                <w:i w:val="0"/>
                <w:color w:val="000000"/>
                <w:sz w:val="16"/>
              </w:rPr>
              <w:t>YOLO11s</w:t>
            </w:r>
          </w:p>
        </w:tc>
        <w:tc>
          <w:tcPr>
            <w:tcW w:type="dxa" w:w="691"/>
            <w:vAlign w:val="center"/>
          </w:tcPr>
          <w:p>
            <w:pPr>
              <w:pStyle w:val="tablecopy"/>
              <w:keepNext/>
              <w:spacing w:before="0" w:after="0"/>
              <w:jc w:val="center"/>
            </w:pPr>
            <w:r/>
            <w:r>
              <w:rPr>
                <w:rFonts w:ascii="Times New Roman" w:hAnsi="Times New Roman" w:eastAsia="Times New Roman"/>
                <w:b w:val="0"/>
                <w:i w:val="0"/>
                <w:color w:val="000000"/>
                <w:sz w:val="16"/>
              </w:rPr>
              <w:t>79.0</w:t>
            </w:r>
          </w:p>
        </w:tc>
        <w:tc>
          <w:tcPr>
            <w:tcW w:type="dxa" w:w="691"/>
            <w:vAlign w:val="center"/>
          </w:tcPr>
          <w:p>
            <w:pPr>
              <w:pStyle w:val="tablecopy"/>
              <w:keepNext/>
              <w:spacing w:before="0" w:after="0"/>
              <w:jc w:val="center"/>
            </w:pPr>
            <w:r/>
            <w:r>
              <w:rPr>
                <w:rFonts w:ascii="Times New Roman" w:hAnsi="Times New Roman" w:eastAsia="Times New Roman"/>
                <w:b w:val="0"/>
                <w:i w:val="0"/>
                <w:color w:val="000000"/>
                <w:sz w:val="16"/>
              </w:rPr>
              <w:t>66.2</w:t>
            </w:r>
          </w:p>
        </w:tc>
        <w:tc>
          <w:tcPr>
            <w:tcW w:type="dxa" w:w="691"/>
            <w:vAlign w:val="center"/>
          </w:tcPr>
          <w:p>
            <w:pPr>
              <w:pStyle w:val="tablecopy"/>
              <w:keepNext/>
              <w:spacing w:before="0" w:after="0"/>
              <w:jc w:val="center"/>
            </w:pPr>
            <w:r/>
            <w:r>
              <w:rPr>
                <w:rFonts w:ascii="Times New Roman" w:hAnsi="Times New Roman" w:eastAsia="Times New Roman"/>
                <w:b w:val="0"/>
                <w:i w:val="0"/>
                <w:color w:val="000000"/>
                <w:sz w:val="16"/>
              </w:rPr>
              <w:t>48.0</w:t>
            </w:r>
          </w:p>
        </w:tc>
        <w:tc>
          <w:tcPr>
            <w:tcW w:type="dxa" w:w="691"/>
            <w:vAlign w:val="center"/>
          </w:tcPr>
          <w:p>
            <w:pPr>
              <w:pStyle w:val="tablecopy"/>
              <w:keepNext/>
              <w:spacing w:before="0" w:after="0"/>
              <w:jc w:val="center"/>
            </w:pPr>
            <w:r/>
            <w:r>
              <w:rPr>
                <w:rFonts w:ascii="Times New Roman" w:hAnsi="Times New Roman" w:eastAsia="Times New Roman"/>
                <w:b w:val="0"/>
                <w:i w:val="0"/>
                <w:color w:val="000000"/>
                <w:sz w:val="16"/>
              </w:rPr>
              <w:t>28.0</w:t>
            </w:r>
          </w:p>
        </w:tc>
      </w:tr>
      <w:tr>
        <w:trPr>
          <w:trHeight w:val="260" w:hRule="atLeast"/>
          <w:cantSplit/>
        </w:trPr>
        <w:tc>
          <w:tcPr>
            <w:tcW w:type="dxa" w:w="1656"/>
            <w:vAlign w:val="center"/>
          </w:tcPr>
          <w:p>
            <w:pPr>
              <w:pStyle w:val="tablecopy"/>
              <w:spacing w:before="0" w:after="0"/>
              <w:jc w:val="center"/>
            </w:pPr>
            <w:r/>
            <w:r>
              <w:rPr>
                <w:rFonts w:ascii="Times New Roman" w:hAnsi="Times New Roman" w:eastAsia="Times New Roman"/>
                <w:b w:val="0"/>
                <w:i w:val="0"/>
                <w:color w:val="000000"/>
                <w:sz w:val="16"/>
              </w:rPr>
              <w:t>WSR-YOLO11s</w:t>
            </w:r>
          </w:p>
        </w:tc>
        <w:tc>
          <w:tcPr>
            <w:tcW w:type="dxa" w:w="691"/>
            <w:vAlign w:val="center"/>
          </w:tcPr>
          <w:p>
            <w:pPr>
              <w:pStyle w:val="tablecopy"/>
              <w:spacing w:before="0" w:after="0"/>
              <w:jc w:val="center"/>
            </w:pPr>
            <w:r/>
            <w:r>
              <w:rPr>
                <w:rFonts w:ascii="Times New Roman" w:hAnsi="Times New Roman" w:eastAsia="Times New Roman"/>
                <w:b w:val="0"/>
                <w:i w:val="0"/>
                <w:color w:val="000000"/>
                <w:sz w:val="16"/>
              </w:rPr>
              <w:t>87.6</w:t>
            </w:r>
          </w:p>
        </w:tc>
        <w:tc>
          <w:tcPr>
            <w:tcW w:type="dxa" w:w="691"/>
            <w:vAlign w:val="center"/>
          </w:tcPr>
          <w:p>
            <w:pPr>
              <w:pStyle w:val="tablecopy"/>
              <w:spacing w:before="0" w:after="0"/>
              <w:jc w:val="center"/>
            </w:pPr>
            <w:r/>
            <w:r>
              <w:rPr>
                <w:rFonts w:ascii="Times New Roman" w:hAnsi="Times New Roman" w:eastAsia="Times New Roman"/>
                <w:b w:val="0"/>
                <w:i w:val="0"/>
                <w:color w:val="000000"/>
                <w:sz w:val="16"/>
              </w:rPr>
              <w:t>77.0</w:t>
            </w:r>
          </w:p>
        </w:tc>
        <w:tc>
          <w:tcPr>
            <w:tcW w:type="dxa" w:w="691"/>
            <w:vAlign w:val="center"/>
          </w:tcPr>
          <w:p>
            <w:pPr>
              <w:pStyle w:val="tablecopy"/>
              <w:spacing w:before="0" w:after="0"/>
              <w:jc w:val="center"/>
            </w:pPr>
            <w:r/>
            <w:r>
              <w:rPr>
                <w:rFonts w:ascii="Times New Roman" w:hAnsi="Times New Roman" w:eastAsia="Times New Roman"/>
                <w:b w:val="0"/>
                <w:i w:val="0"/>
                <w:color w:val="000000"/>
                <w:sz w:val="16"/>
              </w:rPr>
              <w:t>56.6</w:t>
            </w:r>
          </w:p>
        </w:tc>
        <w:tc>
          <w:tcPr>
            <w:tcW w:type="dxa" w:w="691"/>
            <w:vAlign w:val="center"/>
          </w:tcPr>
          <w:p>
            <w:pPr>
              <w:pStyle w:val="tablecopy"/>
              <w:spacing w:before="0" w:after="0"/>
              <w:jc w:val="center"/>
            </w:pPr>
            <w:r/>
            <w:r>
              <w:rPr>
                <w:rFonts w:ascii="Times New Roman" w:hAnsi="Times New Roman" w:eastAsia="Times New Roman"/>
                <w:b w:val="0"/>
                <w:i w:val="0"/>
                <w:color w:val="000000"/>
                <w:sz w:val="16"/>
              </w:rPr>
              <w:t>35.0</w:t>
            </w:r>
          </w:p>
        </w:tc>
      </w:tr>
    </w:tbl>
    <w:p>
      <w:pPr>
        <w:pStyle w:val="3"/>
        <w:spacing w:before="0" w:after="60" w:line="276" w:lineRule="auto"/>
        <w:ind w:firstLine="288"/>
        <w:jc w:val="both"/>
      </w:pPr>
      <w:r>
        <w:rPr>
          <w:rFonts w:ascii="Times New Roman" w:hAnsi="Times New Roman" w:eastAsia="Times New Roman"/>
          <w:b w:val="0"/>
          <w:i w:val="0"/>
          <w:color w:val="000000"/>
          <w:sz w:val="20"/>
        </w:rPr>
        <w:t>Target-only mitigation preserves the sensor input; paired assistance requires a registered template. Validation-calibrated 1% caps transfer to 1.8%–6.2% test board-FPR with 0.790 mean recall, so production negatives remain necessary.</w:t>
      </w:r>
    </w:p>
    <w:p>
      <w:pPr>
        <w:pStyle w:val="figurecaption"/>
        <w:keepLines/>
        <w:pageBreakBefore w:val="0"/>
        <w:jc w:val="center"/>
      </w:pPr>
      <w:r>
        <w:drawing>
          <wp:inline xmlns:a="http://schemas.openxmlformats.org/drawingml/2006/main" xmlns:pic="http://schemas.openxmlformats.org/drawingml/2006/picture">
            <wp:extent cx="3154680" cy="1559210"/>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154680" cy="1559210"/>
                    </a:xfrm>
                    <a:prstGeom prst="rect"/>
                  </pic:spPr>
                </pic:pic>
              </a:graphicData>
            </a:graphic>
          </wp:inline>
        </w:drawing>
      </w:r>
      <w:r>
        <w:br/>
      </w:r>
      <w:r>
        <w:rPr>
          <w:rFonts w:ascii="Times New Roman" w:hAnsi="Times New Roman" w:eastAsia="Times New Roman"/>
          <w:b w:val="0"/>
          <w:i w:val="0"/>
          <w:color w:val="000000"/>
          <w:sz w:val="16"/>
        </w:rPr>
        <w:t>Figure 5. DeepPCB negative-template audit. (a) Target-only confidence sweep. (b) Recall–board-FPR trade-off; paired input changes the inference contract.</w:t>
      </w:r>
    </w:p>
    <w:p>
      <w:pPr>
        <w:pStyle w:val="4"/>
        <w:keepNext/>
        <w:spacing w:before="120" w:after="60"/>
        <w:jc w:val="left"/>
      </w:pPr>
      <w:r>
        <w:rPr>
          <w:rFonts w:ascii="Times New Roman" w:hAnsi="Times New Roman" w:eastAsia="Times New Roman"/>
          <w:b w:val="0"/>
          <w:i/>
          <w:color w:val="000000"/>
          <w:sz w:val="20"/>
        </w:rPr>
        <w:t>E. Auxiliary Robustness Evidence</w:t>
      </w:r>
    </w:p>
    <w:p>
      <w:pPr>
        <w:pStyle w:val="3"/>
        <w:spacing w:before="0" w:after="60" w:line="276" w:lineRule="auto"/>
        <w:ind w:firstLine="0"/>
        <w:jc w:val="both"/>
      </w:pPr>
      <w:r>
        <w:rPr>
          <w:rFonts w:ascii="Times New Roman" w:hAnsi="Times New Roman" w:eastAsia="Times New Roman"/>
          <w:b w:val="0"/>
          <w:i w:val="0"/>
          <w:color w:val="000000"/>
          <w:sz w:val="20"/>
        </w:rPr>
        <w:t>Across eight corruptions and five severities, WSR averages 46.51 AP versus 42.68 and wins 24 of 40 conditions. Gains cluster in brightness, contrast, Gaussian noise, and JPEG, while three corruptions regress; clean-normalized retention is 65.6% versus 64.1%.</w:t>
      </w:r>
    </w:p>
    <w:p>
      <w:pPr>
        <w:pStyle w:val="3"/>
        <w:spacing w:before="0" w:after="60" w:line="276" w:lineRule="auto"/>
        <w:ind w:firstLine="288"/>
        <w:jc w:val="both"/>
      </w:pPr>
      <w:r>
        <w:rPr>
          <w:rFonts w:ascii="Times New Roman" w:hAnsi="Times New Roman" w:eastAsia="Times New Roman"/>
          <w:b w:val="0"/>
          <w:i w:val="0"/>
          <w:color w:val="000000"/>
          <w:sz w:val="20"/>
        </w:rPr>
        <w:t>Low-/high-only reconstruction gives 67.43/0.95 AP for WSR and 66.22/1.67 for baseline. Removing LH, HL, or HH costs WSR 1.32, 0.70, or 1.68 points versus 1.59, 0.92, or 3.68 for baseline. Because the interventions modify detector input, they are mechanistic evidence rather than proof of internal Haar causality (Figure 6).</w:t>
      </w:r>
    </w:p>
    <w:p>
      <w:pPr>
        <w:pStyle w:val="figurecaption"/>
        <w:keepLines/>
        <w:pageBreakBefore w:val="0"/>
        <w:jc w:val="center"/>
      </w:pPr>
      <w:r>
        <w:drawing>
          <wp:inline xmlns:a="http://schemas.openxmlformats.org/drawingml/2006/main" xmlns:pic="http://schemas.openxmlformats.org/drawingml/2006/picture">
            <wp:extent cx="3154680" cy="1613601"/>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154680" cy="1613601"/>
                    </a:xfrm>
                    <a:prstGeom prst="rect"/>
                  </pic:spPr>
                </pic:pic>
              </a:graphicData>
            </a:graphic>
          </wp:inline>
        </w:drawing>
      </w:r>
      <w:r>
        <w:br/>
      </w:r>
      <w:r>
        <w:rPr>
          <w:rFonts w:ascii="Times New Roman" w:hAnsi="Times New Roman" w:eastAsia="Times New Roman"/>
          <w:b w:val="0"/>
          <w:i w:val="0"/>
          <w:color w:val="000000"/>
          <w:sz w:val="16"/>
        </w:rPr>
        <w:t>Figure 6. DeepPCB seed-13 diagnostics. (a) Mean WSR-minus-baseline AP under corruptions. (b) AP after matched input-Haar interventions.</w:t>
      </w:r>
    </w:p>
    <w:p>
      <w:pPr>
        <w:pStyle w:val="2"/>
        <w:keepNext/>
        <w:spacing w:before="160" w:after="80"/>
        <w:jc w:val="center"/>
      </w:pPr>
      <w:r>
        <w:rPr>
          <w:rFonts w:ascii="Times New Roman" w:hAnsi="Times New Roman" w:eastAsia="Times New Roman"/>
          <w:b w:val="0"/>
          <w:i w:val="0"/>
          <w:smallCaps/>
          <w:color w:val="000000"/>
          <w:sz w:val="20"/>
        </w:rPr>
        <w:t>V. FINDINGS AND LIMITATIONS</w:t>
      </w:r>
    </w:p>
    <w:p>
      <w:pPr>
        <w:pStyle w:val="3"/>
        <w:spacing w:before="0" w:after="60" w:line="276" w:lineRule="auto"/>
        <w:ind w:firstLine="0"/>
        <w:jc w:val="both"/>
      </w:pPr>
      <w:r>
        <w:rPr>
          <w:rFonts w:ascii="Times New Roman" w:hAnsi="Times New Roman" w:eastAsia="Times New Roman"/>
          <w:b w:val="0"/>
          <w:i w:val="0"/>
          <w:color w:val="000000"/>
          <w:sz w:val="20"/>
        </w:rPr>
        <w:t>Route enrichment is not an accuracy surrogate, arithmetic sparsity is not systems efficiency, and positive-only AP hides normal-board alarms. A valid audit combines paired held-out accuracy, device timing, negative operating points, same-budget controls, matched capacity, and source-bound records. Seeds and latency cycles remain the sampling units; class, corruption, and threshold slices are decompositions rather than new samples.</w:t>
      </w:r>
    </w:p>
    <w:p>
      <w:pPr>
        <w:pStyle w:val="4"/>
        <w:keepNext/>
        <w:spacing w:before="120" w:after="60"/>
        <w:jc w:val="left"/>
      </w:pPr>
      <w:r>
        <w:rPr>
          <w:rFonts w:ascii="Times New Roman" w:hAnsi="Times New Roman" w:eastAsia="Times New Roman"/>
          <w:b w:val="0"/>
          <w:i/>
          <w:color w:val="000000"/>
          <w:sz w:val="20"/>
        </w:rPr>
        <w:t>A. Image-Processing Role and Deployment Gate</w:t>
      </w:r>
    </w:p>
    <w:p>
      <w:pPr>
        <w:pStyle w:val="3"/>
        <w:spacing w:before="0" w:after="60" w:line="276" w:lineRule="auto"/>
        <w:ind w:firstLine="0"/>
        <w:jc w:val="both"/>
      </w:pPr>
      <w:r>
        <w:rPr>
          <w:rFonts w:ascii="Times New Roman" w:hAnsi="Times New Roman" w:eastAsia="Times New Roman"/>
          <w:b w:val="0"/>
          <w:i w:val="0"/>
          <w:color w:val="000000"/>
          <w:sz w:val="20"/>
        </w:rPr>
        <w:t>Filtering, binarization, and edge operators remain useful for normalization, registration, and ROI masks, but fixed thresholds are brittle under illumination and repeated copper patterns. WSR-YOLO instead learns multiscale context. Deployment freezes classwise thresholds under a validation board-FPR ceiling and reports locked-test AP, recall, board-FPR uncertainty, and end-to-end latency; camera or layout changes trigger recalibration, while loss of registration disables the paired branch.</w:t>
      </w:r>
    </w:p>
    <w:p>
      <w:pPr>
        <w:pStyle w:val="3"/>
        <w:spacing w:before="0" w:after="60" w:line="276" w:lineRule="auto"/>
        <w:ind w:firstLine="288"/>
        <w:jc w:val="both"/>
      </w:pPr>
      <w:r>
        <w:rPr>
          <w:rFonts w:ascii="Times New Roman" w:hAnsi="Times New Roman" w:eastAsia="Times New Roman"/>
          <w:b w:val="0"/>
          <w:i w:val="0"/>
          <w:color w:val="000000"/>
          <w:sz w:val="20"/>
        </w:rPr>
        <w:t>Limits include three DeepPCB pairs, one GPU, incomplete comparator timing, hard top-k, and absent board/lot IDs. Reference assistance requires preregistration and independent production negatives. Runs bind Python 3.10, PyTorch 2.5.1/CUDA 12.1, Ultralytics 8.4.50, source revision, manifest, seed, checkpoint, and evaluator output; validation controls never read test labels.</w:t>
      </w:r>
    </w:p>
    <w:p>
      <w:pPr>
        <w:pStyle w:val="2"/>
        <w:keepNext/>
        <w:spacing w:before="160" w:after="80"/>
        <w:jc w:val="center"/>
      </w:pPr>
      <w:r>
        <w:rPr>
          <w:rFonts w:ascii="Times New Roman" w:hAnsi="Times New Roman" w:eastAsia="Times New Roman"/>
          <w:b w:val="0"/>
          <w:i w:val="0"/>
          <w:smallCaps/>
          <w:color w:val="000000"/>
          <w:sz w:val="20"/>
        </w:rPr>
        <w:t>VI. CONCLUSION</w:t>
      </w:r>
    </w:p>
    <w:p>
      <w:pPr>
        <w:pStyle w:val="3"/>
        <w:spacing w:before="0" w:after="60" w:line="276" w:lineRule="auto"/>
        <w:ind w:firstLine="0"/>
        <w:jc w:val="both"/>
      </w:pPr>
      <w:r>
        <w:rPr>
          <w:rFonts w:ascii="Times New Roman" w:hAnsi="Times New Roman" w:eastAsia="Times New Roman"/>
          <w:b w:val="0"/>
          <w:i w:val="0"/>
          <w:color w:val="000000"/>
          <w:sz w:val="20"/>
        </w:rPr>
        <w:t>WSR concentrates selected P3 cells inside defects at little arithmetic cost, yet establishes neither a reliable primary accuracy gain nor acceleration, and target-only false alarms remain high. Its contribution is an auditable image-processing result and evaluation template. Future work should test fused sparse kernels, more paired seeds, group-safe splits, and independent reference-assisted evaluation.</w:t>
      </w:r>
    </w:p>
    <w:p>
      <w:pPr>
        <w:pStyle w:val="2"/>
        <w:keepNext/>
        <w:spacing w:before="160" w:after="80"/>
        <w:jc w:val="center"/>
      </w:pPr>
      <w:r>
        <w:rPr>
          <w:rFonts w:ascii="Times New Roman" w:hAnsi="Times New Roman" w:eastAsia="Times New Roman"/>
          <w:b w:val="0"/>
          <w:i w:val="0"/>
          <w:smallCaps/>
          <w:color w:val="000000"/>
          <w:sz w:val="20"/>
        </w:rPr>
        <w:t>ACKNOWLEDGEMENTS</w:t>
      </w:r>
    </w:p>
    <w:p>
      <w:pPr>
        <w:pStyle w:val="3"/>
        <w:spacing w:before="0" w:after="60" w:line="276" w:lineRule="auto"/>
        <w:ind w:firstLine="0"/>
        <w:jc w:val="both"/>
      </w:pPr>
      <w:r>
        <w:rPr>
          <w:rFonts w:ascii="Times New Roman" w:hAnsi="Times New Roman" w:eastAsia="Times New Roman"/>
          <w:b w:val="0"/>
          <w:i w:val="0"/>
          <w:color w:val="000000"/>
          <w:sz w:val="20"/>
        </w:rPr>
        <w:t>The work was supported by the Teaching, Science, and Innovation Teaching and Learning Project of Guangdong University of Science and Technology under Grant (GKJXXZ2024008) and 2025 Undergraduate Innovation and Entrepreneurship Training Program Project under Grant (202513719002).</w:t>
      </w:r>
    </w:p>
    <w:p>
      <w:pPr>
        <w:pStyle w:val="2"/>
        <w:keepNext/>
        <w:spacing w:before="160" w:after="80"/>
        <w:jc w:val="center"/>
      </w:pPr>
      <w:r>
        <w:rPr>
          <w:rFonts w:ascii="Times New Roman" w:hAnsi="Times New Roman" w:eastAsia="Times New Roman"/>
          <w:b w:val="0"/>
          <w:i w:val="0"/>
          <w:smallCaps/>
          <w:color w:val="000000"/>
          <w:sz w:val="20"/>
        </w:rPr>
        <w:t>REFERENCES</w:t>
      </w:r>
    </w:p>
    <w:p>
      <w:pPr>
        <w:pStyle w:val="references"/>
        <w:spacing w:before="0" w:after="50" w:line="180" w:lineRule="exact"/>
        <w:ind w:left="259" w:hanging="259"/>
        <w:jc w:val="both"/>
      </w:pPr>
      <w:r>
        <w:rPr>
          <w:rFonts w:ascii="Times New Roman" w:hAnsi="Times New Roman" w:eastAsia="Times New Roman"/>
          <w:b w:val="0"/>
          <w:i w:val="0"/>
          <w:color w:val="000000"/>
          <w:sz w:val="16"/>
        </w:rPr>
        <w:t xml:space="preserve">[1]  S. Ren et al., “Faster R-CNN: Towards Real-Time Object Detection with Region Proposal Networks,” NeurIPS, 2015. </w:t>
      </w:r>
      <w:hyperlink r:id="rId27">
        <w:r>
          <w:rPr>
            <w:rFonts w:ascii="Times New Roman" w:hAnsi="Times New Roman" w:eastAsia="Times New Roman"/>
            <w:color w:val="000000"/>
            <w:u w:val="none"/>
            <w:sz w:val="16"/>
          </w:rPr>
          <w:t>https://arxiv.org/abs/1506.01497</w:t>
        </w:r>
      </w:hyperlink>
    </w:p>
    <w:p>
      <w:pPr>
        <w:pStyle w:val="references"/>
        <w:spacing w:before="0" w:after="50" w:line="180" w:lineRule="exact"/>
        <w:ind w:left="259" w:hanging="259"/>
        <w:jc w:val="both"/>
      </w:pPr>
      <w:r>
        <w:rPr>
          <w:rFonts w:ascii="Times New Roman" w:hAnsi="Times New Roman" w:eastAsia="Times New Roman"/>
          <w:b w:val="0"/>
          <w:i w:val="0"/>
          <w:color w:val="000000"/>
          <w:sz w:val="16"/>
        </w:rPr>
        <w:t xml:space="preserve">[2]  N. Carion et al., “End-to-End Object Detection with Transformers,” ECCV, 2020. </w:t>
      </w:r>
      <w:hyperlink r:id="rId28">
        <w:r>
          <w:rPr>
            <w:rFonts w:ascii="Times New Roman" w:hAnsi="Times New Roman" w:eastAsia="Times New Roman"/>
            <w:color w:val="000000"/>
            <w:u w:val="none"/>
            <w:sz w:val="16"/>
          </w:rPr>
          <w:t>https://arxiv.org/abs/2005.12872</w:t>
        </w:r>
      </w:hyperlink>
    </w:p>
    <w:p>
      <w:pPr>
        <w:pStyle w:val="references"/>
        <w:spacing w:before="0" w:after="50" w:line="180" w:lineRule="exact"/>
        <w:ind w:left="259" w:hanging="259"/>
        <w:jc w:val="both"/>
      </w:pPr>
      <w:r>
        <w:rPr>
          <w:rFonts w:ascii="Times New Roman" w:hAnsi="Times New Roman" w:eastAsia="Times New Roman"/>
          <w:b w:val="0"/>
          <w:i w:val="0"/>
          <w:color w:val="000000"/>
          <w:sz w:val="16"/>
        </w:rPr>
        <w:t xml:space="preserve">[3]  P. Sun et al., “Sparse R-CNN: End-to-End Object Detection with Learnable Proposals,” CVPR, 2021. </w:t>
      </w:r>
      <w:hyperlink r:id="rId29">
        <w:r>
          <w:rPr>
            <w:rFonts w:ascii="Times New Roman" w:hAnsi="Times New Roman" w:eastAsia="Times New Roman"/>
            <w:color w:val="000000"/>
            <w:u w:val="none"/>
            <w:sz w:val="16"/>
          </w:rPr>
          <w:t>https://arxiv.org/abs/2011.12450</w:t>
        </w:r>
      </w:hyperlink>
    </w:p>
    <w:p>
      <w:pPr>
        <w:pStyle w:val="references"/>
        <w:spacing w:before="0" w:after="50" w:line="180" w:lineRule="exact"/>
        <w:ind w:left="259" w:hanging="259"/>
        <w:jc w:val="both"/>
      </w:pPr>
      <w:r>
        <w:rPr>
          <w:rFonts w:ascii="Times New Roman" w:hAnsi="Times New Roman" w:eastAsia="Times New Roman"/>
          <w:b w:val="0"/>
          <w:i w:val="0"/>
          <w:color w:val="000000"/>
          <w:sz w:val="16"/>
        </w:rPr>
        <w:t xml:space="preserve">[4]  G. Jocher and J. Qiu, “Ultralytics YOLO11,” version 11.0.0, 2024. </w:t>
      </w:r>
      <w:hyperlink r:id="rId30">
        <w:r>
          <w:rPr>
            <w:rFonts w:ascii="Times New Roman" w:hAnsi="Times New Roman" w:eastAsia="Times New Roman"/>
            <w:color w:val="000000"/>
            <w:u w:val="none"/>
            <w:sz w:val="16"/>
          </w:rPr>
          <w:t>https://github.com/ultralytics/ultralytics</w:t>
        </w:r>
      </w:hyperlink>
    </w:p>
    <w:p>
      <w:pPr>
        <w:pStyle w:val="references"/>
        <w:spacing w:before="0" w:after="50" w:line="180" w:lineRule="exact"/>
        <w:ind w:left="259" w:hanging="259"/>
        <w:jc w:val="both"/>
      </w:pPr>
      <w:r>
        <w:rPr>
          <w:rFonts w:ascii="Times New Roman" w:hAnsi="Times New Roman" w:eastAsia="Times New Roman"/>
          <w:b w:val="0"/>
          <w:i w:val="0"/>
          <w:color w:val="000000"/>
          <w:sz w:val="16"/>
        </w:rPr>
        <w:t xml:space="preserve">[5]  Y. Peng et al., “D-FINE: Redefine Regression Task in DETRs as Fine-grained Distribution Refinement,” ICLR, 2025. </w:t>
      </w:r>
      <w:hyperlink r:id="rId31">
        <w:r>
          <w:rPr>
            <w:rFonts w:ascii="Times New Roman" w:hAnsi="Times New Roman" w:eastAsia="Times New Roman"/>
            <w:color w:val="000000"/>
            <w:u w:val="none"/>
            <w:sz w:val="16"/>
          </w:rPr>
          <w:t>https://arxiv.org/abs/2410.13842</w:t>
        </w:r>
      </w:hyperlink>
    </w:p>
    <w:p>
      <w:pPr>
        <w:pStyle w:val="references"/>
        <w:spacing w:before="0" w:after="50" w:line="180" w:lineRule="exact"/>
        <w:ind w:left="259" w:hanging="259"/>
        <w:jc w:val="both"/>
      </w:pPr>
      <w:r>
        <w:rPr>
          <w:rFonts w:ascii="Times New Roman" w:hAnsi="Times New Roman" w:eastAsia="Times New Roman"/>
          <w:b w:val="0"/>
          <w:i w:val="0"/>
          <w:color w:val="000000"/>
          <w:sz w:val="16"/>
        </w:rPr>
        <w:t xml:space="preserve">[6]  S. Tang et al., “Online PCB Defect Detector on a New PCB Defect Dataset,” 2019. </w:t>
      </w:r>
      <w:hyperlink r:id="rId32">
        <w:r>
          <w:rPr>
            <w:rFonts w:ascii="Times New Roman" w:hAnsi="Times New Roman" w:eastAsia="Times New Roman"/>
            <w:color w:val="000000"/>
            <w:u w:val="none"/>
            <w:sz w:val="16"/>
          </w:rPr>
          <w:t>https://arxiv.org/abs/1902.06197</w:t>
        </w:r>
      </w:hyperlink>
    </w:p>
    <w:p>
      <w:pPr>
        <w:pStyle w:val="references"/>
        <w:spacing w:before="0" w:after="50" w:line="180" w:lineRule="exact"/>
        <w:ind w:left="259" w:hanging="259"/>
        <w:jc w:val="both"/>
      </w:pPr>
      <w:r>
        <w:rPr>
          <w:rFonts w:ascii="Times New Roman" w:hAnsi="Times New Roman" w:eastAsia="Times New Roman"/>
          <w:b w:val="0"/>
          <w:i w:val="0"/>
          <w:color w:val="000000"/>
          <w:sz w:val="16"/>
        </w:rPr>
        <w:t xml:space="preserve">[7]  S. Lv et al., “A Dataset for Deep Learning Based Detection of Printed Circuit Board Surface Defect,” Scientific Data, vol. 11, Art. no. 811, 2024. </w:t>
      </w:r>
      <w:hyperlink r:id="rId33">
        <w:r>
          <w:rPr>
            <w:rFonts w:ascii="Times New Roman" w:hAnsi="Times New Roman" w:eastAsia="Times New Roman"/>
            <w:color w:val="000000"/>
            <w:u w:val="none"/>
            <w:sz w:val="16"/>
          </w:rPr>
          <w:t>https://doi.org/10.1038/s41597-024-03656-8</w:t>
        </w:r>
      </w:hyperlink>
    </w:p>
    <w:p>
      <w:pPr>
        <w:pStyle w:val="references"/>
        <w:spacing w:before="0" w:after="50" w:line="180" w:lineRule="exact"/>
        <w:ind w:left="259" w:hanging="259"/>
        <w:jc w:val="both"/>
      </w:pPr>
      <w:r>
        <w:rPr>
          <w:rFonts w:ascii="Times New Roman" w:hAnsi="Times New Roman" w:eastAsia="Times New Roman"/>
          <w:b w:val="0"/>
          <w:i w:val="0"/>
          <w:color w:val="000000"/>
          <w:sz w:val="16"/>
        </w:rPr>
        <w:t xml:space="preserve">[8]  H. Yan et al., “Industrial Printed Circuit Board Surface Defect Dataset for Object Detection,” Scientific Data, 2026. </w:t>
      </w:r>
      <w:hyperlink r:id="rId34">
        <w:r>
          <w:rPr>
            <w:rFonts w:ascii="Times New Roman" w:hAnsi="Times New Roman" w:eastAsia="Times New Roman"/>
            <w:color w:val="000000"/>
            <w:u w:val="none"/>
            <w:sz w:val="16"/>
          </w:rPr>
          <w:t>https://doi.org/10.1038/s41597-026-07684-4</w:t>
        </w:r>
      </w:hyperlink>
    </w:p>
    <w:p>
      <w:pPr>
        <w:pStyle w:val="references"/>
        <w:spacing w:before="0" w:after="50" w:line="180" w:lineRule="exact"/>
        <w:ind w:left="259" w:hanging="259"/>
        <w:jc w:val="both"/>
      </w:pPr>
      <w:r>
        <w:rPr>
          <w:rFonts w:ascii="Times New Roman" w:hAnsi="Times New Roman" w:eastAsia="Times New Roman"/>
          <w:b w:val="0"/>
          <w:i w:val="0"/>
          <w:color w:val="000000"/>
          <w:sz w:val="16"/>
        </w:rPr>
        <w:t xml:space="preserve">[9]  J. Tang et al., “PCB-YOLO: An Improved Detection Algorithm of PCB Surface Defects Based on YOLOv5,” Sustainability, vol. 15, no. 7, Art. no. 5963, 2023. </w:t>
      </w:r>
      <w:hyperlink r:id="rId35">
        <w:r>
          <w:rPr>
            <w:rFonts w:ascii="Times New Roman" w:hAnsi="Times New Roman" w:eastAsia="Times New Roman"/>
            <w:color w:val="000000"/>
            <w:u w:val="none"/>
            <w:sz w:val="16"/>
          </w:rPr>
          <w:t>https://doi.org/10.3390/su15075963</w:t>
        </w:r>
      </w:hyperlink>
    </w:p>
    <w:p>
      <w:pPr>
        <w:pStyle w:val="references"/>
        <w:spacing w:before="0" w:after="50" w:line="180" w:lineRule="exact"/>
        <w:ind w:left="259" w:hanging="259"/>
        <w:jc w:val="both"/>
      </w:pPr>
      <w:r>
        <w:rPr>
          <w:rFonts w:ascii="Times New Roman" w:hAnsi="Times New Roman" w:eastAsia="Times New Roman"/>
          <w:b w:val="0"/>
          <w:i w:val="0"/>
          <w:color w:val="000000"/>
          <w:sz w:val="16"/>
        </w:rPr>
        <w:t xml:space="preserve">[10]  M. Yuan et al., “YOLO-HMC: An Improved Method for PCB Surface Defect Detection,” IEEE Trans. Instrum. Meas., vol. 73, pp. 1–11, Art. no. 2001611, 2024. </w:t>
      </w:r>
      <w:hyperlink r:id="rId36">
        <w:r>
          <w:rPr>
            <w:rFonts w:ascii="Times New Roman" w:hAnsi="Times New Roman" w:eastAsia="Times New Roman"/>
            <w:color w:val="000000"/>
            <w:u w:val="none"/>
            <w:sz w:val="16"/>
          </w:rPr>
          <w:t>https://doi.org/10.1109/TIM.2024.3351241</w:t>
        </w:r>
      </w:hyperlink>
    </w:p>
    <w:p>
      <w:pPr>
        <w:pStyle w:val="references"/>
        <w:spacing w:before="0" w:after="50" w:line="180" w:lineRule="exact"/>
        <w:ind w:left="259" w:hanging="259"/>
        <w:jc w:val="both"/>
      </w:pPr>
      <w:r>
        <w:rPr>
          <w:rFonts w:ascii="Times New Roman" w:hAnsi="Times New Roman" w:eastAsia="Times New Roman"/>
          <w:b w:val="0"/>
          <w:i w:val="0"/>
          <w:color w:val="000000"/>
          <w:sz w:val="16"/>
        </w:rPr>
        <w:t xml:space="preserve">[11]  Q. Li et al., “WaveCNet: Wavelet Integrated CNNs to Suppress Aliasing Effect for Noise-Robust Image Classification,” IEEE Trans. Image Process., vol. 30, pp. 7074–7089, 2021. </w:t>
      </w:r>
      <w:hyperlink r:id="rId37">
        <w:r>
          <w:rPr>
            <w:rFonts w:ascii="Times New Roman" w:hAnsi="Times New Roman" w:eastAsia="Times New Roman"/>
            <w:color w:val="000000"/>
            <w:u w:val="none"/>
            <w:sz w:val="16"/>
          </w:rPr>
          <w:t>https://doi.org/10.1109/TIP.2021.3101395</w:t>
        </w:r>
      </w:hyperlink>
    </w:p>
    <w:p>
      <w:pPr>
        <w:pStyle w:val="references"/>
        <w:spacing w:before="0" w:after="50" w:line="180" w:lineRule="exact"/>
        <w:ind w:left="259" w:hanging="259"/>
        <w:jc w:val="both"/>
      </w:pPr>
      <w:r>
        <w:rPr>
          <w:rFonts w:ascii="Times New Roman" w:hAnsi="Times New Roman" w:eastAsia="Times New Roman"/>
          <w:b w:val="0"/>
          <w:i w:val="0"/>
          <w:color w:val="000000"/>
          <w:sz w:val="16"/>
        </w:rPr>
        <w:t xml:space="preserve">[12]  Z. Qin et al., “FcaNet: Frequency Channel Attention Networks,” ICCV, 2021. </w:t>
      </w:r>
      <w:hyperlink r:id="rId38">
        <w:r>
          <w:rPr>
            <w:rFonts w:ascii="Times New Roman" w:hAnsi="Times New Roman" w:eastAsia="Times New Roman"/>
            <w:color w:val="000000"/>
            <w:u w:val="none"/>
            <w:sz w:val="16"/>
          </w:rPr>
          <w:t>https://arxiv.org/abs/2012.11879</w:t>
        </w:r>
      </w:hyperlink>
    </w:p>
    <w:p>
      <w:pPr>
        <w:pStyle w:val="references"/>
        <w:spacing w:before="0" w:after="50" w:line="180" w:lineRule="exact"/>
        <w:ind w:left="259" w:hanging="259"/>
        <w:jc w:val="both"/>
      </w:pPr>
      <w:r>
        <w:rPr>
          <w:rFonts w:ascii="Times New Roman" w:hAnsi="Times New Roman" w:eastAsia="Times New Roman"/>
          <w:b w:val="0"/>
          <w:i w:val="0"/>
          <w:color w:val="000000"/>
          <w:sz w:val="16"/>
        </w:rPr>
        <w:t xml:space="preserve">[13]  Y. Rao et al., “DynamicViT: Efficient Vision Transformers with Dynamic Token Sparsification,” NeurIPS, 2021. </w:t>
      </w:r>
      <w:hyperlink r:id="rId39">
        <w:r>
          <w:rPr>
            <w:rFonts w:ascii="Times New Roman" w:hAnsi="Times New Roman" w:eastAsia="Times New Roman"/>
            <w:color w:val="000000"/>
            <w:u w:val="none"/>
            <w:sz w:val="16"/>
          </w:rPr>
          <w:t>https://arxiv.org/abs/2106.02034</w:t>
        </w:r>
      </w:hyperlink>
    </w:p>
    <w:p>
      <w:pPr>
        <w:pStyle w:val="references"/>
        <w:spacing w:before="0" w:after="50" w:line="180" w:lineRule="exact"/>
        <w:ind w:left="259" w:hanging="259"/>
        <w:jc w:val="both"/>
      </w:pPr>
      <w:r>
        <w:rPr>
          <w:rFonts w:ascii="Times New Roman" w:hAnsi="Times New Roman" w:eastAsia="Times New Roman"/>
          <w:b w:val="0"/>
          <w:i w:val="0"/>
          <w:color w:val="000000"/>
          <w:sz w:val="16"/>
        </w:rPr>
        <w:t xml:space="preserve">[14]  T.-Y. Lin et al., “Microsoft COCO: Common Objects in Context,” ECCV, 2014. </w:t>
      </w:r>
      <w:hyperlink r:id="rId40">
        <w:r>
          <w:rPr>
            <w:rFonts w:ascii="Times New Roman" w:hAnsi="Times New Roman" w:eastAsia="Times New Roman"/>
            <w:color w:val="000000"/>
            <w:u w:val="none"/>
            <w:sz w:val="16"/>
          </w:rPr>
          <w:t>https://arxiv.org/abs/1405.0312</w:t>
        </w:r>
      </w:hyperlink>
    </w:p>
    <w:sectPr>
      <w:footnotePr>
        <w:numRestart w:val="eachSect"/>
      </w:footnotePr>
      <w:type w:val="continuous"/>
      <w:pgSz w:w="12240" w:h="15840"/>
      <w:pgMar w:top="1080" w:right="893" w:bottom="1440" w:left="893" w:header="720" w:footer="720" w:gutter="0"/>
      <w:cols w:space="360" w:num="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5C913A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before="0"/>
      <w:jc w:val="center"/>
    </w:pPr>
    <w:rPr>
      <w:rFonts w:ascii="Times New Roman" w:hAnsi="Times New Roman" w:eastAsia="Times New Roman" w:cs="Times New Roman"/>
      <w:color w:val="000000"/>
      <w:sz w:val="20"/>
      <w:szCs w:val="24"/>
      <w:lang w:val="en-US" w:eastAsia="zh-CN" w:bidi="ar-SA"/>
    </w:rPr>
  </w:style>
  <w:style w:type="paragraph" w:styleId="2">
    <w:name w:val="heading 1"/>
    <w:basedOn w:val="1"/>
    <w:next w:val="3"/>
    <w:link w:val="31"/>
    <w:qFormat/>
    <w:uiPriority w:val="9"/>
    <w:pPr>
      <w:keepNext/>
      <w:keepLines/>
      <w:spacing w:before="160" w:after="80" w:line="240" w:lineRule="auto"/>
      <w:ind w:firstLine="0"/>
      <w:jc w:val="center"/>
      <w:outlineLvl w:val="0"/>
    </w:pPr>
    <w:rPr>
      <w:rFonts w:ascii="Times New Roman" w:hAnsi="Times New Roman" w:eastAsia="Times New Roman" w:cs="Times New Roman"/>
      <w:color w:val="000000"/>
      <w:sz w:val="20"/>
      <w:szCs w:val="40"/>
    </w:rPr>
  </w:style>
  <w:style w:type="paragraph" w:styleId="4">
    <w:name w:val="heading 2"/>
    <w:basedOn w:val="1"/>
    <w:next w:val="3"/>
    <w:link w:val="32"/>
    <w:semiHidden/>
    <w:unhideWhenUsed/>
    <w:qFormat/>
    <w:uiPriority w:val="9"/>
    <w:pPr>
      <w:keepNext/>
      <w:keepLines/>
      <w:spacing w:before="120" w:after="60" w:line="240" w:lineRule="auto"/>
      <w:jc w:val="left"/>
      <w:outlineLvl w:val="1"/>
    </w:pPr>
    <w:rPr>
      <w:rFonts w:ascii="Times New Roman" w:hAnsi="Times New Roman" w:eastAsia="Times New Roman" w:cs="Times New Roman"/>
      <w:i/>
      <w:color w:val="000000"/>
      <w:sz w:val="20"/>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0" w:after="60" w:line="276" w:lineRule="auto"/>
      <w:ind w:firstLine="288"/>
      <w:jc w:val="both"/>
    </w:pPr>
    <w:rPr>
      <w:rFonts w:ascii="Times New Roman" w:hAnsi="Times New Roman" w:eastAsia="Times New Roman" w:cs="Times New Roman"/>
      <w:color w:val="000000"/>
      <w:sz w:val="20"/>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100" w:line="240" w:lineRule="auto"/>
      <w:contextualSpacing/>
      <w:jc w:val="center"/>
    </w:pPr>
    <w:rPr>
      <w:rFonts w:ascii="Times New Roman" w:hAnsi="Times New Roman" w:eastAsia="Times New Roman" w:cs="Times New Roman"/>
      <w:color w:val="000000"/>
      <w:sz w:val="3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pPr>
      <w:spacing w:after="0" w:line="240" w:lineRule="auto" w:before="0"/>
      <w:jc w:val="both"/>
    </w:pPr>
    <w:rPr>
      <w:rFonts w:ascii="Times New Roman" w:hAnsi="Times New Roman" w:eastAsia="Times New Roman" w:cs="Times New Roman"/>
      <w:color w:val="000000"/>
      <w:sz w:val="20"/>
    </w:rPr>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spacing w:before="360" w:after="40" w:line="240" w:lineRule="auto"/>
      <w:jc w:val="center"/>
    </w:pPr>
    <w:rPr>
      <w:rFonts w:ascii="Times New Roman" w:hAnsi="Times New Roman" w:eastAsia="Times New Roman"/>
      <w:sz w:val="22"/>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spacing w:before="0" w:after="200" w:line="240" w:lineRule="auto"/>
      <w:ind w:firstLine="272"/>
      <w:jc w:val="both"/>
    </w:pPr>
    <w:rPr>
      <w:rFonts w:ascii="Times New Roman" w:hAnsi="Times New Roman" w:eastAsia="Times New Roman" w:cs="Times New Roman"/>
      <w:b/>
      <w:color w:val="000000"/>
      <w:sz w:val="18"/>
      <w:szCs w:val="20"/>
    </w:rPr>
  </w:style>
  <w:style w:type="paragraph" w:customStyle="1" w:styleId="30">
    <w:name w:val="Bibliography"/>
    <w:basedOn w:val="1"/>
    <w:qFormat/>
    <w:uiPriority w:val="0"/>
    <w:rPr>
      <w:rFonts w:ascii="Times New Roman" w:hAnsi="Times New Roman" w:eastAsia="Times New Roman"/>
      <w:sz w:val="16"/>
    </w:rPr>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qFormat/>
    <w:uiPriority w:val="0"/>
    <w:pPr>
      <w:keepNext/>
      <w:spacing w:before="20" w:after="60"/>
      <w:jc w:val="center"/>
    </w:pPr>
    <w:rPr>
      <w:rFonts w:ascii="Times New Roman" w:hAnsi="Times New Roman" w:eastAsia="Times New Roman" w:cs="Times New Roman"/>
      <w:color w:val="000000"/>
      <w:sz w:val="16"/>
    </w:rPr>
  </w:style>
  <w:style w:type="paragraph" w:customStyle="1" w:styleId="45">
    <w:name w:val="Image Caption"/>
    <w:basedOn w:val="12"/>
    <w:uiPriority w:val="0"/>
    <w:pPr>
      <w:spacing w:before="20" w:after="60"/>
      <w:jc w:val="center"/>
    </w:pPr>
    <w:rPr>
      <w:rFonts w:ascii="Times New Roman" w:hAnsi="Times New Roman" w:eastAsia="Times New Roman" w:cs="Times New Roman"/>
      <w:color w:val="000000"/>
      <w:sz w:val="16"/>
    </w:rPr>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 w:type="paragraph" w:customStyle="1" w:styleId="83">
    <w:name w:val="Paper Authors"/>
    <w:qFormat/>
    <w:uiPriority w:val="0"/>
    <w:pPr>
      <w:spacing w:before="0" w:after="0" w:line="240" w:lineRule="auto"/>
      <w:jc w:val="center"/>
    </w:pPr>
    <w:rPr>
      <w:rFonts w:ascii="Times New Roman" w:hAnsi="Times New Roman" w:eastAsia="Times New Roman" w:cs="Times New Roman"/>
      <w:color w:val="000000"/>
      <w:sz w:val="18"/>
      <w:szCs w:val="24"/>
      <w:lang w:val="en-US" w:eastAsia="zh-CN" w:bidi="ar-SA"/>
    </w:rPr>
  </w:style>
  <w:style w:type="paragraph" w:customStyle="1" w:styleId="84">
    <w:name w:val="Paper Affiliations"/>
    <w:uiPriority w:val="0"/>
    <w:pPr>
      <w:spacing w:before="0" w:after="0" w:line="240" w:lineRule="auto"/>
      <w:jc w:val="center"/>
    </w:pPr>
    <w:rPr>
      <w:rFonts w:ascii="Times New Roman" w:hAnsi="Times New Roman" w:eastAsia="Times New Roman" w:cs="Times New Roman"/>
      <w:color w:val="000000"/>
      <w:sz w:val="15"/>
      <w:szCs w:val="24"/>
      <w:lang w:val="en-US" w:eastAsia="zh-CN" w:bidi="ar-SA"/>
    </w:rPr>
  </w:style>
  <w:style w:type="paragraph" w:customStyle="1" w:styleId="85">
    <w:name w:val="Paper Repository"/>
    <w:uiPriority w:val="0"/>
    <w:pPr>
      <w:spacing w:before="0" w:after="0" w:line="240" w:lineRule="auto"/>
      <w:jc w:val="center"/>
    </w:pPr>
    <w:rPr>
      <w:rFonts w:ascii="Times New Roman" w:hAnsi="Times New Roman" w:eastAsia="Times New Roman" w:cs="Times New Roman"/>
      <w:color w:val="000000"/>
      <w:sz w:val="16"/>
      <w:szCs w:val="24"/>
      <w:lang w:val="en-US" w:eastAsia="zh-CN" w:bidi="ar-SA"/>
    </w:rPr>
  </w:style>
  <w:style w:type="paragraph" w:customStyle="1" w:styleId="equation">
    <w:name w:val="equation"/>
    <w:pPr>
      <w:spacing w:before="240" w:after="240" w:line="216" w:lineRule="auto"/>
      <w:jc w:val="center"/>
    </w:pPr>
    <w:rPr>
      <w:rFonts w:ascii="Times New Roman" w:hAnsi="Times New Roman" w:eastAsia="Times New Roman"/>
      <w:sz w:val="20"/>
    </w:rPr>
  </w:style>
  <w:style w:type="paragraph" w:customStyle="1" w:styleId="Keywords">
    <w:name w:val="Keywords"/>
    <w:pPr>
      <w:spacing w:before="0" w:after="120" w:line="240" w:lineRule="auto"/>
      <w:ind w:firstLine="274"/>
      <w:jc w:val="both"/>
    </w:pPr>
    <w:rPr>
      <w:rFonts w:ascii="Times New Roman" w:hAnsi="Times New Roman" w:eastAsia="Times New Roman"/>
      <w:b/>
      <w:i/>
      <w:sz w:val="18"/>
    </w:rPr>
  </w:style>
  <w:style w:type="paragraph" w:customStyle="1" w:styleId="references">
    <w:name w:val="references"/>
    <w:pPr>
      <w:spacing w:before="0" w:after="50" w:line="180" w:lineRule="exact"/>
      <w:jc w:val="both"/>
    </w:pPr>
    <w:rPr>
      <w:rFonts w:ascii="Times New Roman" w:hAnsi="Times New Roman" w:eastAsia="Times New Roman"/>
      <w:sz w:val="16"/>
    </w:rPr>
  </w:style>
  <w:style w:type="paragraph" w:customStyle="1" w:styleId="papertitle">
    <w:name w:val="paper title"/>
    <w:pPr>
      <w:spacing w:before="0" w:after="120" w:line="240" w:lineRule="auto"/>
      <w:jc w:val="center"/>
    </w:pPr>
    <w:rPr>
      <w:rFonts w:ascii="Times New Roman" w:hAnsi="Times New Roman" w:eastAsia="Times New Roman"/>
      <w:sz w:val="48"/>
    </w:rPr>
  </w:style>
  <w:style w:type="paragraph" w:customStyle="1" w:styleId="tablecolhead">
    <w:name w:val="table col head"/>
    <w:pPr>
      <w:spacing w:before="0" w:after="0" w:line="240" w:lineRule="auto"/>
      <w:jc w:val="center"/>
    </w:pPr>
    <w:rPr>
      <w:rFonts w:ascii="Times New Roman" w:hAnsi="Times New Roman" w:eastAsia="Times New Roman"/>
      <w:b/>
      <w:sz w:val="16"/>
    </w:rPr>
  </w:style>
  <w:style w:type="paragraph" w:customStyle="1" w:styleId="tablecopy">
    <w:name w:val="table copy"/>
    <w:pPr>
      <w:spacing w:before="0" w:after="0" w:line="240" w:lineRule="auto"/>
      <w:jc w:val="center"/>
    </w:pPr>
    <w:rPr>
      <w:rFonts w:ascii="Times New Roman" w:hAnsi="Times New Roman" w:eastAsia="Times New Roman"/>
      <w:sz w:val="16"/>
    </w:rPr>
  </w:style>
  <w:style w:type="paragraph" w:customStyle="1" w:styleId="Affiliation">
    <w:name w:val="Affiliation"/>
    <w:pPr>
      <w:spacing w:before="0" w:after="0" w:line="240" w:lineRule="auto"/>
      <w:jc w:val="center"/>
    </w:pPr>
    <w:rPr>
      <w:rFonts w:ascii="Times New Roman" w:hAnsi="Times New Roman" w:eastAsia="Times New Roman"/>
      <w:sz w:val="18"/>
    </w:rPr>
  </w:style>
  <w:style w:type="paragraph" w:customStyle="1" w:styleId="tablehead">
    <w:name w:val="table head"/>
    <w:pPr>
      <w:spacing w:before="240" w:after="120" w:line="216" w:lineRule="auto"/>
      <w:jc w:val="center"/>
    </w:pPr>
    <w:rPr>
      <w:rFonts w:ascii="Times New Roman" w:hAnsi="Times New Roman" w:eastAsia="Times New Roman"/>
      <w:sz w:val="16"/>
    </w:rPr>
  </w:style>
  <w:style w:type="paragraph" w:customStyle="1" w:styleId="figurecaption">
    <w:name w:val="figure caption"/>
    <w:pPr>
      <w:spacing w:before="80" w:after="200" w:line="240" w:lineRule="auto"/>
      <w:ind w:firstLine="0"/>
      <w:jc w:val="center"/>
    </w:pPr>
    <w:rPr>
      <w:rFonts w:ascii="Times New Roman" w:hAnsi="Times New Roman" w:eastAsia="Times New Roman"/>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https://github.com/master-abc/WSR-YOLO" TargetMode="External"/><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hyperlink" Target="https://arxiv.org/abs/1506.01497" TargetMode="External"/><Relationship Id="rId28" Type="http://schemas.openxmlformats.org/officeDocument/2006/relationships/hyperlink" Target="https://arxiv.org/abs/2005.12872" TargetMode="External"/><Relationship Id="rId29" Type="http://schemas.openxmlformats.org/officeDocument/2006/relationships/hyperlink" Target="https://arxiv.org/abs/2011.12450" TargetMode="External"/><Relationship Id="rId30" Type="http://schemas.openxmlformats.org/officeDocument/2006/relationships/hyperlink" Target="https://github.com/ultralytics/ultralytics" TargetMode="External"/><Relationship Id="rId31" Type="http://schemas.openxmlformats.org/officeDocument/2006/relationships/hyperlink" Target="https://arxiv.org/abs/2410.13842" TargetMode="External"/><Relationship Id="rId32" Type="http://schemas.openxmlformats.org/officeDocument/2006/relationships/hyperlink" Target="https://arxiv.org/abs/1902.06197" TargetMode="External"/><Relationship Id="rId33" Type="http://schemas.openxmlformats.org/officeDocument/2006/relationships/hyperlink" Target="https://doi.org/10.1038/s41597-024-03656-8" TargetMode="External"/><Relationship Id="rId34" Type="http://schemas.openxmlformats.org/officeDocument/2006/relationships/hyperlink" Target="https://doi.org/10.1038/s41597-026-07684-4" TargetMode="External"/><Relationship Id="rId35" Type="http://schemas.openxmlformats.org/officeDocument/2006/relationships/hyperlink" Target="https://doi.org/10.3390/su15075963" TargetMode="External"/><Relationship Id="rId36" Type="http://schemas.openxmlformats.org/officeDocument/2006/relationships/hyperlink" Target="https://doi.org/10.1109/TIM.2024.3351241" TargetMode="External"/><Relationship Id="rId37" Type="http://schemas.openxmlformats.org/officeDocument/2006/relationships/hyperlink" Target="https://doi.org/10.1109/TIP.2021.3101395" TargetMode="External"/><Relationship Id="rId38" Type="http://schemas.openxmlformats.org/officeDocument/2006/relationships/hyperlink" Target="https://arxiv.org/abs/2012.11879" TargetMode="External"/><Relationship Id="rId39" Type="http://schemas.openxmlformats.org/officeDocument/2006/relationships/hyperlink" Target="https://arxiv.org/abs/2106.02034" TargetMode="External"/><Relationship Id="rId40" Type="http://schemas.openxmlformats.org/officeDocument/2006/relationships/hyperlink" Target="https://arxiv.org/abs/1405.03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1847</Words>
  <Characters>10433</Characters>
  <Lines>12</Lines>
  <Paragraphs>8</Paragraphs>
  <TotalTime>8</TotalTime>
  <ScaleCrop>false</ScaleCrop>
  <LinksUpToDate>false</LinksUpToDate>
  <CharactersWithSpaces>12025</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2026-09-02T06:50:00Z</dcterms:created>
  <dc:creator>Jiefeng Liang; Lihua Luo; Sijin Tan; Yanni Lin; Zhizhuo Zhao; Zhaofeng Cai</dc:creator>
  <cp:lastModifiedBy>蜂蜂好劲抽</cp:lastModifiedBy>
  <dcterms:modified xsi:type="dcterms:W3CDTF">2026-09-02T06:57:25Z</dcterms:modified>
  <dc:subject>Compact four-page conference manuscript</dc:subject>
  <dc:title>WSR-YOLO for PCB Defect Image Processing with Wavelet-Conditioned Sparse Routing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Industrial detection studies often conflate informative routing, arithmetic sparsity, accuracy, and deployed efficiency. We audit them separately using WSR, which ranks P3 features with fixed Haar responses and refines an exact top-k budget. On DsPCBSD+, seven paired runs give 46.69\pm0.72 AP_{50:95} versus 46.54\pm0.36 for YOLO11s; the 0.15-point difference is nonsignificant (p=0.8125). Three descriptive DeepPCB pairs gain 4.20 points but increase alarms on defect-free templates. At a 25% budget, routes are enriched inside boxes by 3.16\times/3.55\times on the two datasets, although spatial priors explain much of the primary enrichment and matched convolution reproduces the validation gain. WSR adds 13.3K parameters and 0.038 GFLOPs but is 1.18–1.21\times slower. Post-hoc negative-aware training lowers DeepPCB board-FPR from 53.5% to 27.5%; an exploratory paired-reference detector reaches 1.4% and 0.959 F1 under a changed input contract. Thus WSR verifies image-dependent allocation, not a reliable accuracy or systems advantage, and exposes why route overlap, FLOPs, positive-only AP, and component attribution need separate controls.</vt:lpwstr>
  </property>
  <property fmtid="{D5CDD505-2E9C-101B-9397-08002B2CF9AE}" pid="3" name="KSOTemplateDocerSaveRecord">
    <vt:lpwstr>eyJoZGlkIjoiNzhhMzM4NmJjNGI3ZjU3Nzc1ODZlNzAzMTI0YzM2Y2UiLCJ1c2VySWQiOiI0NTIzNDk0ODAifQ==</vt:lpwstr>
  </property>
  <property fmtid="{D5CDD505-2E9C-101B-9397-08002B2CF9AE}" pid="4" name="KSOProductBuildVer">
    <vt:lpwstr>2052-12.1.0.28488</vt:lpwstr>
  </property>
  <property fmtid="{D5CDD505-2E9C-101B-9397-08002B2CF9AE}" pid="5" name="ICV">
    <vt:lpwstr>B599EE7C62DC435B877281CF2F3F949A_12</vt:lpwstr>
  </property>
</Properties>
</file>